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line="252" w:lineRule="auto"/>
      </w:pPr>
      <w:r>
        <w:rPr>
          <w:rFonts w:ascii="Times New Roman" w:hAnsi="Times New Roman" w:eastAsia="Times New Roman"/>
          <w:b w:val="0"/>
          <w:i w:val="0"/>
          <w:sz w:val="21"/>
        </w:rPr>
      </w:r>
    </w:p>
    <w:p>
      <w:pPr>
        <w:spacing w:after="120" w:line="252" w:lineRule="auto"/>
      </w:pPr>
      <w:r>
        <w:rPr>
          <w:rFonts w:ascii="Times New Roman" w:hAnsi="Times New Roman" w:eastAsia="Times New Roman"/>
          <w:b w:val="0"/>
          <w:i w:val="0"/>
          <w:sz w:val="21"/>
        </w:rPr>
      </w:r>
    </w:p>
    <w:p>
      <w:pPr>
        <w:spacing w:after="120" w:line="252" w:lineRule="auto"/>
      </w:pPr>
      <w:r>
        <w:rPr>
          <w:rFonts w:ascii="Times New Roman" w:hAnsi="Times New Roman" w:eastAsia="Times New Roman"/>
          <w:b w:val="0"/>
          <w:i w:val="0"/>
          <w:sz w:val="21"/>
        </w:rPr>
      </w:r>
    </w:p>
    <w:p>
      <w:pPr>
        <w:spacing w:after="120" w:line="252" w:lineRule="auto"/>
      </w:pPr>
      <w:r>
        <w:rPr>
          <w:rFonts w:ascii="Times New Roman" w:hAnsi="Times New Roman" w:eastAsia="Times New Roman"/>
          <w:b w:val="0"/>
          <w:i w:val="0"/>
          <w:sz w:val="21"/>
        </w:rPr>
      </w:r>
    </w:p>
    <w:p>
      <w:pPr>
        <w:spacing w:after="120" w:line="252" w:lineRule="auto"/>
      </w:pPr>
      <w:r>
        <w:rPr>
          <w:rFonts w:ascii="Times New Roman" w:hAnsi="Times New Roman" w:eastAsia="Times New Roman"/>
          <w:b w:val="0"/>
          <w:i w:val="0"/>
          <w:sz w:val="21"/>
        </w:rPr>
      </w:r>
    </w:p>
    <w:p>
      <w:pPr>
        <w:spacing w:after="120" w:line="252" w:lineRule="auto"/>
      </w:pPr>
      <w:r>
        <w:rPr>
          <w:rFonts w:ascii="Times New Roman" w:hAnsi="Times New Roman" w:eastAsia="Times New Roman"/>
          <w:b w:val="0"/>
          <w:i w:val="0"/>
          <w:sz w:val="21"/>
        </w:rPr>
      </w:r>
    </w:p>
    <w:p>
      <w:pPr>
        <w:spacing w:after="120" w:line="252" w:lineRule="auto"/>
        <w:jc w:val="center"/>
      </w:pPr>
      <w:r>
        <w:rPr>
          <w:rFonts w:ascii="Times New Roman" w:hAnsi="Times New Roman" w:eastAsia="Times New Roman"/>
          <w:b/>
          <w:i w:val="0"/>
          <w:sz w:val="40"/>
        </w:rPr>
        <w:t>Income Tax Directive, 2066</w:t>
      </w:r>
    </w:p>
    <w:p>
      <w:pPr>
        <w:spacing w:after="120" w:line="252" w:lineRule="auto"/>
        <w:jc w:val="center"/>
      </w:pPr>
      <w:r>
        <w:rPr>
          <w:rFonts w:ascii="Times New Roman" w:hAnsi="Times New Roman" w:eastAsia="Times New Roman"/>
          <w:b w:val="0"/>
          <w:i/>
          <w:sz w:val="28"/>
        </w:rPr>
        <w:t>- Fifth Amendment, 2081 -</w:t>
      </w:r>
    </w:p>
    <w:p>
      <w:pPr>
        <w:spacing w:after="120" w:line="252" w:lineRule="auto"/>
      </w:pPr>
      <w:r>
        <w:rPr>
          <w:rFonts w:ascii="Times New Roman" w:hAnsi="Times New Roman" w:eastAsia="Times New Roman"/>
          <w:b w:val="0"/>
          <w:i w:val="0"/>
          <w:sz w:val="21"/>
        </w:rPr>
      </w:r>
    </w:p>
    <w:p>
      <w:pPr>
        <w:spacing w:after="120" w:line="252" w:lineRule="auto"/>
      </w:pPr>
      <w:r>
        <w:rPr>
          <w:rFonts w:ascii="Times New Roman" w:hAnsi="Times New Roman" w:eastAsia="Times New Roman"/>
          <w:b w:val="0"/>
          <w:i w:val="0"/>
          <w:sz w:val="21"/>
        </w:rPr>
      </w:r>
    </w:p>
    <w:p>
      <w:pPr>
        <w:spacing w:after="120" w:line="252" w:lineRule="auto"/>
      </w:pPr>
      <w:r>
        <w:rPr>
          <w:rFonts w:ascii="Times New Roman" w:hAnsi="Times New Roman" w:eastAsia="Times New Roman"/>
          <w:b w:val="0"/>
          <w:i w:val="0"/>
          <w:sz w:val="21"/>
        </w:rPr>
      </w:r>
    </w:p>
    <w:p>
      <w:pPr>
        <w:spacing w:after="120" w:line="252" w:lineRule="auto"/>
      </w:pPr>
      <w:r>
        <w:rPr>
          <w:rFonts w:ascii="Times New Roman" w:hAnsi="Times New Roman" w:eastAsia="Times New Roman"/>
          <w:b w:val="0"/>
          <w:i w:val="0"/>
          <w:sz w:val="21"/>
        </w:rPr>
      </w:r>
    </w:p>
    <w:p>
      <w:pPr>
        <w:spacing w:after="120" w:line="252" w:lineRule="auto"/>
      </w:pPr>
      <w:r>
        <w:rPr>
          <w:rFonts w:ascii="Times New Roman" w:hAnsi="Times New Roman" w:eastAsia="Times New Roman"/>
          <w:b w:val="0"/>
          <w:i w:val="0"/>
          <w:sz w:val="21"/>
        </w:rPr>
      </w:r>
    </w:p>
    <w:p>
      <w:pPr>
        <w:spacing w:after="120" w:line="252" w:lineRule="auto"/>
        <w:jc w:val="center"/>
      </w:pPr>
      <w:r>
        <w:rPr>
          <w:rFonts w:ascii="Times New Roman" w:hAnsi="Times New Roman" w:eastAsia="Times New Roman"/>
          <w:b/>
          <w:i w:val="0"/>
          <w:sz w:val="28"/>
        </w:rPr>
        <w:t>Government of Nepal</w:t>
      </w:r>
    </w:p>
    <w:p>
      <w:pPr>
        <w:spacing w:after="120" w:line="252" w:lineRule="auto"/>
        <w:jc w:val="center"/>
      </w:pPr>
      <w:r>
        <w:rPr>
          <w:rFonts w:ascii="Times New Roman" w:hAnsi="Times New Roman" w:eastAsia="Times New Roman"/>
          <w:b/>
          <w:i w:val="0"/>
          <w:sz w:val="28"/>
        </w:rPr>
        <w:t>Ministry of Finance</w:t>
      </w:r>
    </w:p>
    <w:p>
      <w:pPr>
        <w:spacing w:after="120" w:line="252" w:lineRule="auto"/>
        <w:jc w:val="center"/>
      </w:pPr>
      <w:r>
        <w:rPr>
          <w:rFonts w:ascii="Times New Roman" w:hAnsi="Times New Roman" w:eastAsia="Times New Roman"/>
          <w:b/>
          <w:i w:val="0"/>
          <w:sz w:val="30"/>
        </w:rPr>
        <w:t>Inland Revenue Department</w:t>
      </w:r>
    </w:p>
    <w:p>
      <w:pPr>
        <w:spacing w:after="120" w:line="252" w:lineRule="auto"/>
        <w:jc w:val="center"/>
      </w:pPr>
      <w:r>
        <w:rPr>
          <w:rFonts w:ascii="Times New Roman" w:hAnsi="Times New Roman" w:eastAsia="Times New Roman"/>
          <w:b/>
          <w:i w:val="0"/>
          <w:sz w:val="26"/>
        </w:rPr>
        <w:t>Lazimpat, Kathmandu</w:t>
      </w:r>
    </w:p>
    <w:p>
      <w:r>
        <w:br w:type="page"/>
      </w:r>
    </w:p>
    <w:p>
      <w:pPr>
        <w:spacing w:after="120" w:line="252" w:lineRule="auto"/>
      </w:pPr>
      <w:r>
        <w:rPr>
          <w:rFonts w:ascii="Times New Roman" w:hAnsi="Times New Roman" w:eastAsia="Times New Roman"/>
          <w:b/>
          <w:i w:val="0"/>
          <w:sz w:val="21"/>
        </w:rPr>
        <w:t>Publisher: Inland Revenue Department</w:t>
      </w:r>
    </w:p>
    <w:p>
      <w:pPr>
        <w:spacing w:after="120" w:line="252" w:lineRule="auto"/>
      </w:pPr>
      <w:r>
        <w:rPr>
          <w:rFonts w:ascii="Times New Roman" w:hAnsi="Times New Roman" w:eastAsia="Times New Roman"/>
          <w:b w:val="0"/>
          <w:i w:val="0"/>
          <w:sz w:val="21"/>
        </w:rPr>
        <w:t>Lazimpat, Kathmandu</w:t>
      </w:r>
    </w:p>
    <w:p>
      <w:pPr>
        <w:spacing w:after="120" w:line="252" w:lineRule="auto"/>
      </w:pPr>
      <w:r>
        <w:rPr>
          <w:rFonts w:ascii="Times New Roman" w:hAnsi="Times New Roman" w:eastAsia="Times New Roman"/>
          <w:b w:val="0"/>
          <w:i w:val="0"/>
          <w:sz w:val="21"/>
        </w:rPr>
        <w:t>Phone No.: 01-5970081</w:t>
      </w:r>
    </w:p>
    <w:p>
      <w:pPr>
        <w:spacing w:after="120" w:line="252" w:lineRule="auto"/>
      </w:pPr>
      <w:r>
        <w:rPr>
          <w:rFonts w:ascii="Times New Roman" w:hAnsi="Times New Roman" w:eastAsia="Times New Roman"/>
          <w:b w:val="0"/>
          <w:i w:val="0"/>
          <w:sz w:val="21"/>
        </w:rPr>
        <w:t>Fax: 01-4411788</w:t>
      </w:r>
    </w:p>
    <w:p>
      <w:pPr>
        <w:spacing w:after="120" w:line="252" w:lineRule="auto"/>
      </w:pPr>
      <w:r>
        <w:rPr>
          <w:rFonts w:ascii="Times New Roman" w:hAnsi="Times New Roman" w:eastAsia="Times New Roman"/>
          <w:b w:val="0"/>
          <w:i w:val="0"/>
          <w:sz w:val="21"/>
        </w:rPr>
        <w:t>E-mail: policyird@ird.gov.np</w:t>
      </w:r>
    </w:p>
    <w:p>
      <w:pPr>
        <w:spacing w:after="120" w:line="252" w:lineRule="auto"/>
      </w:pPr>
      <w:r>
        <w:rPr>
          <w:rFonts w:ascii="Times New Roman" w:hAnsi="Times New Roman" w:eastAsia="Times New Roman"/>
          <w:b w:val="0"/>
          <w:i w:val="0"/>
          <w:sz w:val="21"/>
        </w:rPr>
        <w:t>Website: www.ird.gov.np</w:t>
      </w:r>
    </w:p>
    <w:p>
      <w:pPr>
        <w:spacing w:after="120" w:line="252" w:lineRule="auto"/>
      </w:pPr>
      <w:r>
        <w:rPr>
          <w:rFonts w:ascii="Times New Roman" w:hAnsi="Times New Roman" w:eastAsia="Times New Roman"/>
          <w:b w:val="0"/>
          <w:i w:val="0"/>
          <w:sz w:val="21"/>
        </w:rPr>
      </w:r>
    </w:p>
    <w:p>
      <w:pPr>
        <w:spacing w:after="120" w:line="252" w:lineRule="auto"/>
      </w:pPr>
      <w:r>
        <w:rPr>
          <w:rFonts w:ascii="Times New Roman" w:hAnsi="Times New Roman" w:eastAsia="Times New Roman"/>
          <w:b/>
          <w:i w:val="0"/>
          <w:sz w:val="21"/>
        </w:rPr>
        <w:t>Copyright: Inland Revenue Department</w:t>
      </w:r>
    </w:p>
    <w:p>
      <w:pPr>
        <w:spacing w:after="120" w:line="252" w:lineRule="auto"/>
      </w:pPr>
      <w:r>
        <w:rPr>
          <w:rFonts w:ascii="Times New Roman" w:hAnsi="Times New Roman" w:eastAsia="Times New Roman"/>
          <w:b w:val="0"/>
          <w:i w:val="0"/>
          <w:sz w:val="21"/>
        </w:rPr>
        <w:t>Lazimpat, Kathmandu</w:t>
      </w:r>
    </w:p>
    <w:p>
      <w:pPr>
        <w:spacing w:after="120" w:line="252" w:lineRule="auto"/>
      </w:pPr>
      <w:r>
        <w:rPr>
          <w:rFonts w:ascii="Times New Roman" w:hAnsi="Times New Roman" w:eastAsia="Times New Roman"/>
          <w:b w:val="0"/>
          <w:i w:val="0"/>
          <w:sz w:val="21"/>
        </w:rPr>
      </w:r>
    </w:p>
    <w:p>
      <w:pPr>
        <w:spacing w:after="120" w:line="252" w:lineRule="auto"/>
      </w:pPr>
      <w:r>
        <w:rPr>
          <w:rFonts w:ascii="Times New Roman" w:hAnsi="Times New Roman" w:eastAsia="Times New Roman"/>
          <w:b/>
          <w:i w:val="0"/>
          <w:sz w:val="21"/>
        </w:rPr>
        <w:t>Publication date: Falgun 2081</w:t>
      </w:r>
    </w:p>
    <w:p>
      <w:r>
        <w:br w:type="page"/>
      </w:r>
    </w:p>
    <w:p>
      <w:pPr>
        <w:spacing w:before="120" w:after="200"/>
        <w:jc w:val="center"/>
      </w:pPr>
      <w:r>
        <w:rPr>
          <w:rFonts w:ascii="Times New Roman" w:hAnsi="Times New Roman" w:eastAsia="Times New Roman"/>
          <w:b/>
          <w:sz w:val="28"/>
        </w:rPr>
        <w:t>Preface to the Fifth Amendment</w:t>
      </w:r>
    </w:p>
    <w:p>
      <w:pPr>
        <w:spacing w:after="120" w:line="252" w:lineRule="auto"/>
        <w:ind w:firstLine="360"/>
      </w:pPr>
      <w:r>
        <w:rPr>
          <w:rFonts w:ascii="Times New Roman" w:hAnsi="Times New Roman" w:eastAsia="Times New Roman"/>
          <w:b w:val="0"/>
          <w:i w:val="0"/>
          <w:sz w:val="21"/>
        </w:rPr>
        <w:t>The Income Tax Act, 2058, which was introduced with the objective of bringing the tax system to an international standard by adopting tax principles such as simplicity, ease, neutrality, fairness, certainty and transparency, has now been in force for two decades. In order to make the provisions of the Act simple and clear and to bring uniformity in implementation by the tax administration, the Income Tax Directive was first prepared and brought into implementation in 2066. After the Directive was prepared, it was amended for the first time in 2068, for the second time in 2073, for the third time in 2077 and for the fourth time in 2078, incorporating various amendments made to the Income Tax Act, issues observed during implementation, and matters established as precedents through decisions of the Supreme Court. The fifth amendment to the Income Tax Directive, 2066 has been prepared by also incorporating the amendments made by the Finance Acts of 2079, 2080 and 2081, and the twelfth, thirteenth and fourteenth amendments to the Income Tax Rules, 2059.</w:t>
      </w:r>
    </w:p>
    <w:p>
      <w:pPr>
        <w:spacing w:after="120" w:line="252" w:lineRule="auto"/>
        <w:ind w:firstLine="360"/>
      </w:pPr>
      <w:r>
        <w:rPr>
          <w:rFonts w:ascii="Times New Roman" w:hAnsi="Times New Roman" w:eastAsia="Times New Roman"/>
          <w:b w:val="0"/>
          <w:i w:val="0"/>
          <w:sz w:val="21"/>
        </w:rPr>
        <w:t>I express heartfelt gratitude to Hon. Deputy Prime Minister and Minister for Finance Shri Bishnu Prasad Paudel, and to the two Secretaries of the Ministry of Finance, for providing guidance and inspiration in preparing this Directive. I would like to give special thanks for this valuable work to Deputy Director General Shri Sewantak Pokharel, who coordinated the revision work and made the present Directive ready for publication, and to the Directors of this Department Shri Prakash Paudel, Shri Padam Kumar Shrestha, Shri Subodh Etibada, Shri Manju Adhikari, Shri Basudev Paudel, Shri Lal Prasad Sharma Pangeri, Shri Kapil Prasad Subedi, Shri Kamal Lamichhane, Shri Sangita Ghimire Subedi, Deputy Attorney Shri Sabita Sharma, Chief Tax Officers Shri Bimal Sapkota, Shri Jagadish Basnet, Shri Raju Pyakurel, Shri Raj Kumar Adhikari, Section Officers Shri Keshav Raghuvanshi, Shri Nagendra Tharu, Shri Egendra Prasad Dahal and Assistant Attorney Shri Dadhiram Baral, who actively participated and fulfilled their responsibilities.</w:t>
      </w:r>
    </w:p>
    <w:p>
      <w:pPr>
        <w:spacing w:after="120" w:line="252" w:lineRule="auto"/>
        <w:ind w:firstLine="360"/>
      </w:pPr>
      <w:r>
        <w:rPr>
          <w:rFonts w:ascii="Times New Roman" w:hAnsi="Times New Roman" w:eastAsia="Times New Roman"/>
          <w:b w:val="0"/>
          <w:i w:val="0"/>
          <w:sz w:val="21"/>
        </w:rPr>
        <w:t>I always expect valuable suggestions from taxpayers, auditors, professionals, employees, stakeholders and the general public so that timely improvements can be made to this Directive in the coming days. Finally, I believe that this Directive will make tax administration fair, transparent and taxpayer-friendly, and will reduce tax-related disputes.</w:t>
      </w:r>
    </w:p>
    <w:p>
      <w:pPr>
        <w:spacing w:after="120" w:line="252" w:lineRule="auto"/>
        <w:jc w:val="right"/>
      </w:pPr>
      <w:r>
        <w:rPr>
          <w:rFonts w:ascii="Times New Roman" w:hAnsi="Times New Roman" w:eastAsia="Times New Roman"/>
          <w:b w:val="0"/>
          <w:i w:val="0"/>
          <w:sz w:val="21"/>
        </w:rPr>
        <w:t>Falgun 2081</w:t>
        <w:tab/>
        <w:tab/>
        <w:tab/>
        <w:tab/>
        <w:t>Madan Dahal</w:t>
        <w:br/>
        <w:tab/>
        <w:tab/>
        <w:tab/>
        <w:tab/>
        <w:t>Director General</w:t>
      </w:r>
    </w:p>
    <w:p>
      <w:r>
        <w:br w:type="page"/>
      </w:r>
    </w:p>
    <w:p>
      <w:pPr>
        <w:spacing w:before="120" w:after="200"/>
        <w:jc w:val="center"/>
      </w:pPr>
      <w:r>
        <w:rPr>
          <w:rFonts w:ascii="Times New Roman" w:hAnsi="Times New Roman" w:eastAsia="Times New Roman"/>
          <w:b/>
          <w:sz w:val="28"/>
        </w:rPr>
        <w:t>Preface to the Fourth Amendment</w:t>
      </w:r>
    </w:p>
    <w:p>
      <w:pPr>
        <w:spacing w:after="120" w:line="252" w:lineRule="auto"/>
        <w:ind w:firstLine="360"/>
      </w:pPr>
      <w:r>
        <w:rPr>
          <w:rFonts w:ascii="Times New Roman" w:hAnsi="Times New Roman" w:eastAsia="Times New Roman"/>
          <w:b w:val="0"/>
          <w:i w:val="0"/>
          <w:sz w:val="21"/>
        </w:rPr>
        <w:t>The Income Tax Act, 2058, which was introduced with the objective of bringing the tax system to an international standard by adopting tax principles such as simplicity, neutrality, equity, fairness, certainty and transparency, has now been in force for two decades. In order to make the provisions of the Act simple and clear and to bring uniformity in implementation, the Income Tax Directive was first prepared and brought into implementation in 2066. After the Directive was prepared, it was amended for the first time in 2068, for the second time in 2073 and for the third time in 2077, incorporating various amendments made to the Income Tax Act, issues observed during implementation, and matters established as precedents through decisions of the Supreme Court. The fourth amendment to the Income Tax Directive, 2066 has been prepared by also incorporating the amendments made by the Finance Act, 2078 and the twelfth amendment to the Income Tax Rules, 2059.</w:t>
      </w:r>
    </w:p>
    <w:p>
      <w:pPr>
        <w:spacing w:after="120" w:line="252" w:lineRule="auto"/>
        <w:ind w:firstLine="360"/>
      </w:pPr>
      <w:r>
        <w:rPr>
          <w:rFonts w:ascii="Times New Roman" w:hAnsi="Times New Roman" w:eastAsia="Times New Roman"/>
          <w:b w:val="0"/>
          <w:i w:val="0"/>
          <w:sz w:val="21"/>
        </w:rPr>
        <w:t>I express heartfelt gratitude to Hon. Minister for Finance Shri Janardan Sharma “Prabhakar”, Secretary Shri Madhu Kumar Marasini and Revenue Secretary Shri Krishna Hari Pushkar for providing guidance and inspiration in preparing this Directive. I would like to give special thanks for this valuable work to Deputy Director General Shri Anand Kafle, who coordinated the revision work and made the present Directive ready for publication, and to the Directors of this Department Shri Prakash Paudel, Shri Padam Kumar Shrestha, Shri Lal Prasad Sharma Pangeri, Shri Dhruvaraj Gyawali, Shri Kishor Dhakal, Chief Tax Officers Shri Durgadatta Bhandari, Shri Rajendra Hamal, Shri Jagadish Basnet, Shri Dolindra Prasad Sharma, and Section Officers Shri Kedar Kumar Shrestha and Shri Om Prakash Bhattarai, who fulfilled their responsibilities. I also thank Deputy Director Generals Shri Arjun Prasad Bhattarai and Shri Govinda Prasad Subedi, and Information Technology Expert Shri Ramesh Paudel, who provided advice and suggestions during the preparation of this Directive.</w:t>
      </w:r>
    </w:p>
    <w:p>
      <w:pPr>
        <w:spacing w:after="120" w:line="252" w:lineRule="auto"/>
        <w:ind w:firstLine="360"/>
      </w:pPr>
      <w:r>
        <w:rPr>
          <w:rFonts w:ascii="Times New Roman" w:hAnsi="Times New Roman" w:eastAsia="Times New Roman"/>
          <w:b w:val="0"/>
          <w:i w:val="0"/>
          <w:sz w:val="21"/>
        </w:rPr>
        <w:t>I always expect valuable suggestions from taxpayers, auditors, professionals, employees, stakeholders and the general public so that timely improvements can be made to this Directive in the coming days. Finally, I believe that this Directive will make tax administration fair, transparent and taxpayer-friendly, and will reduce tax-related disputes.</w:t>
      </w:r>
    </w:p>
    <w:p>
      <w:pPr>
        <w:spacing w:after="120" w:line="252" w:lineRule="auto"/>
        <w:jc w:val="right"/>
      </w:pPr>
      <w:r>
        <w:rPr>
          <w:rFonts w:ascii="Times New Roman" w:hAnsi="Times New Roman" w:eastAsia="Times New Roman"/>
          <w:b w:val="0"/>
          <w:i w:val="0"/>
          <w:sz w:val="21"/>
        </w:rPr>
        <w:t>Magh 2078</w:t>
        <w:tab/>
        <w:tab/>
        <w:tab/>
        <w:tab/>
        <w:t>Shobhakanta Paudel</w:t>
        <w:br/>
        <w:tab/>
        <w:tab/>
        <w:tab/>
        <w:tab/>
        <w:t>Director General</w:t>
      </w:r>
    </w:p>
    <w:p>
      <w:r>
        <w:br w:type="page"/>
      </w:r>
    </w:p>
    <w:p>
      <w:pPr>
        <w:spacing w:before="120" w:after="200"/>
        <w:jc w:val="center"/>
      </w:pPr>
      <w:r>
        <w:rPr>
          <w:rFonts w:ascii="Times New Roman" w:hAnsi="Times New Roman" w:eastAsia="Times New Roman"/>
          <w:b/>
          <w:sz w:val="28"/>
        </w:rPr>
        <w:t>Preface to the Third Amendment</w:t>
      </w:r>
    </w:p>
    <w:p>
      <w:pPr>
        <w:spacing w:after="120" w:line="252" w:lineRule="auto"/>
        <w:ind w:firstLine="360"/>
      </w:pPr>
      <w:r>
        <w:rPr>
          <w:rFonts w:ascii="Times New Roman" w:hAnsi="Times New Roman" w:eastAsia="Times New Roman"/>
          <w:b w:val="0"/>
          <w:i w:val="0"/>
          <w:sz w:val="21"/>
        </w:rPr>
        <w:t>Among the tax laws administered by the Inland Revenue Department, the Income Tax Act, 2058 is one of the major tax laws. The Income Tax Act, 2058, which was enacted and brought into use with the objective of making the tax system modern and of international standard, has been in force for almost two decades. The Income Tax Directive, first prepared in 2066 to simplify implementation of this Act and increase the efficiency and capacity of the overall tax administration, has proven to be a milestone in the history of tax administration. I express heartfelt gratitude for the contribution of the tax administrators of the Department at that time. In the process of further revising this Directive by incorporating amendments made to the Income Tax Act through each fiscal year’s Finance Act, amendments made to the Income Tax Rules, and interpretations made from time to time in the course of implementing tax laws, it was amended for the first time in 2068 and for the second time in 2073. I am pleased, as Director General, to be able to make public this third revised edition of the Directive in such a short time by incorporating the amendments made after the Finance Act, 2073, the amendments made by the Finance Act, 2077, and the amended provisions up to the eleventh amendment to the Income Tax Rules, 2059, with a view to bringing uniformity in the interpretation and implementation of tax law and making the Directive further refined.</w:t>
      </w:r>
    </w:p>
    <w:p>
      <w:pPr>
        <w:spacing w:after="120" w:line="252" w:lineRule="auto"/>
        <w:ind w:firstLine="360"/>
      </w:pPr>
      <w:r>
        <w:rPr>
          <w:rFonts w:ascii="Times New Roman" w:hAnsi="Times New Roman" w:eastAsia="Times New Roman"/>
          <w:b w:val="0"/>
          <w:i w:val="0"/>
          <w:sz w:val="21"/>
        </w:rPr>
        <w:t>I express heartfelt gratitude to Hon. Minister for Finance Shri Yubaraj Khatiwada, Finance Secretary Shri Shishir Kumar Dhungana and Revenue Secretary Shri Ram Sharan Pudasaini for providing encouragement and inspiration to revise this Directive, which plays a supportive role in making tax administration simple and reliable in accordance with the modern tax system and in developing a transparent tax system. Even in the difficult situation caused by the global spread of COVID-19, this Directive was revised and made ready for publication through the active involvement of Deputy Director General Shri Thaneshwar Gautam, who coordinated the work, and by the Directors of this Department Shri Padam Kumar Shrestha, Shri Maharaj Koirala, Shri Gopikrishna Koirala, Shri Jagadish Basnet, Shri Arjun Dhakal, Shri Arjun Prasad Bhattarai, Chief Tax Officers Shri Kedarnath Sharma, Shri Bishwabandhu Paudel, Shri Jeevan Kumar Ghimire, Shri Ram Prasad Mainali, Shri Sharad Niraula, Shri Lal Prasad Sharma Pangeri, and Section Officers Shri Yubaraj Basnet and Shri Rupesh Jung Thapa Magar, who fulfilled their responsibilities. I give special thanks to them for this valuable work. I also thank Deputy Director Generals Shri Mukti Prasad Pandey and Shri Shivadevi Dahal and Information Technology Expert Shri Ramesh Paudel, who provided advice and suggestions during the preparation of this Directive.</w:t>
      </w:r>
    </w:p>
    <w:p>
      <w:pPr>
        <w:spacing w:after="120" w:line="252" w:lineRule="auto"/>
        <w:ind w:firstLine="360"/>
      </w:pPr>
      <w:r>
        <w:rPr>
          <w:rFonts w:ascii="Times New Roman" w:hAnsi="Times New Roman" w:eastAsia="Times New Roman"/>
          <w:b w:val="0"/>
          <w:i w:val="0"/>
          <w:sz w:val="21"/>
        </w:rPr>
        <w:t>I always expect valuable suggestions from taxpayers, auditors, professionals, employees and the general public so that timely improvements can be made to this Directive in the coming days. Finally, I believe that this Directive will increase voluntary tax participation, reduce the cost and time of tax participation, and maintain uniformity in work performance with efficiency in the overall tax administration.</w:t>
      </w:r>
    </w:p>
    <w:p>
      <w:pPr>
        <w:spacing w:after="120" w:line="252" w:lineRule="auto"/>
        <w:jc w:val="right"/>
      </w:pPr>
      <w:r>
        <w:rPr>
          <w:rFonts w:ascii="Times New Roman" w:hAnsi="Times New Roman" w:eastAsia="Times New Roman"/>
          <w:b w:val="0"/>
          <w:i w:val="0"/>
          <w:sz w:val="21"/>
        </w:rPr>
        <w:t>Ashadh 2077</w:t>
        <w:tab/>
        <w:tab/>
        <w:tab/>
        <w:tab/>
        <w:t>Binod Bahadur Kunwar</w:t>
        <w:br/>
        <w:tab/>
        <w:tab/>
        <w:tab/>
        <w:tab/>
        <w:t>Director General</w:t>
      </w:r>
    </w:p>
    <w:p>
      <w:r>
        <w:br w:type="page"/>
      </w:r>
    </w:p>
    <w:p>
      <w:pPr>
        <w:spacing w:before="120" w:after="200"/>
        <w:jc w:val="center"/>
      </w:pPr>
      <w:r>
        <w:rPr>
          <w:rFonts w:ascii="Times New Roman" w:hAnsi="Times New Roman" w:eastAsia="Times New Roman"/>
          <w:b/>
          <w:sz w:val="28"/>
        </w:rPr>
        <w:t>Preface to the Second Amendment</w:t>
      </w:r>
    </w:p>
    <w:p>
      <w:pPr>
        <w:spacing w:after="120" w:line="252" w:lineRule="auto"/>
        <w:ind w:firstLine="360"/>
      </w:pPr>
      <w:r>
        <w:rPr>
          <w:rFonts w:ascii="Times New Roman" w:hAnsi="Times New Roman" w:eastAsia="Times New Roman"/>
          <w:b w:val="0"/>
          <w:i w:val="0"/>
          <w:sz w:val="21"/>
        </w:rPr>
        <w:t>In Nepal, nearly two and a half decades are about to be completed since the adoption of the self-assessment system. Under this system, taxpayers are encouraged to increase tax participation through taxpayer service and taxpayer education. The more taxpayers are informed about tax laws, the more tax participation increases in accordance with the spirit and intent of tax law. It is known to all that tax law is comparatively more complex than other laws. It is therefore essential to bring uniformity in the understanding, interpretation and implementation of such Acts and Rules. In this context, as an effort to make the legal provisions in tax law as simple as possible through objective interpretation and relevant examples, in line with the expectations of employees, taxpayers and those who use or cause the use of it, the Income Tax Directive, 2066 (First Amendment, 2068), the Procedure Directive relating to House Rent Tax Collection, 2068, the Procedure relating to Computer Billing, 2071, and the Directive relating to Capital Gains Tax on Disposal of Land and Buildings, 2072 had already been issued. The provisions and publication of such directives/procedures have not only brought uniformity in the interpretation and implementation of tax law, but have also played an important role in increasing taxpayers’ tax participation and reducing the cost of tax participation. In this same context, the Department has also made timely revisions to the Integrated Tax Audit Guideline, 2068 and has issued the Directive relating to Long-term Contracts, 2073.</w:t>
      </w:r>
    </w:p>
    <w:p>
      <w:pPr>
        <w:spacing w:after="120" w:line="252" w:lineRule="auto"/>
        <w:ind w:firstLine="360"/>
      </w:pPr>
      <w:r>
        <w:rPr>
          <w:rFonts w:ascii="Times New Roman" w:hAnsi="Times New Roman" w:eastAsia="Times New Roman"/>
          <w:b w:val="0"/>
          <w:i w:val="0"/>
          <w:sz w:val="21"/>
        </w:rPr>
        <w:t>This Directive has been revised by incorporating the amendments made by the Finance Act, 2073. I would like to express heartfelt gratitude to former Minister of the Government of Nepal and tax expert Shri Vidyadhar Mallik for providing his valuable time and suggestions for revising this Directive. I would like to give special thanks to Deputy Director General Shri Chandrakala Paudel, Directors Shri Harnath Giri and Shri Sharad Niraula, Chief Tax Officers of the Large Taxpayer Office Shri Gopal Prasad Ghimire and Shri Dirgharaj Mainali, Chief Tax Officer of the Balaju Taxpayer Service Office Shri Kapil Prasad Subedi, Section Officer of the Inland Revenue Department Shri Pramod Kumar Srivastav, Tax Officers of Inland Revenue Office Area No. 1 Shri Anand Kafle and Shri Prakash Sharma Dhakal, and Tax Officers of Inland Revenue Office Bharatpur Shri Tekraj Syangtan and Shri Dipak Paudel, who were involved in preparing this Directive. I also express heartfelt thanks and gratitude to Hon. Minister for Finance Shri Krishna Bahadur Mahara, Finance Secretary Shri Shanta Raj Subedi and Revenue Secretary Shri Rajan Khanal for always motivating publication of this Directive and providing guidance and feedback.</w:t>
      </w:r>
    </w:p>
    <w:p>
      <w:pPr>
        <w:spacing w:after="120" w:line="252" w:lineRule="auto"/>
        <w:ind w:firstLine="360"/>
      </w:pPr>
      <w:r>
        <w:rPr>
          <w:rFonts w:ascii="Times New Roman" w:hAnsi="Times New Roman" w:eastAsia="Times New Roman"/>
          <w:b w:val="0"/>
          <w:i w:val="0"/>
          <w:sz w:val="21"/>
        </w:rPr>
        <w:t>I express commitment to include, in coming editions, the subject matter that could not be included while preparing this Directive. I expect constructive suggestions from taxpayers, businesspersons, auditors, professionals, employees and the general public to make the Directive further simple.</w:t>
      </w:r>
    </w:p>
    <w:p>
      <w:pPr>
        <w:spacing w:after="120" w:line="252" w:lineRule="auto"/>
        <w:jc w:val="right"/>
      </w:pPr>
      <w:r>
        <w:rPr>
          <w:rFonts w:ascii="Times New Roman" w:hAnsi="Times New Roman" w:eastAsia="Times New Roman"/>
          <w:b w:val="0"/>
          <w:i w:val="0"/>
          <w:sz w:val="21"/>
        </w:rPr>
        <w:t>Magh 2073</w:t>
        <w:tab/>
        <w:tab/>
        <w:tab/>
        <w:tab/>
        <w:t>Chudamani Sharma</w:t>
        <w:br/>
        <w:tab/>
        <w:tab/>
        <w:tab/>
        <w:tab/>
        <w:t>Director General</w:t>
      </w:r>
    </w:p>
    <w:p>
      <w:r>
        <w:br w:type="page"/>
      </w:r>
    </w:p>
    <w:p>
      <w:pPr>
        <w:spacing w:before="120" w:after="200"/>
        <w:jc w:val="center"/>
      </w:pPr>
      <w:r>
        <w:rPr>
          <w:rFonts w:ascii="Times New Roman" w:hAnsi="Times New Roman" w:eastAsia="Times New Roman"/>
          <w:b/>
          <w:sz w:val="28"/>
        </w:rPr>
        <w:t>Preface to the First Amendment</w:t>
      </w:r>
    </w:p>
    <w:p>
      <w:pPr>
        <w:spacing w:after="120" w:line="252" w:lineRule="auto"/>
        <w:ind w:firstLine="360"/>
      </w:pPr>
      <w:r>
        <w:rPr>
          <w:rFonts w:ascii="Times New Roman" w:hAnsi="Times New Roman" w:eastAsia="Times New Roman"/>
          <w:b w:val="0"/>
          <w:i w:val="0"/>
          <w:sz w:val="21"/>
        </w:rPr>
        <w:t>We had tried to revise the Income Tax Directive, 2066 in the previous fiscal year itself. Because of the delay in the presentation of the budget, it could not be revised last year. Therefore, incorporating the amendment made by this year’s Finance Bill, the necessary revision was completed within fifteen days of the presentation of the budget and this Directive has been prepared. The Department is pleased to have revised it within a short time and to have made it public in final form, including through the website of the Inland Revenue Department. Since the tax system is an important instrument of fiscal policy for maintaining neutrality in the economy, its proper use provides the State with a sustainable tax base. When taxpayers can use simple tax law, the cost of tax participation decreases and the Nepali economy becomes competitive in the world market. As Nepal’s income tax policy envisages voluntary tax compliance, this Directive also helps to secure such compliance. In the fifty-year development process since the beginning of the income tax system in Nepal, this Directive will be the third such document. During the previous year, when we issued this Directive with detailed interpretation of the income tax law, which was considered complex among general taxpayers and its users, we received good responses from the taxpayers. We also received suggestions for improvement. The Department has taken this work as its responsibility and duty toward taxpayers. Taking those suggestions into account, we have tried to make this revision somewhat more refined and improved.</w:t>
      </w:r>
    </w:p>
    <w:p>
      <w:pPr>
        <w:spacing w:after="120" w:line="252" w:lineRule="auto"/>
        <w:ind w:firstLine="360"/>
      </w:pPr>
      <w:r>
        <w:rPr>
          <w:rFonts w:ascii="Times New Roman" w:hAnsi="Times New Roman" w:eastAsia="Times New Roman"/>
          <w:b w:val="0"/>
          <w:i w:val="0"/>
          <w:sz w:val="21"/>
        </w:rPr>
        <w:t>I believe that this will help businesspersons who comply with income tax law, tax intermediaries who use it, agencies that monitor policy compliance, and the related bodies that formulate and implement policy, by providing interpretation of tax law and practical knowledge of its application. During the preparation of this Directive, we had also stated in its preface that continuous efforts to build a good tax system, preparing action plans by giving priority to tax reform agendas to reduce the cost and time of tax participation, and interpreting complex aspects of tax law to make them simple would remain priorities of the Department. The Department will remain committed to the effectiveness of responsible tax administration toward the State through convenient electronic services for tax law compliance, active dialogue with taxpayers regarding tax law, and responsive service. We have also begun studies on issues such as preparation of directives within income tax law relating to transfer pricing, permanent establishment and long-term contracts, estimation of the tax participation cost in Nepal, and the gap between tax to be collected and tax collected. If these works can be completed in time, it can be believed that the interpretation and compliance of this law will become complete. Since the method of studying the Directive and its special features were covered in the previous preface, it does not appear necessary to repeat them here.</w:t>
      </w:r>
    </w:p>
    <w:p>
      <w:pPr>
        <w:spacing w:after="120" w:line="252" w:lineRule="auto"/>
        <w:ind w:firstLine="360"/>
      </w:pPr>
      <w:r>
        <w:rPr>
          <w:rFonts w:ascii="Times New Roman" w:hAnsi="Times New Roman" w:eastAsia="Times New Roman"/>
          <w:b w:val="0"/>
          <w:i w:val="0"/>
          <w:sz w:val="21"/>
        </w:rPr>
        <w:t>The revision of this Directive has been possible because of the active role of Finance Secretary Shri Krishna Hari Baskota, who has shown the spirit that, for reform of the tax system, simplicity and transparency must be maintained and the tax administration must always remain close to, not distant from, general taxpayers. The Department family expresses gratitude to him. The Department expresses heartfelt gratitude to the Hon. Deputy Prime Minister and Minister for Finance, who has always provided encouragement for reform. Since income tax law is a complex subject, the advice of accounting expert Shri Bhavanath Dahal in preparing it in a manner understandable to taxpayers, accounting professionals, tax administration, legal experts who interpret it, and other stakeholders has been commendable. I would like to thank the German donor agency GTZ and its office bearers and experts, who continuously support reform of the income tax system, and Shri Padmanabha Singh Karki, who has always shown interest in tax administration reform.</w:t>
      </w:r>
    </w:p>
    <w:p>
      <w:pPr>
        <w:spacing w:after="120" w:line="252" w:lineRule="auto"/>
        <w:ind w:firstLine="360"/>
      </w:pPr>
      <w:r>
        <w:rPr>
          <w:rFonts w:ascii="Times New Roman" w:hAnsi="Times New Roman" w:eastAsia="Times New Roman"/>
          <w:b w:val="0"/>
          <w:i w:val="0"/>
          <w:sz w:val="21"/>
        </w:rPr>
        <w:t>Finally, I would like to thank Deputy Director General Shri Krishna Prasad Devkota of this Department, under whose active leadership this difficult and complex work was undertaken and the present Directive was revised and made ready for publication, and the Directors of my Department Shri Bishworaj Pandey and Shri Badri Prasad Gautam, Chief Tax Officer of the Large Taxpayer Office Shri Gopal Prasad Ghimire, Tax Officers Shri Kapil Prasad Subedi and Shri Surya Prasad Pokharel, who fulfilled their responsibilities diligently in this courageous work. I also thank Deputy Director Generals Shri Khemraj Pujali and Shri Laxman Aryal, and Information Technology Expert Shri Kapil Dev Shrestha, who continuously encouraged and inspired me and this team and worked with great dedication and effort.</w:t>
      </w:r>
    </w:p>
    <w:p>
      <w:pPr>
        <w:spacing w:after="120" w:line="252" w:lineRule="auto"/>
        <w:ind w:firstLine="360"/>
      </w:pPr>
      <w:r>
        <w:rPr>
          <w:rFonts w:ascii="Times New Roman" w:hAnsi="Times New Roman" w:eastAsia="Times New Roman"/>
          <w:b w:val="0"/>
          <w:i w:val="0"/>
          <w:sz w:val="21"/>
        </w:rPr>
        <w:t>There will always be scope for further improvement in this Directive. For this purpose, the Department will always await suggestions from taxpayers and practitioners. I also promise to correct typographical errors in the future. I believe that use of this Directive will further increase voluntary tax participation and will support our campaign that the taxes we pay are for our own development and for building a modern and prosperous Nepal.</w:t>
      </w:r>
    </w:p>
    <w:p>
      <w:pPr>
        <w:spacing w:after="120" w:line="252" w:lineRule="auto"/>
        <w:jc w:val="right"/>
      </w:pPr>
      <w:r>
        <w:rPr>
          <w:rFonts w:ascii="Times New Roman" w:hAnsi="Times New Roman" w:eastAsia="Times New Roman"/>
          <w:b w:val="0"/>
          <w:i w:val="0"/>
          <w:sz w:val="21"/>
        </w:rPr>
        <w:t>Date: 2068.04.15</w:t>
        <w:tab/>
        <w:tab/>
        <w:tab/>
        <w:tab/>
        <w:t>Rajan Khanal</w:t>
        <w:br/>
        <w:tab/>
        <w:tab/>
        <w:tab/>
        <w:tab/>
        <w:t>Director General</w:t>
      </w:r>
    </w:p>
    <w:p>
      <w:r>
        <w:br w:type="page"/>
      </w:r>
    </w:p>
    <w:p>
      <w:pPr>
        <w:spacing w:before="120" w:after="200"/>
        <w:jc w:val="center"/>
      </w:pPr>
      <w:r>
        <w:rPr>
          <w:rFonts w:ascii="Times New Roman" w:hAnsi="Times New Roman" w:eastAsia="Times New Roman"/>
          <w:b/>
          <w:sz w:val="28"/>
        </w:rPr>
        <w:t>Preface</w:t>
      </w:r>
    </w:p>
    <w:p>
      <w:pPr>
        <w:spacing w:after="120" w:line="252" w:lineRule="auto"/>
        <w:ind w:firstLine="360"/>
      </w:pPr>
      <w:r>
        <w:rPr>
          <w:rFonts w:ascii="Times New Roman" w:hAnsi="Times New Roman" w:eastAsia="Times New Roman"/>
          <w:b w:val="0"/>
          <w:i w:val="0"/>
          <w:sz w:val="21"/>
        </w:rPr>
        <w:t>Nearly fifty years have passed since income tax was introduced in Nepal. Its integration with the basic concepts of a modern tax system, however, was achieved by the Income Tax Act, 2058. This development in the Income Tax Act has not only provided policy guidance for income tax but has also opened the door for reform of the entire working system. Implementation of this Act has gradually broadened the tax base, which had been narrow. It has maintained uniformity in tax treatment of taxpayers, established a direct relationship between the national tax system and the international tax system, promoted an investment-friendly tax policy and promoted taxpayers’ voluntary tax participation. By ending the residual powers traditionally held by tax officers, this Act has made the tax administration and taxpayers accountable and responsible under this Act as a rule-of-law instrument. In addition, after implementation of this Act, the increase in income tax in revenue collection has made income tax the second largest source of revenue mobilization in Nepal at present, and in future it appears to be developing as the main basis of revenue mobilization. By adopting fundamental norms of a good tax system such as simplicity, neutrality, equity, fairness, certainty and transparency, and by reducing the gap in minimum taxation, this Act has oriented the system toward equity, convenience and efficiency in tax collection, economy, expansion of the economy and efficiency in economic growth. Since it has taken the first step toward modernizing Nepal’s tax system, there is a continuous need for its timeliness and revision.</w:t>
      </w:r>
    </w:p>
    <w:p>
      <w:pPr>
        <w:spacing w:after="120" w:line="252" w:lineRule="auto"/>
        <w:ind w:firstLine="360"/>
      </w:pPr>
      <w:r>
        <w:rPr>
          <w:rFonts w:ascii="Times New Roman" w:hAnsi="Times New Roman" w:eastAsia="Times New Roman"/>
          <w:b w:val="0"/>
          <w:i w:val="0"/>
          <w:sz w:val="21"/>
        </w:rPr>
        <w:t>The theoretical basis of income tax is to guarantee distributive justice of income, maintain macroeconomic stability, make the State’s fiscal structure balanced and suitable, and help demonstrate integrity by creating the basis of a transparent economy in society. Since income tax is an important policy instrument of fiscal policy, which is a major policy mechanism of economic policy, it envisages a broad tax base for a sustainable basis of revenue, which also expects integration with policies that promote economic activities. In the present context of globalization, Nepal’s aim appears to be to make the legal provisions of income tax consistent with international standards, create an investment-friendly environment, protect Nepal’s taxable capacity and collect official revenue for the State of Nepal through a competitive and stable tax policy. The objectives of the Act are to tax all types of income and sources of income on the basis of equality, make income tax flexible and productive, increase the competitive capacity of business by reducing the tax participation cost of businesspersons and the tax collection cost of the Government, make income tax neutral and increase the efficiency of the economy, develop a simple, easy and transparent modern tax system, develop account-based self-assessment and awaken a sense of business responsibility, and promote an accountable and transparent tax system by making all income tax functions based on legal methods and procedures.</w:t>
      </w:r>
    </w:p>
    <w:p>
      <w:pPr>
        <w:spacing w:after="120" w:line="252" w:lineRule="auto"/>
        <w:ind w:firstLine="360"/>
      </w:pPr>
      <w:r>
        <w:rPr>
          <w:rFonts w:ascii="Times New Roman" w:hAnsi="Times New Roman" w:eastAsia="Times New Roman"/>
          <w:b w:val="0"/>
          <w:i w:val="0"/>
          <w:sz w:val="21"/>
        </w:rPr>
        <w:t>In the process of modernizing income tax administration, although more than eight years had passed since the Income Tax Act, 2058 was enacted and implemented, its substantive aspects still felt new; without understanding its special features, the Act as a whole could not be understood, and only by understanding its original features could all aspects of the Act be understood. Legal supremacy has been given to this Act so that all provisions relating to income tax are directed by this Act itself. All types of income-earning sources and transactions of natural persons and entities have been included within the tax net, and if the State has to provide income tax exemptions, a path has been opened so that this can be done by amending the specified law. Legal certainty has been provided for all expenses incurred in the course of earning income through ordinary deductions and special deductions, and clear bases have been determined for calculating income from employment, business and investment. This Act has adopted the principle of Pay-As-You-Earn. By determining bases and guidelines for accounting for income and expenses, it has created the basis for connecting Nepal’s tax system with the international tax system. Ambiguities in traditional definitions of income and property have been legally clarified. By making income earners clearly accountable in the income tax system and ending discretionary powers of the tax administration, it has emphasized development of a tax system based on the rule of law.</w:t>
      </w:r>
    </w:p>
    <w:p>
      <w:pPr>
        <w:spacing w:after="120" w:line="252" w:lineRule="auto"/>
        <w:ind w:firstLine="360"/>
      </w:pPr>
      <w:r>
        <w:rPr>
          <w:rFonts w:ascii="Times New Roman" w:hAnsi="Times New Roman" w:eastAsia="Times New Roman"/>
          <w:b w:val="0"/>
          <w:i w:val="0"/>
          <w:sz w:val="21"/>
        </w:rPr>
        <w:t>Clear distinctions have been made between tax planning and evasion, and between civil and criminal offences, and bases have been prescribed for instituting cases through government attorneys. If sufficient information and evidence are available, tax officers have been given authority to make amended assessments and jeopardy assessments. The quantification and characterization of income, division of income, transfer pricing, dividend stripping, the General Anti-Avoidance Rule and special provisions on income and expenses quarantine tax-risk aspects. Clear provisions have been made for tax and accounting systems with respect to taxable persons, entities and natural persons. Taxpayers’ legal rights in income tax have been protected and fully guaranteed; as tax treatment must be implemented by fully following recognized principles of natural justice, provision has been made for two levels of appeal for taxpayers. The Director General of the Department has also been made responsible, as the competent authority, for full implementation of the Act, and the Income Tax Act envisages stable and predictable tax policy and its management. This has been mentioned in the preamble as a basic thinking that can become a foundation of economic development.</w:t>
      </w:r>
    </w:p>
    <w:p>
      <w:pPr>
        <w:spacing w:after="120" w:line="252" w:lineRule="auto"/>
        <w:ind w:firstLine="360"/>
      </w:pPr>
      <w:r>
        <w:rPr>
          <w:rFonts w:ascii="Times New Roman" w:hAnsi="Times New Roman" w:eastAsia="Times New Roman"/>
          <w:b w:val="0"/>
          <w:i w:val="0"/>
          <w:sz w:val="21"/>
        </w:rPr>
        <w:t>In the initial stage of the Income Tax Act, there were complaints about complexity in view of its sensitivity. Because the Inland Revenue Department was determined to end those complaints permanently, after nearly one year of tireless effort this Income Tax Directive could be presented as the first step toward achieving that objective. Since income tax is also a complex subject, it may not have been possible to simplify it as much as desired, but the simple explanations and examples included here attempt to make it as simple as possible. I believe that use of this Directive will bring uniformity with operational efficiency in the field of income tax. In the coming days, this Directive will make the tax administration and taxpayers more accountable. Since it enables taxpayers to complete tax formalities, it appears to promote taxpayers’ voluntary tax participation. I believe that this internally simplified procedural arrangement introduced in the overall tax administration will also help develop a good tax system.</w:t>
      </w:r>
    </w:p>
    <w:p>
      <w:pPr>
        <w:spacing w:after="120" w:line="252" w:lineRule="auto"/>
        <w:ind w:firstLine="360"/>
      </w:pPr>
      <w:r>
        <w:rPr>
          <w:rFonts w:ascii="Times New Roman" w:hAnsi="Times New Roman" w:eastAsia="Times New Roman"/>
          <w:b w:val="0"/>
          <w:i w:val="0"/>
          <w:sz w:val="21"/>
        </w:rPr>
        <w:t>Since this Directive is a first-generation material, it may not have fully met what employees working in tax administration, tax professionals, general taxpayers and the professional groups using it expected regarding the various aspects of the Income Tax Act, 2058. However, I hope it will meet most expectations. The Department always expects opinions, suggestions and advice from all user groups to remove the shortcomings of this Directive. Since reform is not a destination but a continuous journey, the Department is committed to further revising this Directive every year after changes occur in the Income Tax Act and Rules and to bringing it into publication every year. Preparing this Directive required a full year of time and the use of considerable resources and manpower. On behalf of the Department, I would like to thank the Revenue Administration Support Project (RAS), operated with German technical cooperation, and its Project Manager Dr. Thomas Taraschewski for providing financial and technical support to prepare this Directive.</w:t>
      </w:r>
    </w:p>
    <w:p>
      <w:pPr>
        <w:spacing w:after="120" w:line="252" w:lineRule="auto"/>
        <w:ind w:firstLine="360"/>
      </w:pPr>
      <w:r>
        <w:rPr>
          <w:rFonts w:ascii="Times New Roman" w:hAnsi="Times New Roman" w:eastAsia="Times New Roman"/>
          <w:b w:val="0"/>
          <w:i w:val="0"/>
          <w:sz w:val="21"/>
        </w:rPr>
        <w:t>On behalf of the Department, I express heartfelt gratitude to the consultants involved in preparing this Directive, FCA Shri Sudarshan Raj Pandey, FCA Shri Shivnath Pandey and Senior Advocate Shri Pawan Kumar Ojha. I thank the colleagues in the Quality Circle formed on behalf of the Department to help make this Directive a quality document, Deputy Director Generals Shri Navaraj Bhandari and Shri Laxman Aryal, and all office bearers involved in this work. Project Coordinator Shri Padmanabha Singh Karki of the Revenue Administration Support Project (RAS), Director of this Department Shri Gopal Prasad Ghimire and Section Officer Shri Kapil Prasad Subedi, who remained continuously dedicated from the beginning to the end in preparing this Directive, deserve special thanks. On behalf of the Department, I also give heartfelt thanks to ICAN, FNCCI, the Chamber of Commerce and other institutions, Inland Revenue Offices and all other distinguished persons who provided advice and suggestions during the preparation of this Directive.</w:t>
      </w:r>
    </w:p>
    <w:p>
      <w:pPr>
        <w:spacing w:after="120" w:line="252" w:lineRule="auto"/>
        <w:ind w:firstLine="360"/>
      </w:pPr>
      <w:r>
        <w:rPr>
          <w:rFonts w:ascii="Times New Roman" w:hAnsi="Times New Roman" w:eastAsia="Times New Roman"/>
          <w:b w:val="0"/>
          <w:i w:val="0"/>
          <w:sz w:val="21"/>
        </w:rPr>
        <w:t>For the preparation of this Directive, accepting the Department’s request despite his extremely busy schedule, and with tireless effort and dedication, Shri Vidyadhar Mallik, former Director General of this Department and former Finance Secretary, played a leading role in quality review in this campaign to keep the flower that he planted in a beautiful garden. On behalf of the Department family, I express heartfelt thanks and gratitude to him and also expect inspiration from him for future revision. The Department expresses heartfelt gratitude to Hon. Minister for Finance Shri Surendra Pandey, Finance Secretary Shri Rameshwar Prasad Khanal and Revenue Secretary Shri Krishna Hari Baskota for always providing inspiration for preparing this Directive and for continuously helping to create an environment for managing resources.</w:t>
      </w:r>
    </w:p>
    <w:p>
      <w:pPr>
        <w:spacing w:after="120" w:line="252" w:lineRule="auto"/>
        <w:ind w:firstLine="360"/>
      </w:pPr>
      <w:r>
        <w:rPr>
          <w:rFonts w:ascii="Times New Roman" w:hAnsi="Times New Roman" w:eastAsia="Times New Roman"/>
          <w:b w:val="0"/>
          <w:i w:val="0"/>
          <w:sz w:val="21"/>
        </w:rPr>
        <w:t>Finally, the Department will always remember, in the journey of Nepal’s income tax development, the support provided by the International Monetary Fund and its legal expert Dr. Peter Harris, and by the Revenue Administration Support Project (RAS), operated with German technical cooperation, and Project Coordinator Shri Padmanabha Singh Karki, during the enactment of this Act and various stages of its implementation.</w:t>
      </w:r>
    </w:p>
    <w:p>
      <w:pPr>
        <w:spacing w:after="120" w:line="252" w:lineRule="auto"/>
        <w:jc w:val="right"/>
      </w:pPr>
      <w:r>
        <w:rPr>
          <w:rFonts w:ascii="Times New Roman" w:hAnsi="Times New Roman" w:eastAsia="Times New Roman"/>
          <w:b w:val="0"/>
          <w:i w:val="0"/>
          <w:sz w:val="21"/>
        </w:rPr>
        <w:t>Falgun 2066</w:t>
        <w:tab/>
        <w:tab/>
        <w:tab/>
        <w:tab/>
        <w:t>Shanta Bahadur Shrestha</w:t>
        <w:br/>
        <w:tab/>
        <w:tab/>
        <w:tab/>
        <w:tab/>
        <w:t>Director General</w:t>
      </w:r>
    </w:p>
    <w:p>
      <w:r>
        <w:br w:type="page"/>
      </w:r>
    </w:p>
    <w:p>
      <w:pPr>
        <w:spacing w:before="120" w:after="200"/>
        <w:jc w:val="center"/>
      </w:pPr>
      <w:r>
        <w:rPr>
          <w:rFonts w:ascii="Times New Roman" w:hAnsi="Times New Roman" w:eastAsia="Times New Roman"/>
          <w:b/>
          <w:sz w:val="28"/>
        </w:rPr>
        <w:t>Table of Contents</w:t>
      </w:r>
    </w:p>
    <w:tbl>
      <w:tblPr>
        <w:tblStyle w:val="TableGrid"/>
        <w:tblW w:type="auto" w:w="0"/>
        <w:jc w:val="center"/>
        <w:tblLook w:firstColumn="1" w:firstRow="1" w:lastColumn="0" w:lastRow="0" w:noHBand="0" w:noVBand="1" w:val="04A0"/>
      </w:tblPr>
      <w:tblGrid>
        <w:gridCol w:w="3202"/>
        <w:gridCol w:w="3202"/>
        <w:gridCol w:w="3202"/>
      </w:tblGrid>
      <w:tr>
        <w:trPr>
          <w:tblHeader w:val="true"/>
        </w:trPr>
        <w:tc>
          <w:tcPr>
            <w:tcW w:type="dxa" w:w="3202"/>
            <w:vAlign w:val="center"/>
            <w:shd w:fill="D9EAF7"/>
          </w:tcPr>
          <w:p>
            <w:r>
              <w:rPr>
                <w:rFonts w:ascii="Times New Roman" w:hAnsi="Times New Roman" w:eastAsia="Times New Roman"/>
                <w:sz w:val="18"/>
              </w:rPr>
            </w:r>
            <w:r>
              <w:rPr>
                <w:rFonts w:ascii="Times New Roman" w:hAnsi="Times New Roman" w:eastAsia="Times New Roman"/>
                <w:b/>
                <w:sz w:val="18"/>
              </w:rPr>
              <w:t>Chapter</w:t>
            </w:r>
          </w:p>
        </w:tc>
        <w:tc>
          <w:tcPr>
            <w:tcW w:type="dxa" w:w="3202"/>
            <w:vAlign w:val="center"/>
            <w:shd w:fill="D9EAF7"/>
          </w:tcPr>
          <w:p>
            <w:r>
              <w:rPr>
                <w:rFonts w:ascii="Times New Roman" w:hAnsi="Times New Roman" w:eastAsia="Times New Roman"/>
                <w:sz w:val="18"/>
              </w:rPr>
            </w:r>
            <w:r>
              <w:rPr>
                <w:rFonts w:ascii="Times New Roman" w:hAnsi="Times New Roman" w:eastAsia="Times New Roman"/>
                <w:b/>
                <w:sz w:val="18"/>
              </w:rPr>
              <w:t>Title</w:t>
            </w:r>
          </w:p>
        </w:tc>
        <w:tc>
          <w:tcPr>
            <w:tcW w:type="dxa" w:w="3202"/>
            <w:vAlign w:val="center"/>
            <w:shd w:fill="D9EAF7"/>
          </w:tcPr>
          <w:p>
            <w:r>
              <w:rPr>
                <w:rFonts w:ascii="Times New Roman" w:hAnsi="Times New Roman" w:eastAsia="Times New Roman"/>
                <w:sz w:val="18"/>
              </w:rPr>
            </w:r>
            <w:r>
              <w:rPr>
                <w:rFonts w:ascii="Times New Roman" w:hAnsi="Times New Roman" w:eastAsia="Times New Roman"/>
                <w:b/>
                <w:sz w:val="18"/>
              </w:rPr>
              <w:t>Page</w:t>
            </w:r>
          </w:p>
        </w:tc>
      </w:tr>
      <w:tr>
        <w:tc>
          <w:tcPr>
            <w:tcW w:type="dxa" w:w="3202"/>
            <w:vAlign w:val="center"/>
          </w:tcPr>
          <w:p>
            <w:r>
              <w:rPr>
                <w:rFonts w:ascii="Times New Roman" w:hAnsi="Times New Roman" w:eastAsia="Times New Roman"/>
                <w:sz w:val="18"/>
              </w:rPr>
            </w:r>
            <w:r>
              <w:rPr>
                <w:rFonts w:ascii="Times New Roman" w:hAnsi="Times New Roman" w:eastAsia="Times New Roman"/>
                <w:b w:val="0"/>
                <w:sz w:val="18"/>
              </w:rPr>
              <w:t>Chapter 1</w:t>
            </w:r>
          </w:p>
        </w:tc>
        <w:tc>
          <w:tcPr>
            <w:tcW w:type="dxa" w:w="3202"/>
            <w:vAlign w:val="center"/>
          </w:tcPr>
          <w:p>
            <w:r>
              <w:rPr>
                <w:rFonts w:ascii="Times New Roman" w:hAnsi="Times New Roman" w:eastAsia="Times New Roman"/>
                <w:sz w:val="18"/>
              </w:rPr>
            </w:r>
            <w:r>
              <w:rPr>
                <w:rFonts w:ascii="Times New Roman" w:hAnsi="Times New Roman" w:eastAsia="Times New Roman"/>
                <w:b w:val="0"/>
                <w:sz w:val="18"/>
              </w:rPr>
              <w:t>Introduction</w:t>
            </w:r>
          </w:p>
        </w:tc>
        <w:tc>
          <w:tcPr>
            <w:tcW w:type="dxa" w:w="3202"/>
            <w:vAlign w:val="center"/>
          </w:tcPr>
          <w:p>
            <w:r>
              <w:rPr>
                <w:rFonts w:ascii="Times New Roman" w:hAnsi="Times New Roman" w:eastAsia="Times New Roman"/>
                <w:sz w:val="18"/>
              </w:rPr>
            </w:r>
            <w:r>
              <w:rPr>
                <w:rFonts w:ascii="Times New Roman" w:hAnsi="Times New Roman" w:eastAsia="Times New Roman"/>
                <w:b w:val="0"/>
                <w:sz w:val="18"/>
              </w:rPr>
              <w:t>1</w:t>
            </w:r>
          </w:p>
        </w:tc>
      </w:tr>
      <w:tr>
        <w:tc>
          <w:tcPr>
            <w:tcW w:type="dxa" w:w="3202"/>
            <w:vAlign w:val="center"/>
          </w:tcPr>
          <w:p>
            <w:r>
              <w:rPr>
                <w:rFonts w:ascii="Times New Roman" w:hAnsi="Times New Roman" w:eastAsia="Times New Roman"/>
                <w:sz w:val="18"/>
              </w:rPr>
            </w:r>
            <w:r>
              <w:rPr>
                <w:rFonts w:ascii="Times New Roman" w:hAnsi="Times New Roman" w:eastAsia="Times New Roman"/>
                <w:b w:val="0"/>
                <w:sz w:val="18"/>
              </w:rPr>
              <w:t>Chapter 2</w:t>
            </w:r>
          </w:p>
        </w:tc>
        <w:tc>
          <w:tcPr>
            <w:tcW w:type="dxa" w:w="3202"/>
            <w:vAlign w:val="center"/>
          </w:tcPr>
          <w:p>
            <w:r>
              <w:rPr>
                <w:rFonts w:ascii="Times New Roman" w:hAnsi="Times New Roman" w:eastAsia="Times New Roman"/>
                <w:sz w:val="18"/>
              </w:rPr>
            </w:r>
            <w:r>
              <w:rPr>
                <w:rFonts w:ascii="Times New Roman" w:hAnsi="Times New Roman" w:eastAsia="Times New Roman"/>
                <w:b w:val="0"/>
                <w:sz w:val="18"/>
              </w:rPr>
              <w:t>Definitions</w:t>
            </w:r>
          </w:p>
        </w:tc>
        <w:tc>
          <w:tcPr>
            <w:tcW w:type="dxa" w:w="3202"/>
            <w:vAlign w:val="center"/>
          </w:tcPr>
          <w:p>
            <w:r>
              <w:rPr>
                <w:rFonts w:ascii="Times New Roman" w:hAnsi="Times New Roman" w:eastAsia="Times New Roman"/>
                <w:sz w:val="18"/>
              </w:rPr>
            </w:r>
            <w:r>
              <w:rPr>
                <w:rFonts w:ascii="Times New Roman" w:hAnsi="Times New Roman" w:eastAsia="Times New Roman"/>
                <w:b w:val="0"/>
                <w:sz w:val="18"/>
              </w:rPr>
              <w:t>8</w:t>
            </w:r>
          </w:p>
        </w:tc>
      </w:tr>
      <w:tr>
        <w:tc>
          <w:tcPr>
            <w:tcW w:type="dxa" w:w="3202"/>
            <w:vAlign w:val="center"/>
          </w:tcPr>
          <w:p>
            <w:r>
              <w:rPr>
                <w:rFonts w:ascii="Times New Roman" w:hAnsi="Times New Roman" w:eastAsia="Times New Roman"/>
                <w:sz w:val="18"/>
              </w:rPr>
            </w:r>
            <w:r>
              <w:rPr>
                <w:rFonts w:ascii="Times New Roman" w:hAnsi="Times New Roman" w:eastAsia="Times New Roman"/>
                <w:b w:val="0"/>
                <w:sz w:val="18"/>
              </w:rPr>
              <w:t>Chapter 3</w:t>
            </w:r>
          </w:p>
        </w:tc>
        <w:tc>
          <w:tcPr>
            <w:tcW w:type="dxa" w:w="3202"/>
            <w:vAlign w:val="center"/>
          </w:tcPr>
          <w:p>
            <w:r>
              <w:rPr>
                <w:rFonts w:ascii="Times New Roman" w:hAnsi="Times New Roman" w:eastAsia="Times New Roman"/>
                <w:sz w:val="18"/>
              </w:rPr>
            </w:r>
            <w:r>
              <w:rPr>
                <w:rFonts w:ascii="Times New Roman" w:hAnsi="Times New Roman" w:eastAsia="Times New Roman"/>
                <w:b w:val="0"/>
                <w:sz w:val="18"/>
              </w:rPr>
              <w:t>Source of Income, Loss, Gain and Payment</w:t>
            </w:r>
          </w:p>
        </w:tc>
        <w:tc>
          <w:tcPr>
            <w:tcW w:type="dxa" w:w="3202"/>
            <w:vAlign w:val="center"/>
          </w:tcPr>
          <w:p>
            <w:r>
              <w:rPr>
                <w:rFonts w:ascii="Times New Roman" w:hAnsi="Times New Roman" w:eastAsia="Times New Roman"/>
                <w:sz w:val="18"/>
              </w:rPr>
            </w:r>
            <w:r>
              <w:rPr>
                <w:rFonts w:ascii="Times New Roman" w:hAnsi="Times New Roman" w:eastAsia="Times New Roman"/>
                <w:b w:val="0"/>
                <w:sz w:val="18"/>
              </w:rPr>
              <w:t>40</w:t>
            </w:r>
          </w:p>
        </w:tc>
      </w:tr>
      <w:tr>
        <w:tc>
          <w:tcPr>
            <w:tcW w:type="dxa" w:w="3202"/>
            <w:vAlign w:val="center"/>
          </w:tcPr>
          <w:p>
            <w:r>
              <w:rPr>
                <w:rFonts w:ascii="Times New Roman" w:hAnsi="Times New Roman" w:eastAsia="Times New Roman"/>
                <w:sz w:val="18"/>
              </w:rPr>
            </w:r>
            <w:r>
              <w:rPr>
                <w:rFonts w:ascii="Times New Roman" w:hAnsi="Times New Roman" w:eastAsia="Times New Roman"/>
                <w:b w:val="0"/>
                <w:sz w:val="18"/>
              </w:rPr>
              <w:t>Chapter 4</w:t>
            </w:r>
          </w:p>
        </w:tc>
        <w:tc>
          <w:tcPr>
            <w:tcW w:type="dxa" w:w="3202"/>
            <w:vAlign w:val="center"/>
          </w:tcPr>
          <w:p>
            <w:r>
              <w:rPr>
                <w:rFonts w:ascii="Times New Roman" w:hAnsi="Times New Roman" w:eastAsia="Times New Roman"/>
                <w:sz w:val="18"/>
              </w:rPr>
            </w:r>
            <w:r>
              <w:rPr>
                <w:rFonts w:ascii="Times New Roman" w:hAnsi="Times New Roman" w:eastAsia="Times New Roman"/>
                <w:b w:val="0"/>
                <w:sz w:val="18"/>
              </w:rPr>
              <w:t>Basis of Tax and Heads of Income</w:t>
            </w:r>
          </w:p>
        </w:tc>
        <w:tc>
          <w:tcPr>
            <w:tcW w:type="dxa" w:w="3202"/>
            <w:vAlign w:val="center"/>
          </w:tcPr>
          <w:p>
            <w:r>
              <w:rPr>
                <w:rFonts w:ascii="Times New Roman" w:hAnsi="Times New Roman" w:eastAsia="Times New Roman"/>
                <w:sz w:val="18"/>
              </w:rPr>
            </w:r>
            <w:r>
              <w:rPr>
                <w:rFonts w:ascii="Times New Roman" w:hAnsi="Times New Roman" w:eastAsia="Times New Roman"/>
                <w:b w:val="0"/>
                <w:sz w:val="18"/>
              </w:rPr>
              <w:t>51</w:t>
            </w:r>
          </w:p>
        </w:tc>
      </w:tr>
      <w:tr>
        <w:tc>
          <w:tcPr>
            <w:tcW w:type="dxa" w:w="3202"/>
            <w:vAlign w:val="center"/>
          </w:tcPr>
          <w:p>
            <w:r>
              <w:rPr>
                <w:rFonts w:ascii="Times New Roman" w:hAnsi="Times New Roman" w:eastAsia="Times New Roman"/>
                <w:sz w:val="18"/>
              </w:rPr>
            </w:r>
            <w:r>
              <w:rPr>
                <w:rFonts w:ascii="Times New Roman" w:hAnsi="Times New Roman" w:eastAsia="Times New Roman"/>
                <w:b w:val="0"/>
                <w:sz w:val="18"/>
              </w:rPr>
              <w:t>Chapter 5</w:t>
            </w:r>
          </w:p>
        </w:tc>
        <w:tc>
          <w:tcPr>
            <w:tcW w:type="dxa" w:w="3202"/>
            <w:vAlign w:val="center"/>
          </w:tcPr>
          <w:p>
            <w:r>
              <w:rPr>
                <w:rFonts w:ascii="Times New Roman" w:hAnsi="Times New Roman" w:eastAsia="Times New Roman"/>
                <w:sz w:val="18"/>
              </w:rPr>
            </w:r>
            <w:r>
              <w:rPr>
                <w:rFonts w:ascii="Times New Roman" w:hAnsi="Times New Roman" w:eastAsia="Times New Roman"/>
                <w:b w:val="0"/>
                <w:sz w:val="18"/>
              </w:rPr>
              <w:t>Income, Assessable Income and Taxable Income</w:t>
            </w:r>
          </w:p>
        </w:tc>
        <w:tc>
          <w:tcPr>
            <w:tcW w:type="dxa" w:w="3202"/>
            <w:vAlign w:val="center"/>
          </w:tcPr>
          <w:p>
            <w:r>
              <w:rPr>
                <w:rFonts w:ascii="Times New Roman" w:hAnsi="Times New Roman" w:eastAsia="Times New Roman"/>
                <w:sz w:val="18"/>
              </w:rPr>
            </w:r>
            <w:r>
              <w:rPr>
                <w:rFonts w:ascii="Times New Roman" w:hAnsi="Times New Roman" w:eastAsia="Times New Roman"/>
                <w:b w:val="0"/>
                <w:sz w:val="18"/>
              </w:rPr>
              <w:t>57</w:t>
            </w:r>
          </w:p>
        </w:tc>
      </w:tr>
      <w:tr>
        <w:tc>
          <w:tcPr>
            <w:tcW w:type="dxa" w:w="3202"/>
            <w:vAlign w:val="center"/>
          </w:tcPr>
          <w:p>
            <w:r>
              <w:rPr>
                <w:rFonts w:ascii="Times New Roman" w:hAnsi="Times New Roman" w:eastAsia="Times New Roman"/>
                <w:sz w:val="18"/>
              </w:rPr>
            </w:r>
            <w:r>
              <w:rPr>
                <w:rFonts w:ascii="Times New Roman" w:hAnsi="Times New Roman" w:eastAsia="Times New Roman"/>
                <w:b w:val="0"/>
                <w:sz w:val="18"/>
              </w:rPr>
              <w:t>Chapter 6</w:t>
            </w:r>
          </w:p>
        </w:tc>
        <w:tc>
          <w:tcPr>
            <w:tcW w:type="dxa" w:w="3202"/>
            <w:vAlign w:val="center"/>
          </w:tcPr>
          <w:p>
            <w:r>
              <w:rPr>
                <w:rFonts w:ascii="Times New Roman" w:hAnsi="Times New Roman" w:eastAsia="Times New Roman"/>
                <w:sz w:val="18"/>
              </w:rPr>
            </w:r>
            <w:r>
              <w:rPr>
                <w:rFonts w:ascii="Times New Roman" w:hAnsi="Times New Roman" w:eastAsia="Times New Roman"/>
                <w:b w:val="0"/>
                <w:sz w:val="18"/>
              </w:rPr>
              <w:t>Amounts Included in Income</w:t>
            </w:r>
          </w:p>
        </w:tc>
        <w:tc>
          <w:tcPr>
            <w:tcW w:type="dxa" w:w="3202"/>
            <w:vAlign w:val="center"/>
          </w:tcPr>
          <w:p>
            <w:r>
              <w:rPr>
                <w:rFonts w:ascii="Times New Roman" w:hAnsi="Times New Roman" w:eastAsia="Times New Roman"/>
                <w:sz w:val="18"/>
              </w:rPr>
            </w:r>
            <w:r>
              <w:rPr>
                <w:rFonts w:ascii="Times New Roman" w:hAnsi="Times New Roman" w:eastAsia="Times New Roman"/>
                <w:b w:val="0"/>
                <w:sz w:val="18"/>
              </w:rPr>
              <w:t>67</w:t>
            </w:r>
          </w:p>
        </w:tc>
      </w:tr>
      <w:tr>
        <w:tc>
          <w:tcPr>
            <w:tcW w:type="dxa" w:w="3202"/>
            <w:vAlign w:val="center"/>
          </w:tcPr>
          <w:p>
            <w:r>
              <w:rPr>
                <w:rFonts w:ascii="Times New Roman" w:hAnsi="Times New Roman" w:eastAsia="Times New Roman"/>
                <w:sz w:val="18"/>
              </w:rPr>
            </w:r>
            <w:r>
              <w:rPr>
                <w:rFonts w:ascii="Times New Roman" w:hAnsi="Times New Roman" w:eastAsia="Times New Roman"/>
                <w:b w:val="0"/>
                <w:sz w:val="18"/>
              </w:rPr>
              <w:t>Chapter 7</w:t>
            </w:r>
          </w:p>
        </w:tc>
        <w:tc>
          <w:tcPr>
            <w:tcW w:type="dxa" w:w="3202"/>
            <w:vAlign w:val="center"/>
          </w:tcPr>
          <w:p>
            <w:r>
              <w:rPr>
                <w:rFonts w:ascii="Times New Roman" w:hAnsi="Times New Roman" w:eastAsia="Times New Roman"/>
                <w:sz w:val="18"/>
              </w:rPr>
            </w:r>
            <w:r>
              <w:rPr>
                <w:rFonts w:ascii="Times New Roman" w:hAnsi="Times New Roman" w:eastAsia="Times New Roman"/>
                <w:b w:val="0"/>
                <w:sz w:val="18"/>
              </w:rPr>
              <w:t>Quantification, Allocation and Characterization of Amounts</w:t>
            </w:r>
          </w:p>
        </w:tc>
        <w:tc>
          <w:tcPr>
            <w:tcW w:type="dxa" w:w="3202"/>
            <w:vAlign w:val="center"/>
          </w:tcPr>
          <w:p>
            <w:r>
              <w:rPr>
                <w:rFonts w:ascii="Times New Roman" w:hAnsi="Times New Roman" w:eastAsia="Times New Roman"/>
                <w:sz w:val="18"/>
              </w:rPr>
            </w:r>
            <w:r>
              <w:rPr>
                <w:rFonts w:ascii="Times New Roman" w:hAnsi="Times New Roman" w:eastAsia="Times New Roman"/>
                <w:b w:val="0"/>
                <w:sz w:val="18"/>
              </w:rPr>
              <w:t>84</w:t>
            </w:r>
          </w:p>
        </w:tc>
      </w:tr>
      <w:tr>
        <w:tc>
          <w:tcPr>
            <w:tcW w:type="dxa" w:w="3202"/>
            <w:vAlign w:val="center"/>
          </w:tcPr>
          <w:p>
            <w:r>
              <w:rPr>
                <w:rFonts w:ascii="Times New Roman" w:hAnsi="Times New Roman" w:eastAsia="Times New Roman"/>
                <w:sz w:val="18"/>
              </w:rPr>
            </w:r>
            <w:r>
              <w:rPr>
                <w:rFonts w:ascii="Times New Roman" w:hAnsi="Times New Roman" w:eastAsia="Times New Roman"/>
                <w:b w:val="0"/>
                <w:sz w:val="18"/>
              </w:rPr>
              <w:t>Chapter 8</w:t>
            </w:r>
          </w:p>
        </w:tc>
        <w:tc>
          <w:tcPr>
            <w:tcW w:type="dxa" w:w="3202"/>
            <w:vAlign w:val="center"/>
          </w:tcPr>
          <w:p>
            <w:r>
              <w:rPr>
                <w:rFonts w:ascii="Times New Roman" w:hAnsi="Times New Roman" w:eastAsia="Times New Roman"/>
                <w:sz w:val="18"/>
              </w:rPr>
            </w:r>
            <w:r>
              <w:rPr>
                <w:rFonts w:ascii="Times New Roman" w:hAnsi="Times New Roman" w:eastAsia="Times New Roman"/>
                <w:b w:val="0"/>
                <w:sz w:val="18"/>
              </w:rPr>
              <w:t>Tax Accounting and Timing</w:t>
            </w:r>
          </w:p>
        </w:tc>
        <w:tc>
          <w:tcPr>
            <w:tcW w:type="dxa" w:w="3202"/>
            <w:vAlign w:val="center"/>
          </w:tcPr>
          <w:p>
            <w:r>
              <w:rPr>
                <w:rFonts w:ascii="Times New Roman" w:hAnsi="Times New Roman" w:eastAsia="Times New Roman"/>
                <w:sz w:val="18"/>
              </w:rPr>
            </w:r>
            <w:r>
              <w:rPr>
                <w:rFonts w:ascii="Times New Roman" w:hAnsi="Times New Roman" w:eastAsia="Times New Roman"/>
                <w:b w:val="0"/>
                <w:sz w:val="18"/>
              </w:rPr>
              <w:t>108</w:t>
            </w:r>
          </w:p>
        </w:tc>
      </w:tr>
      <w:tr>
        <w:tc>
          <w:tcPr>
            <w:tcW w:type="dxa" w:w="3202"/>
            <w:vAlign w:val="center"/>
          </w:tcPr>
          <w:p>
            <w:r>
              <w:rPr>
                <w:rFonts w:ascii="Times New Roman" w:hAnsi="Times New Roman" w:eastAsia="Times New Roman"/>
                <w:sz w:val="18"/>
              </w:rPr>
            </w:r>
            <w:r>
              <w:rPr>
                <w:rFonts w:ascii="Times New Roman" w:hAnsi="Times New Roman" w:eastAsia="Times New Roman"/>
                <w:b w:val="0"/>
                <w:sz w:val="18"/>
              </w:rPr>
              <w:t>Chapter 9</w:t>
            </w:r>
          </w:p>
        </w:tc>
        <w:tc>
          <w:tcPr>
            <w:tcW w:type="dxa" w:w="3202"/>
            <w:vAlign w:val="center"/>
          </w:tcPr>
          <w:p>
            <w:r>
              <w:rPr>
                <w:rFonts w:ascii="Times New Roman" w:hAnsi="Times New Roman" w:eastAsia="Times New Roman"/>
                <w:sz w:val="18"/>
              </w:rPr>
            </w:r>
            <w:r>
              <w:rPr>
                <w:rFonts w:ascii="Times New Roman" w:hAnsi="Times New Roman" w:eastAsia="Times New Roman"/>
                <w:b w:val="0"/>
                <w:sz w:val="18"/>
              </w:rPr>
              <w:t>Exempt Amounts and Other Exemptions</w:t>
            </w:r>
          </w:p>
        </w:tc>
        <w:tc>
          <w:tcPr>
            <w:tcW w:type="dxa" w:w="3202"/>
            <w:vAlign w:val="center"/>
          </w:tcPr>
          <w:p>
            <w:r>
              <w:rPr>
                <w:rFonts w:ascii="Times New Roman" w:hAnsi="Times New Roman" w:eastAsia="Times New Roman"/>
                <w:sz w:val="18"/>
              </w:rPr>
            </w:r>
            <w:r>
              <w:rPr>
                <w:rFonts w:ascii="Times New Roman" w:hAnsi="Times New Roman" w:eastAsia="Times New Roman"/>
                <w:b w:val="0"/>
                <w:sz w:val="18"/>
              </w:rPr>
              <w:t>122</w:t>
            </w:r>
          </w:p>
        </w:tc>
      </w:tr>
      <w:tr>
        <w:tc>
          <w:tcPr>
            <w:tcW w:type="dxa" w:w="3202"/>
            <w:vAlign w:val="center"/>
          </w:tcPr>
          <w:p>
            <w:r>
              <w:rPr>
                <w:rFonts w:ascii="Times New Roman" w:hAnsi="Times New Roman" w:eastAsia="Times New Roman"/>
                <w:sz w:val="18"/>
              </w:rPr>
            </w:r>
            <w:r>
              <w:rPr>
                <w:rFonts w:ascii="Times New Roman" w:hAnsi="Times New Roman" w:eastAsia="Times New Roman"/>
                <w:b w:val="0"/>
                <w:sz w:val="18"/>
              </w:rPr>
              <w:t>Chapter 10</w:t>
            </w:r>
          </w:p>
        </w:tc>
        <w:tc>
          <w:tcPr>
            <w:tcW w:type="dxa" w:w="3202"/>
            <w:vAlign w:val="center"/>
          </w:tcPr>
          <w:p>
            <w:r>
              <w:rPr>
                <w:rFonts w:ascii="Times New Roman" w:hAnsi="Times New Roman" w:eastAsia="Times New Roman"/>
                <w:sz w:val="18"/>
              </w:rPr>
            </w:r>
            <w:r>
              <w:rPr>
                <w:rFonts w:ascii="Times New Roman" w:hAnsi="Times New Roman" w:eastAsia="Times New Roman"/>
                <w:b w:val="0"/>
                <w:sz w:val="18"/>
              </w:rPr>
              <w:t>Business Exemptions and Facilities</w:t>
            </w:r>
          </w:p>
        </w:tc>
        <w:tc>
          <w:tcPr>
            <w:tcW w:type="dxa" w:w="3202"/>
            <w:vAlign w:val="center"/>
          </w:tcPr>
          <w:p>
            <w:r>
              <w:rPr>
                <w:rFonts w:ascii="Times New Roman" w:hAnsi="Times New Roman" w:eastAsia="Times New Roman"/>
                <w:sz w:val="18"/>
              </w:rPr>
            </w:r>
            <w:r>
              <w:rPr>
                <w:rFonts w:ascii="Times New Roman" w:hAnsi="Times New Roman" w:eastAsia="Times New Roman"/>
                <w:b w:val="0"/>
                <w:sz w:val="18"/>
              </w:rPr>
              <w:t>132</w:t>
            </w:r>
          </w:p>
        </w:tc>
      </w:tr>
      <w:tr>
        <w:tc>
          <w:tcPr>
            <w:tcW w:type="dxa" w:w="3202"/>
            <w:vAlign w:val="center"/>
          </w:tcPr>
          <w:p>
            <w:r>
              <w:rPr>
                <w:rFonts w:ascii="Times New Roman" w:hAnsi="Times New Roman" w:eastAsia="Times New Roman"/>
                <w:sz w:val="18"/>
              </w:rPr>
            </w:r>
            <w:r>
              <w:rPr>
                <w:rFonts w:ascii="Times New Roman" w:hAnsi="Times New Roman" w:eastAsia="Times New Roman"/>
                <w:b w:val="0"/>
                <w:sz w:val="18"/>
              </w:rPr>
              <w:t>Chapter 11</w:t>
            </w:r>
          </w:p>
        </w:tc>
        <w:tc>
          <w:tcPr>
            <w:tcW w:type="dxa" w:w="3202"/>
            <w:vAlign w:val="center"/>
          </w:tcPr>
          <w:p>
            <w:r>
              <w:rPr>
                <w:rFonts w:ascii="Times New Roman" w:hAnsi="Times New Roman" w:eastAsia="Times New Roman"/>
                <w:sz w:val="18"/>
              </w:rPr>
            </w:r>
            <w:r>
              <w:rPr>
                <w:rFonts w:ascii="Times New Roman" w:hAnsi="Times New Roman" w:eastAsia="Times New Roman"/>
                <w:b w:val="0"/>
                <w:sz w:val="18"/>
              </w:rPr>
              <w:t>Natural Person</w:t>
            </w:r>
          </w:p>
        </w:tc>
        <w:tc>
          <w:tcPr>
            <w:tcW w:type="dxa" w:w="3202"/>
            <w:vAlign w:val="center"/>
          </w:tcPr>
          <w:p>
            <w:r>
              <w:rPr>
                <w:rFonts w:ascii="Times New Roman" w:hAnsi="Times New Roman" w:eastAsia="Times New Roman"/>
                <w:sz w:val="18"/>
              </w:rPr>
            </w:r>
            <w:r>
              <w:rPr>
                <w:rFonts w:ascii="Times New Roman" w:hAnsi="Times New Roman" w:eastAsia="Times New Roman"/>
                <w:b w:val="0"/>
                <w:sz w:val="18"/>
              </w:rPr>
              <w:t>147</w:t>
            </w:r>
          </w:p>
        </w:tc>
      </w:tr>
      <w:tr>
        <w:tc>
          <w:tcPr>
            <w:tcW w:type="dxa" w:w="3202"/>
            <w:vAlign w:val="center"/>
          </w:tcPr>
          <w:p>
            <w:r>
              <w:rPr>
                <w:rFonts w:ascii="Times New Roman" w:hAnsi="Times New Roman" w:eastAsia="Times New Roman"/>
                <w:sz w:val="18"/>
              </w:rPr>
            </w:r>
            <w:r>
              <w:rPr>
                <w:rFonts w:ascii="Times New Roman" w:hAnsi="Times New Roman" w:eastAsia="Times New Roman"/>
                <w:b w:val="0"/>
                <w:sz w:val="18"/>
              </w:rPr>
              <w:t>Chapter 12</w:t>
            </w:r>
          </w:p>
        </w:tc>
        <w:tc>
          <w:tcPr>
            <w:tcW w:type="dxa" w:w="3202"/>
            <w:vAlign w:val="center"/>
          </w:tcPr>
          <w:p>
            <w:r>
              <w:rPr>
                <w:rFonts w:ascii="Times New Roman" w:hAnsi="Times New Roman" w:eastAsia="Times New Roman"/>
                <w:sz w:val="18"/>
              </w:rPr>
            </w:r>
            <w:r>
              <w:rPr>
                <w:rFonts w:ascii="Times New Roman" w:hAnsi="Times New Roman" w:eastAsia="Times New Roman"/>
                <w:b w:val="0"/>
                <w:sz w:val="18"/>
              </w:rPr>
              <w:t>Retirement Fund</w:t>
            </w:r>
          </w:p>
        </w:tc>
        <w:tc>
          <w:tcPr>
            <w:tcW w:type="dxa" w:w="3202"/>
            <w:vAlign w:val="center"/>
          </w:tcPr>
          <w:p>
            <w:r>
              <w:rPr>
                <w:rFonts w:ascii="Times New Roman" w:hAnsi="Times New Roman" w:eastAsia="Times New Roman"/>
                <w:sz w:val="18"/>
              </w:rPr>
            </w:r>
            <w:r>
              <w:rPr>
                <w:rFonts w:ascii="Times New Roman" w:hAnsi="Times New Roman" w:eastAsia="Times New Roman"/>
                <w:b w:val="0"/>
                <w:sz w:val="18"/>
              </w:rPr>
              <w:t>163</w:t>
            </w:r>
          </w:p>
        </w:tc>
      </w:tr>
      <w:tr>
        <w:tc>
          <w:tcPr>
            <w:tcW w:type="dxa" w:w="3202"/>
            <w:vAlign w:val="center"/>
          </w:tcPr>
          <w:p>
            <w:r>
              <w:rPr>
                <w:rFonts w:ascii="Times New Roman" w:hAnsi="Times New Roman" w:eastAsia="Times New Roman"/>
                <w:sz w:val="18"/>
              </w:rPr>
            </w:r>
            <w:r>
              <w:rPr>
                <w:rFonts w:ascii="Times New Roman" w:hAnsi="Times New Roman" w:eastAsia="Times New Roman"/>
                <w:b w:val="0"/>
                <w:sz w:val="18"/>
              </w:rPr>
              <w:t>Chapter 13</w:t>
            </w:r>
          </w:p>
        </w:tc>
        <w:tc>
          <w:tcPr>
            <w:tcW w:type="dxa" w:w="3202"/>
            <w:vAlign w:val="center"/>
          </w:tcPr>
          <w:p>
            <w:r>
              <w:rPr>
                <w:rFonts w:ascii="Times New Roman" w:hAnsi="Times New Roman" w:eastAsia="Times New Roman"/>
                <w:sz w:val="18"/>
              </w:rPr>
            </w:r>
            <w:r>
              <w:rPr>
                <w:rFonts w:ascii="Times New Roman" w:hAnsi="Times New Roman" w:eastAsia="Times New Roman"/>
                <w:b w:val="0"/>
                <w:sz w:val="18"/>
              </w:rPr>
              <w:t>Entity and Distribution</w:t>
            </w:r>
          </w:p>
        </w:tc>
        <w:tc>
          <w:tcPr>
            <w:tcW w:type="dxa" w:w="3202"/>
            <w:vAlign w:val="center"/>
          </w:tcPr>
          <w:p>
            <w:r>
              <w:rPr>
                <w:rFonts w:ascii="Times New Roman" w:hAnsi="Times New Roman" w:eastAsia="Times New Roman"/>
                <w:sz w:val="18"/>
              </w:rPr>
            </w:r>
            <w:r>
              <w:rPr>
                <w:rFonts w:ascii="Times New Roman" w:hAnsi="Times New Roman" w:eastAsia="Times New Roman"/>
                <w:b w:val="0"/>
                <w:sz w:val="18"/>
              </w:rPr>
              <w:t>178</w:t>
            </w:r>
          </w:p>
        </w:tc>
      </w:tr>
      <w:tr>
        <w:tc>
          <w:tcPr>
            <w:tcW w:type="dxa" w:w="3202"/>
            <w:vAlign w:val="center"/>
          </w:tcPr>
          <w:p>
            <w:r>
              <w:rPr>
                <w:rFonts w:ascii="Times New Roman" w:hAnsi="Times New Roman" w:eastAsia="Times New Roman"/>
                <w:sz w:val="18"/>
              </w:rPr>
            </w:r>
            <w:r>
              <w:rPr>
                <w:rFonts w:ascii="Times New Roman" w:hAnsi="Times New Roman" w:eastAsia="Times New Roman"/>
                <w:b w:val="0"/>
                <w:sz w:val="18"/>
              </w:rPr>
              <w:t>Chapter 14</w:t>
            </w:r>
          </w:p>
        </w:tc>
        <w:tc>
          <w:tcPr>
            <w:tcW w:type="dxa" w:w="3202"/>
            <w:vAlign w:val="center"/>
          </w:tcPr>
          <w:p>
            <w:r>
              <w:rPr>
                <w:rFonts w:ascii="Times New Roman" w:hAnsi="Times New Roman" w:eastAsia="Times New Roman"/>
                <w:sz w:val="18"/>
              </w:rPr>
              <w:t>International Taxation and Foreign Tax Adjustment</w:t>
            </w:r>
            <w:r>
              <w:rPr>
                <w:rFonts w:ascii="Times New Roman" w:hAnsi="Times New Roman" w:eastAsia="Times New Roman"/>
                <w:b w:val="0"/>
                <w:sz w:val="18"/>
              </w:rPr>
            </w:r>
          </w:p>
        </w:tc>
        <w:tc>
          <w:tcPr>
            <w:tcW w:type="dxa" w:w="3202"/>
            <w:vAlign w:val="center"/>
          </w:tcPr>
          <w:p>
            <w:r>
              <w:rPr>
                <w:rFonts w:ascii="Times New Roman" w:hAnsi="Times New Roman" w:eastAsia="Times New Roman"/>
                <w:sz w:val="18"/>
              </w:rPr>
            </w:r>
            <w:r>
              <w:rPr>
                <w:rFonts w:ascii="Times New Roman" w:hAnsi="Times New Roman" w:eastAsia="Times New Roman"/>
                <w:b w:val="0"/>
                <w:sz w:val="18"/>
              </w:rPr>
              <w:t>202</w:t>
            </w:r>
          </w:p>
        </w:tc>
      </w:tr>
      <w:tr>
        <w:tc>
          <w:tcPr>
            <w:tcW w:type="dxa" w:w="3202"/>
            <w:vAlign w:val="center"/>
          </w:tcPr>
          <w:p>
            <w:r>
              <w:rPr>
                <w:rFonts w:ascii="Times New Roman" w:hAnsi="Times New Roman" w:eastAsia="Times New Roman"/>
                <w:sz w:val="18"/>
              </w:rPr>
            </w:r>
            <w:r>
              <w:rPr>
                <w:rFonts w:ascii="Times New Roman" w:hAnsi="Times New Roman" w:eastAsia="Times New Roman"/>
                <w:b w:val="0"/>
                <w:sz w:val="18"/>
              </w:rPr>
              <w:t>Chapter 15</w:t>
            </w:r>
          </w:p>
        </w:tc>
        <w:tc>
          <w:tcPr>
            <w:tcW w:type="dxa" w:w="3202"/>
            <w:vAlign w:val="center"/>
          </w:tcPr>
          <w:p>
            <w:r>
              <w:rPr>
                <w:rFonts w:ascii="Times New Roman" w:hAnsi="Times New Roman" w:eastAsia="Times New Roman"/>
                <w:sz w:val="18"/>
              </w:rPr>
            </w:r>
            <w:r>
              <w:rPr>
                <w:rFonts w:ascii="Times New Roman" w:hAnsi="Times New Roman" w:eastAsia="Times New Roman"/>
                <w:b w:val="0"/>
                <w:sz w:val="18"/>
              </w:rPr>
              <w:t>Provisions Relating to Double Taxation Relief and Agreements for Prevention of Fiscal Evasion</w:t>
            </w:r>
          </w:p>
        </w:tc>
        <w:tc>
          <w:tcPr>
            <w:tcW w:type="dxa" w:w="3202"/>
            <w:vAlign w:val="center"/>
          </w:tcPr>
          <w:p>
            <w:r>
              <w:rPr>
                <w:rFonts w:ascii="Times New Roman" w:hAnsi="Times New Roman" w:eastAsia="Times New Roman"/>
                <w:sz w:val="18"/>
              </w:rPr>
            </w:r>
            <w:r>
              <w:rPr>
                <w:rFonts w:ascii="Times New Roman" w:hAnsi="Times New Roman" w:eastAsia="Times New Roman"/>
                <w:b w:val="0"/>
                <w:sz w:val="18"/>
              </w:rPr>
              <w:t>224</w:t>
            </w:r>
          </w:p>
        </w:tc>
      </w:tr>
      <w:tr>
        <w:tc>
          <w:tcPr>
            <w:tcW w:type="dxa" w:w="3202"/>
            <w:vAlign w:val="center"/>
          </w:tcPr>
          <w:p>
            <w:r>
              <w:rPr>
                <w:rFonts w:ascii="Times New Roman" w:hAnsi="Times New Roman" w:eastAsia="Times New Roman"/>
                <w:sz w:val="18"/>
              </w:rPr>
            </w:r>
            <w:r>
              <w:rPr>
                <w:rFonts w:ascii="Times New Roman" w:hAnsi="Times New Roman" w:eastAsia="Times New Roman"/>
                <w:b w:val="0"/>
                <w:sz w:val="18"/>
              </w:rPr>
              <w:t>Chapter 16</w:t>
            </w:r>
          </w:p>
        </w:tc>
        <w:tc>
          <w:tcPr>
            <w:tcW w:type="dxa" w:w="3202"/>
            <w:vAlign w:val="center"/>
          </w:tcPr>
          <w:p>
            <w:r>
              <w:rPr>
                <w:rFonts w:ascii="Times New Roman" w:hAnsi="Times New Roman" w:eastAsia="Times New Roman"/>
                <w:sz w:val="18"/>
              </w:rPr>
            </w:r>
            <w:r>
              <w:rPr>
                <w:rFonts w:ascii="Times New Roman" w:hAnsi="Times New Roman" w:eastAsia="Times New Roman"/>
                <w:b w:val="0"/>
                <w:sz w:val="18"/>
              </w:rPr>
              <w:t>Tax Deduction at Payment</w:t>
            </w:r>
          </w:p>
        </w:tc>
        <w:tc>
          <w:tcPr>
            <w:tcW w:type="dxa" w:w="3202"/>
            <w:vAlign w:val="center"/>
          </w:tcPr>
          <w:p>
            <w:r>
              <w:rPr>
                <w:rFonts w:ascii="Times New Roman" w:hAnsi="Times New Roman" w:eastAsia="Times New Roman"/>
                <w:sz w:val="18"/>
              </w:rPr>
            </w:r>
            <w:r>
              <w:rPr>
                <w:rFonts w:ascii="Times New Roman" w:hAnsi="Times New Roman" w:eastAsia="Times New Roman"/>
                <w:b w:val="0"/>
                <w:sz w:val="18"/>
              </w:rPr>
              <w:t>236</w:t>
            </w:r>
          </w:p>
        </w:tc>
      </w:tr>
      <w:tr>
        <w:tc>
          <w:tcPr>
            <w:tcW w:type="dxa" w:w="3202"/>
            <w:vAlign w:val="center"/>
          </w:tcPr>
          <w:p>
            <w:r>
              <w:rPr>
                <w:rFonts w:ascii="Times New Roman" w:hAnsi="Times New Roman" w:eastAsia="Times New Roman"/>
                <w:sz w:val="18"/>
              </w:rPr>
            </w:r>
            <w:r>
              <w:rPr>
                <w:rFonts w:ascii="Times New Roman" w:hAnsi="Times New Roman" w:eastAsia="Times New Roman"/>
                <w:b w:val="0"/>
                <w:sz w:val="18"/>
              </w:rPr>
              <w:t>Chapter 17</w:t>
            </w:r>
          </w:p>
        </w:tc>
        <w:tc>
          <w:tcPr>
            <w:tcW w:type="dxa" w:w="3202"/>
            <w:vAlign w:val="center"/>
          </w:tcPr>
          <w:p>
            <w:r>
              <w:rPr>
                <w:rFonts w:ascii="Times New Roman" w:hAnsi="Times New Roman" w:eastAsia="Times New Roman"/>
                <w:sz w:val="18"/>
              </w:rPr>
            </w:r>
            <w:r>
              <w:rPr>
                <w:rFonts w:ascii="Times New Roman" w:hAnsi="Times New Roman" w:eastAsia="Times New Roman"/>
                <w:b w:val="0"/>
                <w:sz w:val="18"/>
              </w:rPr>
              <w:t>Computation of Income from Employment</w:t>
            </w:r>
          </w:p>
        </w:tc>
        <w:tc>
          <w:tcPr>
            <w:tcW w:type="dxa" w:w="3202"/>
            <w:vAlign w:val="center"/>
          </w:tcPr>
          <w:p>
            <w:r>
              <w:rPr>
                <w:rFonts w:ascii="Times New Roman" w:hAnsi="Times New Roman" w:eastAsia="Times New Roman"/>
                <w:sz w:val="18"/>
              </w:rPr>
            </w:r>
            <w:r>
              <w:rPr>
                <w:rFonts w:ascii="Times New Roman" w:hAnsi="Times New Roman" w:eastAsia="Times New Roman"/>
                <w:b w:val="0"/>
                <w:sz w:val="18"/>
              </w:rPr>
              <w:t>276</w:t>
            </w:r>
          </w:p>
        </w:tc>
      </w:tr>
      <w:tr>
        <w:tc>
          <w:tcPr>
            <w:tcW w:type="dxa" w:w="3202"/>
            <w:vAlign w:val="center"/>
          </w:tcPr>
          <w:p>
            <w:r>
              <w:rPr>
                <w:rFonts w:ascii="Times New Roman" w:hAnsi="Times New Roman" w:eastAsia="Times New Roman"/>
                <w:sz w:val="18"/>
              </w:rPr>
            </w:r>
            <w:r>
              <w:rPr>
                <w:rFonts w:ascii="Times New Roman" w:hAnsi="Times New Roman" w:eastAsia="Times New Roman"/>
                <w:b w:val="0"/>
                <w:sz w:val="18"/>
              </w:rPr>
              <w:t>Chapter 18</w:t>
            </w:r>
          </w:p>
        </w:tc>
        <w:tc>
          <w:tcPr>
            <w:tcW w:type="dxa" w:w="3202"/>
            <w:vAlign w:val="center"/>
          </w:tcPr>
          <w:p>
            <w:r>
              <w:rPr>
                <w:rFonts w:ascii="Times New Roman" w:hAnsi="Times New Roman" w:eastAsia="Times New Roman"/>
                <w:sz w:val="18"/>
              </w:rPr>
            </w:r>
            <w:r>
              <w:rPr>
                <w:rFonts w:ascii="Times New Roman" w:hAnsi="Times New Roman" w:eastAsia="Times New Roman"/>
                <w:b w:val="0"/>
                <w:sz w:val="18"/>
              </w:rPr>
              <w:t>Computation of Income from Business</w:t>
            </w:r>
          </w:p>
        </w:tc>
        <w:tc>
          <w:tcPr>
            <w:tcW w:type="dxa" w:w="3202"/>
            <w:vAlign w:val="center"/>
          </w:tcPr>
          <w:p>
            <w:r>
              <w:rPr>
                <w:rFonts w:ascii="Times New Roman" w:hAnsi="Times New Roman" w:eastAsia="Times New Roman"/>
                <w:sz w:val="18"/>
              </w:rPr>
            </w:r>
            <w:r>
              <w:rPr>
                <w:rFonts w:ascii="Times New Roman" w:hAnsi="Times New Roman" w:eastAsia="Times New Roman"/>
                <w:b w:val="0"/>
                <w:sz w:val="18"/>
              </w:rPr>
              <w:t>323</w:t>
            </w:r>
          </w:p>
        </w:tc>
      </w:tr>
      <w:tr>
        <w:tc>
          <w:tcPr>
            <w:tcW w:type="dxa" w:w="3202"/>
            <w:vAlign w:val="center"/>
          </w:tcPr>
          <w:p>
            <w:r>
              <w:rPr>
                <w:rFonts w:ascii="Times New Roman" w:hAnsi="Times New Roman" w:eastAsia="Times New Roman"/>
                <w:sz w:val="18"/>
              </w:rPr>
            </w:r>
            <w:r>
              <w:rPr>
                <w:rFonts w:ascii="Times New Roman" w:hAnsi="Times New Roman" w:eastAsia="Times New Roman"/>
                <w:b w:val="0"/>
                <w:sz w:val="18"/>
              </w:rPr>
              <w:t>Chapter 19</w:t>
            </w:r>
          </w:p>
        </w:tc>
        <w:tc>
          <w:tcPr>
            <w:tcW w:type="dxa" w:w="3202"/>
            <w:vAlign w:val="center"/>
          </w:tcPr>
          <w:p>
            <w:r>
              <w:rPr>
                <w:rFonts w:ascii="Times New Roman" w:hAnsi="Times New Roman" w:eastAsia="Times New Roman"/>
                <w:sz w:val="18"/>
              </w:rPr>
            </w:r>
            <w:r>
              <w:rPr>
                <w:rFonts w:ascii="Times New Roman" w:hAnsi="Times New Roman" w:eastAsia="Times New Roman"/>
                <w:b w:val="0"/>
                <w:sz w:val="18"/>
              </w:rPr>
              <w:t>Special Provisions Relating to Banking and Insurance Business</w:t>
            </w:r>
          </w:p>
        </w:tc>
        <w:tc>
          <w:tcPr>
            <w:tcW w:type="dxa" w:w="3202"/>
            <w:vAlign w:val="center"/>
          </w:tcPr>
          <w:p>
            <w:r>
              <w:rPr>
                <w:rFonts w:ascii="Times New Roman" w:hAnsi="Times New Roman" w:eastAsia="Times New Roman"/>
                <w:sz w:val="18"/>
              </w:rPr>
            </w:r>
            <w:r>
              <w:rPr>
                <w:rFonts w:ascii="Times New Roman" w:hAnsi="Times New Roman" w:eastAsia="Times New Roman"/>
                <w:b w:val="0"/>
                <w:sz w:val="18"/>
              </w:rPr>
              <w:t>371</w:t>
            </w:r>
          </w:p>
        </w:tc>
      </w:tr>
      <w:tr>
        <w:tc>
          <w:tcPr>
            <w:tcW w:type="dxa" w:w="3202"/>
            <w:vAlign w:val="center"/>
          </w:tcPr>
          <w:p>
            <w:r>
              <w:rPr>
                <w:rFonts w:ascii="Times New Roman" w:hAnsi="Times New Roman" w:eastAsia="Times New Roman"/>
                <w:sz w:val="18"/>
              </w:rPr>
            </w:r>
            <w:r>
              <w:rPr>
                <w:rFonts w:ascii="Times New Roman" w:hAnsi="Times New Roman" w:eastAsia="Times New Roman"/>
                <w:b w:val="0"/>
                <w:sz w:val="18"/>
              </w:rPr>
              <w:t>Chapter 20</w:t>
            </w:r>
          </w:p>
        </w:tc>
        <w:tc>
          <w:tcPr>
            <w:tcW w:type="dxa" w:w="3202"/>
            <w:vAlign w:val="center"/>
          </w:tcPr>
          <w:p>
            <w:r>
              <w:rPr>
                <w:rFonts w:ascii="Times New Roman" w:hAnsi="Times New Roman" w:eastAsia="Times New Roman"/>
                <w:sz w:val="18"/>
              </w:rPr>
            </w:r>
            <w:r>
              <w:rPr>
                <w:rFonts w:ascii="Times New Roman" w:hAnsi="Times New Roman" w:eastAsia="Times New Roman"/>
                <w:b w:val="0"/>
                <w:sz w:val="18"/>
              </w:rPr>
              <w:t>Computation of Income from Long-Term Contracts</w:t>
            </w:r>
          </w:p>
        </w:tc>
        <w:tc>
          <w:tcPr>
            <w:tcW w:type="dxa" w:w="3202"/>
            <w:vAlign w:val="center"/>
          </w:tcPr>
          <w:p>
            <w:r>
              <w:rPr>
                <w:rFonts w:ascii="Times New Roman" w:hAnsi="Times New Roman" w:eastAsia="Times New Roman"/>
                <w:sz w:val="18"/>
              </w:rPr>
            </w:r>
            <w:r>
              <w:rPr>
                <w:rFonts w:ascii="Times New Roman" w:hAnsi="Times New Roman" w:eastAsia="Times New Roman"/>
                <w:b w:val="0"/>
                <w:sz w:val="18"/>
              </w:rPr>
              <w:t>391</w:t>
            </w:r>
          </w:p>
        </w:tc>
      </w:tr>
      <w:tr>
        <w:tc>
          <w:tcPr>
            <w:tcW w:type="dxa" w:w="3202"/>
            <w:vAlign w:val="center"/>
          </w:tcPr>
          <w:p>
            <w:r>
              <w:rPr>
                <w:rFonts w:ascii="Times New Roman" w:hAnsi="Times New Roman" w:eastAsia="Times New Roman"/>
                <w:sz w:val="18"/>
              </w:rPr>
            </w:r>
            <w:r>
              <w:rPr>
                <w:rFonts w:ascii="Times New Roman" w:hAnsi="Times New Roman" w:eastAsia="Times New Roman"/>
                <w:b w:val="0"/>
                <w:sz w:val="18"/>
              </w:rPr>
              <w:t>Chapter 21</w:t>
            </w:r>
          </w:p>
        </w:tc>
        <w:tc>
          <w:tcPr>
            <w:tcW w:type="dxa" w:w="3202"/>
            <w:vAlign w:val="center"/>
          </w:tcPr>
          <w:p>
            <w:r>
              <w:rPr>
                <w:rFonts w:ascii="Times New Roman" w:hAnsi="Times New Roman" w:eastAsia="Times New Roman"/>
                <w:sz w:val="18"/>
              </w:rPr>
            </w:r>
            <w:r>
              <w:rPr>
                <w:rFonts w:ascii="Times New Roman" w:hAnsi="Times New Roman" w:eastAsia="Times New Roman"/>
                <w:b w:val="0"/>
                <w:sz w:val="18"/>
              </w:rPr>
              <w:t>Computation of Income from Investment</w:t>
            </w:r>
          </w:p>
        </w:tc>
        <w:tc>
          <w:tcPr>
            <w:tcW w:type="dxa" w:w="3202"/>
            <w:vAlign w:val="center"/>
          </w:tcPr>
          <w:p>
            <w:r>
              <w:rPr>
                <w:rFonts w:ascii="Times New Roman" w:hAnsi="Times New Roman" w:eastAsia="Times New Roman"/>
                <w:sz w:val="18"/>
              </w:rPr>
            </w:r>
            <w:r>
              <w:rPr>
                <w:rFonts w:ascii="Times New Roman" w:hAnsi="Times New Roman" w:eastAsia="Times New Roman"/>
                <w:b w:val="0"/>
                <w:sz w:val="18"/>
              </w:rPr>
              <w:t>419</w:t>
            </w:r>
          </w:p>
        </w:tc>
      </w:tr>
      <w:tr>
        <w:tc>
          <w:tcPr>
            <w:tcW w:type="dxa" w:w="3202"/>
            <w:vAlign w:val="center"/>
          </w:tcPr>
          <w:p>
            <w:r>
              <w:rPr>
                <w:rFonts w:ascii="Times New Roman" w:hAnsi="Times New Roman" w:eastAsia="Times New Roman"/>
                <w:sz w:val="18"/>
              </w:rPr>
            </w:r>
            <w:r>
              <w:rPr>
                <w:rFonts w:ascii="Times New Roman" w:hAnsi="Times New Roman" w:eastAsia="Times New Roman"/>
                <w:b w:val="0"/>
                <w:sz w:val="18"/>
              </w:rPr>
              <w:t>Chapter 22</w:t>
            </w:r>
          </w:p>
        </w:tc>
        <w:tc>
          <w:tcPr>
            <w:tcW w:type="dxa" w:w="3202"/>
            <w:vAlign w:val="center"/>
          </w:tcPr>
          <w:p>
            <w:r>
              <w:rPr>
                <w:rFonts w:ascii="Times New Roman" w:hAnsi="Times New Roman" w:eastAsia="Times New Roman"/>
                <w:sz w:val="18"/>
              </w:rPr>
            </w:r>
            <w:r>
              <w:rPr>
                <w:rFonts w:ascii="Times New Roman" w:hAnsi="Times New Roman" w:eastAsia="Times New Roman"/>
                <w:b w:val="0"/>
                <w:sz w:val="18"/>
              </w:rPr>
              <w:t>Determination of Gain from Disposal of Asset or Liability</w:t>
            </w:r>
          </w:p>
        </w:tc>
        <w:tc>
          <w:tcPr>
            <w:tcW w:type="dxa" w:w="3202"/>
            <w:vAlign w:val="center"/>
          </w:tcPr>
          <w:p>
            <w:r>
              <w:rPr>
                <w:rFonts w:ascii="Times New Roman" w:hAnsi="Times New Roman" w:eastAsia="Times New Roman"/>
                <w:sz w:val="18"/>
              </w:rPr>
            </w:r>
            <w:r>
              <w:rPr>
                <w:rFonts w:ascii="Times New Roman" w:hAnsi="Times New Roman" w:eastAsia="Times New Roman"/>
                <w:b w:val="0"/>
                <w:sz w:val="18"/>
              </w:rPr>
              <w:t>445</w:t>
            </w:r>
          </w:p>
        </w:tc>
      </w:tr>
      <w:tr>
        <w:tc>
          <w:tcPr>
            <w:tcW w:type="dxa" w:w="3202"/>
            <w:vAlign w:val="center"/>
          </w:tcPr>
          <w:p>
            <w:r>
              <w:rPr>
                <w:rFonts w:ascii="Times New Roman" w:hAnsi="Times New Roman" w:eastAsia="Times New Roman"/>
                <w:sz w:val="18"/>
              </w:rPr>
            </w:r>
            <w:r>
              <w:rPr>
                <w:rFonts w:ascii="Times New Roman" w:hAnsi="Times New Roman" w:eastAsia="Times New Roman"/>
                <w:b w:val="0"/>
                <w:sz w:val="18"/>
              </w:rPr>
              <w:t>Chapter 23</w:t>
            </w:r>
          </w:p>
        </w:tc>
        <w:tc>
          <w:tcPr>
            <w:tcW w:type="dxa" w:w="3202"/>
            <w:vAlign w:val="center"/>
          </w:tcPr>
          <w:p>
            <w:r>
              <w:rPr>
                <w:rFonts w:ascii="Times New Roman" w:hAnsi="Times New Roman" w:eastAsia="Times New Roman"/>
                <w:sz w:val="18"/>
              </w:rPr>
            </w:r>
            <w:r>
              <w:rPr>
                <w:rFonts w:ascii="Times New Roman" w:hAnsi="Times New Roman" w:eastAsia="Times New Roman"/>
                <w:b w:val="0"/>
                <w:sz w:val="18"/>
              </w:rPr>
              <w:t>Computation of Tax</w:t>
            </w:r>
          </w:p>
        </w:tc>
        <w:tc>
          <w:tcPr>
            <w:tcW w:type="dxa" w:w="3202"/>
            <w:vAlign w:val="center"/>
          </w:tcPr>
          <w:p>
            <w:r>
              <w:rPr>
                <w:rFonts w:ascii="Times New Roman" w:hAnsi="Times New Roman" w:eastAsia="Times New Roman"/>
                <w:sz w:val="18"/>
              </w:rPr>
            </w:r>
            <w:r>
              <w:rPr>
                <w:rFonts w:ascii="Times New Roman" w:hAnsi="Times New Roman" w:eastAsia="Times New Roman"/>
                <w:b w:val="0"/>
                <w:sz w:val="18"/>
              </w:rPr>
              <w:t>483</w:t>
            </w:r>
          </w:p>
        </w:tc>
      </w:tr>
      <w:tr>
        <w:tc>
          <w:tcPr>
            <w:tcW w:type="dxa" w:w="3202"/>
            <w:vAlign w:val="center"/>
          </w:tcPr>
          <w:p>
            <w:r>
              <w:rPr>
                <w:rFonts w:ascii="Times New Roman" w:hAnsi="Times New Roman" w:eastAsia="Times New Roman"/>
                <w:sz w:val="18"/>
              </w:rPr>
            </w:r>
            <w:r>
              <w:rPr>
                <w:rFonts w:ascii="Times New Roman" w:hAnsi="Times New Roman" w:eastAsia="Times New Roman"/>
                <w:b w:val="0"/>
                <w:sz w:val="18"/>
              </w:rPr>
              <w:t>Chapter 24</w:t>
            </w:r>
          </w:p>
        </w:tc>
        <w:tc>
          <w:tcPr>
            <w:tcW w:type="dxa" w:w="3202"/>
            <w:vAlign w:val="center"/>
          </w:tcPr>
          <w:p>
            <w:r>
              <w:rPr>
                <w:rFonts w:ascii="Times New Roman" w:hAnsi="Times New Roman" w:eastAsia="Times New Roman"/>
                <w:sz w:val="18"/>
              </w:rPr>
            </w:r>
            <w:r>
              <w:rPr>
                <w:rFonts w:ascii="Times New Roman" w:hAnsi="Times New Roman" w:eastAsia="Times New Roman"/>
                <w:b w:val="0"/>
                <w:sz w:val="18"/>
              </w:rPr>
              <w:t>Installments and Advance Tax</w:t>
            </w:r>
          </w:p>
        </w:tc>
        <w:tc>
          <w:tcPr>
            <w:tcW w:type="dxa" w:w="3202"/>
            <w:vAlign w:val="center"/>
          </w:tcPr>
          <w:p>
            <w:r>
              <w:rPr>
                <w:rFonts w:ascii="Times New Roman" w:hAnsi="Times New Roman" w:eastAsia="Times New Roman"/>
                <w:sz w:val="18"/>
              </w:rPr>
            </w:r>
            <w:r>
              <w:rPr>
                <w:rFonts w:ascii="Times New Roman" w:hAnsi="Times New Roman" w:eastAsia="Times New Roman"/>
                <w:b w:val="0"/>
                <w:sz w:val="18"/>
              </w:rPr>
              <w:t>514</w:t>
            </w:r>
          </w:p>
        </w:tc>
      </w:tr>
      <w:tr>
        <w:tc>
          <w:tcPr>
            <w:tcW w:type="dxa" w:w="3202"/>
            <w:vAlign w:val="center"/>
          </w:tcPr>
          <w:p>
            <w:r>
              <w:rPr>
                <w:rFonts w:ascii="Times New Roman" w:hAnsi="Times New Roman" w:eastAsia="Times New Roman"/>
                <w:sz w:val="18"/>
              </w:rPr>
            </w:r>
            <w:r>
              <w:rPr>
                <w:rFonts w:ascii="Times New Roman" w:hAnsi="Times New Roman" w:eastAsia="Times New Roman"/>
                <w:b w:val="0"/>
                <w:sz w:val="18"/>
              </w:rPr>
              <w:t>Chapter 25</w:t>
            </w:r>
          </w:p>
        </w:tc>
        <w:tc>
          <w:tcPr>
            <w:tcW w:type="dxa" w:w="3202"/>
            <w:vAlign w:val="center"/>
          </w:tcPr>
          <w:p>
            <w:r>
              <w:rPr>
                <w:rFonts w:ascii="Times New Roman" w:hAnsi="Times New Roman" w:eastAsia="Times New Roman"/>
                <w:sz w:val="18"/>
              </w:rPr>
            </w:r>
            <w:r>
              <w:rPr>
                <w:rFonts w:ascii="Times New Roman" w:hAnsi="Times New Roman" w:eastAsia="Times New Roman"/>
                <w:b w:val="0"/>
                <w:sz w:val="18"/>
              </w:rPr>
              <w:t>Income Return</w:t>
            </w:r>
          </w:p>
        </w:tc>
        <w:tc>
          <w:tcPr>
            <w:tcW w:type="dxa" w:w="3202"/>
            <w:vAlign w:val="center"/>
          </w:tcPr>
          <w:p>
            <w:r>
              <w:rPr>
                <w:rFonts w:ascii="Times New Roman" w:hAnsi="Times New Roman" w:eastAsia="Times New Roman"/>
                <w:sz w:val="18"/>
              </w:rPr>
            </w:r>
            <w:r>
              <w:rPr>
                <w:rFonts w:ascii="Times New Roman" w:hAnsi="Times New Roman" w:eastAsia="Times New Roman"/>
                <w:b w:val="0"/>
                <w:sz w:val="18"/>
              </w:rPr>
              <w:t>535</w:t>
            </w:r>
          </w:p>
        </w:tc>
      </w:tr>
      <w:tr>
        <w:tc>
          <w:tcPr>
            <w:tcW w:type="dxa" w:w="3202"/>
            <w:vAlign w:val="center"/>
          </w:tcPr>
          <w:p>
            <w:r>
              <w:rPr>
                <w:rFonts w:ascii="Times New Roman" w:hAnsi="Times New Roman" w:eastAsia="Times New Roman"/>
                <w:sz w:val="18"/>
              </w:rPr>
            </w:r>
            <w:r>
              <w:rPr>
                <w:rFonts w:ascii="Times New Roman" w:hAnsi="Times New Roman" w:eastAsia="Times New Roman"/>
                <w:b w:val="0"/>
                <w:sz w:val="18"/>
              </w:rPr>
              <w:t>Chapter 26</w:t>
            </w:r>
          </w:p>
        </w:tc>
        <w:tc>
          <w:tcPr>
            <w:tcW w:type="dxa" w:w="3202"/>
            <w:vAlign w:val="center"/>
          </w:tcPr>
          <w:p>
            <w:r>
              <w:rPr>
                <w:rFonts w:ascii="Times New Roman" w:hAnsi="Times New Roman" w:eastAsia="Times New Roman"/>
                <w:sz w:val="18"/>
              </w:rPr>
            </w:r>
            <w:r>
              <w:rPr>
                <w:rFonts w:ascii="Times New Roman" w:hAnsi="Times New Roman" w:eastAsia="Times New Roman"/>
                <w:b w:val="0"/>
                <w:sz w:val="18"/>
              </w:rPr>
              <w:t>Tax Assessment</w:t>
            </w:r>
          </w:p>
        </w:tc>
        <w:tc>
          <w:tcPr>
            <w:tcW w:type="dxa" w:w="3202"/>
            <w:vAlign w:val="center"/>
          </w:tcPr>
          <w:p>
            <w:r>
              <w:rPr>
                <w:rFonts w:ascii="Times New Roman" w:hAnsi="Times New Roman" w:eastAsia="Times New Roman"/>
                <w:sz w:val="18"/>
              </w:rPr>
            </w:r>
            <w:r>
              <w:rPr>
                <w:rFonts w:ascii="Times New Roman" w:hAnsi="Times New Roman" w:eastAsia="Times New Roman"/>
                <w:b w:val="0"/>
                <w:sz w:val="18"/>
              </w:rPr>
              <w:t>548</w:t>
            </w:r>
          </w:p>
        </w:tc>
      </w:tr>
      <w:tr>
        <w:tc>
          <w:tcPr>
            <w:tcW w:type="dxa" w:w="3202"/>
            <w:vAlign w:val="center"/>
          </w:tcPr>
          <w:p>
            <w:r>
              <w:rPr>
                <w:rFonts w:ascii="Times New Roman" w:hAnsi="Times New Roman" w:eastAsia="Times New Roman"/>
                <w:sz w:val="18"/>
              </w:rPr>
            </w:r>
            <w:r>
              <w:rPr>
                <w:rFonts w:ascii="Times New Roman" w:hAnsi="Times New Roman" w:eastAsia="Times New Roman"/>
                <w:b w:val="0"/>
                <w:sz w:val="18"/>
              </w:rPr>
              <w:t>Chapter 27</w:t>
            </w:r>
          </w:p>
        </w:tc>
        <w:tc>
          <w:tcPr>
            <w:tcW w:type="dxa" w:w="3202"/>
            <w:vAlign w:val="center"/>
          </w:tcPr>
          <w:p>
            <w:r>
              <w:rPr>
                <w:rFonts w:ascii="Times New Roman" w:hAnsi="Times New Roman" w:eastAsia="Times New Roman"/>
                <w:sz w:val="18"/>
              </w:rPr>
            </w:r>
            <w:r>
              <w:rPr>
                <w:rFonts w:ascii="Times New Roman" w:hAnsi="Times New Roman" w:eastAsia="Times New Roman"/>
                <w:b w:val="0"/>
                <w:sz w:val="18"/>
              </w:rPr>
              <w:t>Payment of Tax</w:t>
            </w:r>
          </w:p>
        </w:tc>
        <w:tc>
          <w:tcPr>
            <w:tcW w:type="dxa" w:w="3202"/>
            <w:vAlign w:val="center"/>
          </w:tcPr>
          <w:p>
            <w:r>
              <w:rPr>
                <w:rFonts w:ascii="Times New Roman" w:hAnsi="Times New Roman" w:eastAsia="Times New Roman"/>
                <w:sz w:val="18"/>
              </w:rPr>
            </w:r>
            <w:r>
              <w:rPr>
                <w:rFonts w:ascii="Times New Roman" w:hAnsi="Times New Roman" w:eastAsia="Times New Roman"/>
                <w:b w:val="0"/>
                <w:sz w:val="18"/>
              </w:rPr>
              <w:t>559</w:t>
            </w:r>
          </w:p>
        </w:tc>
      </w:tr>
      <w:tr>
        <w:tc>
          <w:tcPr>
            <w:tcW w:type="dxa" w:w="3202"/>
            <w:vAlign w:val="center"/>
          </w:tcPr>
          <w:p>
            <w:r>
              <w:rPr>
                <w:rFonts w:ascii="Times New Roman" w:hAnsi="Times New Roman" w:eastAsia="Times New Roman"/>
                <w:sz w:val="18"/>
              </w:rPr>
            </w:r>
            <w:r>
              <w:rPr>
                <w:rFonts w:ascii="Times New Roman" w:hAnsi="Times New Roman" w:eastAsia="Times New Roman"/>
                <w:b w:val="0"/>
                <w:sz w:val="18"/>
              </w:rPr>
              <w:t>Chapter 28</w:t>
            </w:r>
          </w:p>
        </w:tc>
        <w:tc>
          <w:tcPr>
            <w:tcW w:type="dxa" w:w="3202"/>
            <w:vAlign w:val="center"/>
          </w:tcPr>
          <w:p>
            <w:r>
              <w:rPr>
                <w:rFonts w:ascii="Times New Roman" w:hAnsi="Times New Roman" w:eastAsia="Times New Roman"/>
                <w:sz w:val="18"/>
              </w:rPr>
            </w:r>
            <w:r>
              <w:rPr>
                <w:rFonts w:ascii="Times New Roman" w:hAnsi="Times New Roman" w:eastAsia="Times New Roman"/>
                <w:b w:val="0"/>
                <w:sz w:val="18"/>
              </w:rPr>
              <w:t>Tax Collection, Remission and Refund</w:t>
            </w:r>
          </w:p>
        </w:tc>
        <w:tc>
          <w:tcPr>
            <w:tcW w:type="dxa" w:w="3202"/>
            <w:vAlign w:val="center"/>
          </w:tcPr>
          <w:p>
            <w:r>
              <w:rPr>
                <w:rFonts w:ascii="Times New Roman" w:hAnsi="Times New Roman" w:eastAsia="Times New Roman"/>
                <w:sz w:val="18"/>
              </w:rPr>
            </w:r>
            <w:r>
              <w:rPr>
                <w:rFonts w:ascii="Times New Roman" w:hAnsi="Times New Roman" w:eastAsia="Times New Roman"/>
                <w:b w:val="0"/>
                <w:sz w:val="18"/>
              </w:rPr>
              <w:t>573</w:t>
            </w:r>
          </w:p>
        </w:tc>
      </w:tr>
      <w:tr>
        <w:tc>
          <w:tcPr>
            <w:tcW w:type="dxa" w:w="3202"/>
            <w:vAlign w:val="center"/>
          </w:tcPr>
          <w:p>
            <w:r>
              <w:rPr>
                <w:rFonts w:ascii="Times New Roman" w:hAnsi="Times New Roman" w:eastAsia="Times New Roman"/>
                <w:sz w:val="18"/>
              </w:rPr>
            </w:r>
            <w:r>
              <w:rPr>
                <w:rFonts w:ascii="Times New Roman" w:hAnsi="Times New Roman" w:eastAsia="Times New Roman"/>
                <w:b w:val="0"/>
                <w:sz w:val="18"/>
              </w:rPr>
              <w:t>Chapter 29</w:t>
            </w:r>
          </w:p>
        </w:tc>
        <w:tc>
          <w:tcPr>
            <w:tcW w:type="dxa" w:w="3202"/>
            <w:vAlign w:val="center"/>
          </w:tcPr>
          <w:p>
            <w:r>
              <w:rPr>
                <w:rFonts w:ascii="Times New Roman" w:hAnsi="Times New Roman" w:eastAsia="Times New Roman"/>
                <w:sz w:val="18"/>
              </w:rPr>
            </w:r>
            <w:r>
              <w:rPr>
                <w:rFonts w:ascii="Times New Roman" w:hAnsi="Times New Roman" w:eastAsia="Times New Roman"/>
                <w:b w:val="0"/>
                <w:sz w:val="18"/>
              </w:rPr>
              <w:t>Fees, Interest and Penalty</w:t>
            </w:r>
          </w:p>
        </w:tc>
        <w:tc>
          <w:tcPr>
            <w:tcW w:type="dxa" w:w="3202"/>
            <w:vAlign w:val="center"/>
          </w:tcPr>
          <w:p>
            <w:r>
              <w:rPr>
                <w:rFonts w:ascii="Times New Roman" w:hAnsi="Times New Roman" w:eastAsia="Times New Roman"/>
                <w:sz w:val="18"/>
              </w:rPr>
            </w:r>
            <w:r>
              <w:rPr>
                <w:rFonts w:ascii="Times New Roman" w:hAnsi="Times New Roman" w:eastAsia="Times New Roman"/>
                <w:b w:val="0"/>
                <w:sz w:val="18"/>
              </w:rPr>
              <w:t>607</w:t>
            </w:r>
          </w:p>
        </w:tc>
      </w:tr>
      <w:tr>
        <w:tc>
          <w:tcPr>
            <w:tcW w:type="dxa" w:w="3202"/>
            <w:vAlign w:val="center"/>
          </w:tcPr>
          <w:p>
            <w:r>
              <w:rPr>
                <w:rFonts w:ascii="Times New Roman" w:hAnsi="Times New Roman" w:eastAsia="Times New Roman"/>
                <w:sz w:val="18"/>
              </w:rPr>
            </w:r>
            <w:r>
              <w:rPr>
                <w:rFonts w:ascii="Times New Roman" w:hAnsi="Times New Roman" w:eastAsia="Times New Roman"/>
                <w:b w:val="0"/>
                <w:sz w:val="18"/>
              </w:rPr>
              <w:t>Chapter 30</w:t>
            </w:r>
          </w:p>
        </w:tc>
        <w:tc>
          <w:tcPr>
            <w:tcW w:type="dxa" w:w="3202"/>
            <w:vAlign w:val="center"/>
          </w:tcPr>
          <w:p>
            <w:r>
              <w:rPr>
                <w:rFonts w:ascii="Times New Roman" w:hAnsi="Times New Roman" w:eastAsia="Times New Roman"/>
                <w:sz w:val="18"/>
              </w:rPr>
            </w:r>
            <w:r>
              <w:rPr>
                <w:rFonts w:ascii="Times New Roman" w:hAnsi="Times New Roman" w:eastAsia="Times New Roman"/>
                <w:b w:val="0"/>
                <w:sz w:val="18"/>
              </w:rPr>
              <w:t>Administrative Review and Appeal</w:t>
            </w:r>
          </w:p>
        </w:tc>
        <w:tc>
          <w:tcPr>
            <w:tcW w:type="dxa" w:w="3202"/>
            <w:vAlign w:val="center"/>
          </w:tcPr>
          <w:p>
            <w:r>
              <w:rPr>
                <w:rFonts w:ascii="Times New Roman" w:hAnsi="Times New Roman" w:eastAsia="Times New Roman"/>
                <w:sz w:val="18"/>
              </w:rPr>
            </w:r>
            <w:r>
              <w:rPr>
                <w:rFonts w:ascii="Times New Roman" w:hAnsi="Times New Roman" w:eastAsia="Times New Roman"/>
                <w:b w:val="0"/>
                <w:sz w:val="18"/>
              </w:rPr>
              <w:t>624</w:t>
            </w:r>
          </w:p>
        </w:tc>
      </w:tr>
      <w:tr>
        <w:tc>
          <w:tcPr>
            <w:tcW w:type="dxa" w:w="3202"/>
            <w:vAlign w:val="center"/>
          </w:tcPr>
          <w:p>
            <w:r>
              <w:rPr>
                <w:rFonts w:ascii="Times New Roman" w:hAnsi="Times New Roman" w:eastAsia="Times New Roman"/>
                <w:sz w:val="18"/>
              </w:rPr>
            </w:r>
            <w:r>
              <w:rPr>
                <w:rFonts w:ascii="Times New Roman" w:hAnsi="Times New Roman" w:eastAsia="Times New Roman"/>
                <w:b w:val="0"/>
                <w:sz w:val="18"/>
              </w:rPr>
              <w:t>Chapter 31</w:t>
            </w:r>
          </w:p>
        </w:tc>
        <w:tc>
          <w:tcPr>
            <w:tcW w:type="dxa" w:w="3202"/>
            <w:vAlign w:val="center"/>
          </w:tcPr>
          <w:p>
            <w:r>
              <w:rPr>
                <w:rFonts w:ascii="Times New Roman" w:hAnsi="Times New Roman" w:eastAsia="Times New Roman"/>
                <w:sz w:val="18"/>
              </w:rPr>
            </w:r>
            <w:r>
              <w:rPr>
                <w:rFonts w:ascii="Times New Roman" w:hAnsi="Times New Roman" w:eastAsia="Times New Roman"/>
                <w:b w:val="0"/>
                <w:sz w:val="18"/>
              </w:rPr>
              <w:t>Income Tax Administration, Official Documents and Records, and Information Collection</w:t>
            </w:r>
          </w:p>
        </w:tc>
        <w:tc>
          <w:tcPr>
            <w:tcW w:type="dxa" w:w="3202"/>
            <w:vAlign w:val="center"/>
          </w:tcPr>
          <w:p>
            <w:r>
              <w:rPr>
                <w:rFonts w:ascii="Times New Roman" w:hAnsi="Times New Roman" w:eastAsia="Times New Roman"/>
                <w:sz w:val="18"/>
              </w:rPr>
            </w:r>
            <w:r>
              <w:rPr>
                <w:rFonts w:ascii="Times New Roman" w:hAnsi="Times New Roman" w:eastAsia="Times New Roman"/>
                <w:b w:val="0"/>
                <w:sz w:val="18"/>
              </w:rPr>
              <w:t>632</w:t>
            </w:r>
          </w:p>
        </w:tc>
      </w:tr>
      <w:tr>
        <w:tc>
          <w:tcPr>
            <w:tcW w:type="dxa" w:w="3202"/>
            <w:vAlign w:val="center"/>
          </w:tcPr>
          <w:p>
            <w:r>
              <w:rPr>
                <w:rFonts w:ascii="Times New Roman" w:hAnsi="Times New Roman" w:eastAsia="Times New Roman"/>
                <w:sz w:val="18"/>
              </w:rPr>
            </w:r>
            <w:r>
              <w:rPr>
                <w:rFonts w:ascii="Times New Roman" w:hAnsi="Times New Roman" w:eastAsia="Times New Roman"/>
                <w:b w:val="0"/>
                <w:sz w:val="18"/>
              </w:rPr>
              <w:t>Chapter 32</w:t>
            </w:r>
          </w:p>
        </w:tc>
        <w:tc>
          <w:tcPr>
            <w:tcW w:type="dxa" w:w="3202"/>
            <w:vAlign w:val="center"/>
          </w:tcPr>
          <w:p>
            <w:r>
              <w:rPr>
                <w:rFonts w:ascii="Times New Roman" w:hAnsi="Times New Roman" w:eastAsia="Times New Roman"/>
                <w:sz w:val="18"/>
              </w:rPr>
            </w:r>
            <w:r>
              <w:rPr>
                <w:rFonts w:ascii="Times New Roman" w:hAnsi="Times New Roman" w:eastAsia="Times New Roman"/>
                <w:b w:val="0"/>
                <w:sz w:val="18"/>
              </w:rPr>
              <w:t>Miscellaneous</w:t>
            </w:r>
          </w:p>
        </w:tc>
        <w:tc>
          <w:tcPr>
            <w:tcW w:type="dxa" w:w="3202"/>
            <w:vAlign w:val="center"/>
          </w:tcPr>
          <w:p>
            <w:r>
              <w:rPr>
                <w:rFonts w:ascii="Times New Roman" w:hAnsi="Times New Roman" w:eastAsia="Times New Roman"/>
                <w:sz w:val="18"/>
              </w:rPr>
            </w:r>
            <w:r>
              <w:rPr>
                <w:rFonts w:ascii="Times New Roman" w:hAnsi="Times New Roman" w:eastAsia="Times New Roman"/>
                <w:b w:val="0"/>
                <w:sz w:val="18"/>
              </w:rPr>
              <w:t>653</w:t>
            </w:r>
          </w:p>
        </w:tc>
      </w:tr>
      <w:tr>
        <w:tc>
          <w:tcPr>
            <w:tcW w:type="dxa" w:w="3202"/>
            <w:vAlign w:val="center"/>
          </w:tcPr>
          <w:p>
            <w:r>
              <w:rPr>
                <w:rFonts w:ascii="Times New Roman" w:hAnsi="Times New Roman" w:eastAsia="Times New Roman"/>
                <w:sz w:val="18"/>
              </w:rPr>
            </w:r>
            <w:r>
              <w:rPr>
                <w:rFonts w:ascii="Times New Roman" w:hAnsi="Times New Roman" w:eastAsia="Times New Roman"/>
                <w:b w:val="0"/>
                <w:sz w:val="18"/>
              </w:rPr>
              <w:t>Schedules</w:t>
            </w:r>
          </w:p>
        </w:tc>
        <w:tc>
          <w:tcPr>
            <w:tcW w:type="dxa" w:w="3202"/>
            <w:vAlign w:val="center"/>
          </w:tcPr>
          <w:p>
            <w:r>
              <w:rPr>
                <w:rFonts w:ascii="Times New Roman" w:hAnsi="Times New Roman" w:eastAsia="Times New Roman"/>
                <w:sz w:val="18"/>
              </w:rPr>
            </w:r>
            <w:r>
              <w:rPr>
                <w:rFonts w:ascii="Times New Roman" w:hAnsi="Times New Roman" w:eastAsia="Times New Roman"/>
                <w:b w:val="0"/>
                <w:sz w:val="18"/>
              </w:rPr>
            </w:r>
          </w:p>
        </w:tc>
        <w:tc>
          <w:tcPr>
            <w:tcW w:type="dxa" w:w="3202"/>
            <w:vAlign w:val="center"/>
          </w:tcPr>
          <w:p>
            <w:r>
              <w:rPr>
                <w:rFonts w:ascii="Times New Roman" w:hAnsi="Times New Roman" w:eastAsia="Times New Roman"/>
                <w:sz w:val="18"/>
              </w:rPr>
            </w:r>
            <w:r>
              <w:rPr>
                <w:rFonts w:ascii="Times New Roman" w:hAnsi="Times New Roman" w:eastAsia="Times New Roman"/>
                <w:b w:val="0"/>
                <w:sz w:val="18"/>
              </w:rPr>
              <w:t>661</w:t>
            </w:r>
          </w:p>
        </w:tc>
      </w:tr>
    </w:tbl>
    <w:p>
      <w:r>
        <w:br w:type="page"/>
      </w:r>
    </w:p>
    <w:p>
      <w:pPr>
        <w:spacing w:before="120" w:after="200"/>
        <w:jc w:val="center"/>
      </w:pPr>
      <w:r>
        <w:rPr>
          <w:rFonts w:ascii="Times New Roman" w:hAnsi="Times New Roman" w:eastAsia="Times New Roman"/>
          <w:b/>
          <w:sz w:val="28"/>
        </w:rPr>
        <w:t>Chapter 1</w:t>
      </w:r>
    </w:p>
    <w:p>
      <w:pPr>
        <w:spacing w:before="120" w:after="200"/>
        <w:jc w:val="center"/>
      </w:pPr>
      <w:r>
        <w:rPr>
          <w:rFonts w:ascii="Times New Roman" w:hAnsi="Times New Roman" w:eastAsia="Times New Roman"/>
          <w:b/>
          <w:sz w:val="24"/>
        </w:rPr>
        <w:t>Introduction</w:t>
      </w:r>
    </w:p>
    <w:p>
      <w:pPr>
        <w:spacing w:after="120" w:line="252" w:lineRule="auto"/>
      </w:pPr>
      <w:r>
        <w:rPr>
          <w:rFonts w:ascii="Times New Roman" w:hAnsi="Times New Roman" w:eastAsia="Times New Roman"/>
          <w:b/>
          <w:sz w:val="21"/>
        </w:rPr>
        <w:t xml:space="preserve">1.1  </w:t>
      </w:r>
      <w:r>
        <w:rPr>
          <w:rFonts w:ascii="Times New Roman" w:hAnsi="Times New Roman" w:eastAsia="Times New Roman"/>
          <w:sz w:val="21"/>
        </w:rPr>
        <w:t>The concept of income tax in Nepal first began in B.S. 2017. The Income Tax Act that came into force from B.S. 2031 was in force before the present Income Tax Act, 2058 came into effect. The Income Tax Act, 2031, which was in force before the present Income Tax Act, 2058, was not standard from the perspective of the indivisibility of tax law. At that time, for assessing the tax of any person, in addition to the Income Tax Act, it was necessary to take as basis the tax-related provisions contained in the Finance Act of the relevant income year, the Industrial Enterprises Act, the Labour Act, the Bonus Act and dozens of other Acts, as well as the Rules framed under those Acts. Since provisions relating to tax exemptions were contained in various Acts, there were difficulties even in effective implementation.</w:t>
      </w:r>
    </w:p>
    <w:p>
      <w:pPr>
        <w:spacing w:after="120" w:line="252" w:lineRule="auto"/>
        <w:ind w:firstLine="360"/>
      </w:pPr>
      <w:r>
        <w:rPr>
          <w:rFonts w:ascii="Times New Roman" w:hAnsi="Times New Roman" w:eastAsia="Times New Roman"/>
          <w:b w:val="0"/>
          <w:i w:val="0"/>
          <w:sz w:val="21"/>
        </w:rPr>
        <w:t>The current revenue policy recognizes that revenue should be mobilized by broadening the tax base and not by increasing tax rates. Based on this principle, the Income Tax Act, 2058 has brought within the scope of income tax all types of income earned by a person, whether obtained by investing labour, by a combination of labour and capital, or by mobilizing sources and property, regardless of the manner in which such income is earned.</w:t>
      </w:r>
    </w:p>
    <w:p>
      <w:pPr>
        <w:spacing w:after="120" w:line="252" w:lineRule="auto"/>
        <w:ind w:firstLine="360"/>
      </w:pPr>
      <w:r>
        <w:rPr>
          <w:rFonts w:ascii="Times New Roman" w:hAnsi="Times New Roman" w:eastAsia="Times New Roman"/>
          <w:b w:val="0"/>
          <w:i w:val="0"/>
          <w:sz w:val="21"/>
        </w:rPr>
        <w:t>The Income Tax Act, 2058 is based on the modern concept of income tax. In the present world economy, a person’s income is not confined only to a certain geographical area, and the use of capital and technology is not limited only within the borders of a country. Because of the norms of the World Trade Organization and an open competitive economy, the income of a particular person may arise anywhere. The Income Tax Act, 2058 has adopted the residence principle of income tax. Under this principle, a resident person of Nepal is required to pay tax in Nepal on income wherever in the world it is situated. To relieve a person from double taxation, the Act provides for credit of income tax paid in a foreign country on income earned outside Nepal.</w:t>
      </w:r>
    </w:p>
    <w:p>
      <w:pPr>
        <w:spacing w:after="120" w:line="252" w:lineRule="auto"/>
        <w:ind w:firstLine="360"/>
      </w:pPr>
      <w:r>
        <w:rPr>
          <w:rFonts w:ascii="Times New Roman" w:hAnsi="Times New Roman" w:eastAsia="Times New Roman"/>
          <w:b w:val="0"/>
          <w:i w:val="0"/>
          <w:sz w:val="21"/>
        </w:rPr>
        <w:t>Under the former Income Tax Act, a person who earned income was not required to pay tax in the income year in which the income was earned; rather, upon filing the income return, tax had to be paid according to the assessment made by the tax office on the basis of the income return filed by that taxpayer. The Income Tax Act, 2058 has incorporated the Pay-As-You-Earn (PAYE) principle, meaning that tax is paid as income is earned. This provides for assessment of a person’s income and payment of tax on that income at the same time. As a result, the person does not continue to carry income tax liability and the Government receives income tax revenue on time. Particularly in respect of various types of income of natural persons, tax is deducted and deposited through tax deduction at source at the time payment is received. Therefore, in some income of natural persons, the advance tax deducted itself becomes the final withholding tax, and the taxpayer does not need to visit the office to file tax. This saves time by eliminating the need to visit the office repeatedly for tax filing and also reduces payment costs, while also reducing the Government’s cost of tax collection.</w:t>
      </w:r>
    </w:p>
    <w:p>
      <w:pPr>
        <w:spacing w:after="120" w:line="252" w:lineRule="auto"/>
        <w:ind w:firstLine="360"/>
      </w:pPr>
      <w:r>
        <w:rPr>
          <w:rFonts w:ascii="Times New Roman" w:hAnsi="Times New Roman" w:eastAsia="Times New Roman"/>
          <w:b w:val="0"/>
          <w:i w:val="0"/>
          <w:sz w:val="21"/>
        </w:rPr>
        <w:t>The Income Tax Act, 2058, based on modern principles and norms of income tax, has various features. Nearly two decades have passed since the Income Tax Act, 2058 came into force. During this period, implementation of the Act has passed through many ups and downs. In addition, since it was necessary to present the provisions of the Act in an integrated manner and to integrate the rules provided in the Rules in a form understandable to all, by explaining them in a simple and convenient manner and preparing and implementing a directive, Section 139 of the Act empowers the Department to prepare and issue necessary directives for effective implementation of the Act. Accordingly, the Department has prepared and issued this Directive, also interpreting the various sections of the Act. In the present amendment, this Directive has been issued by also incorporating the amendments and additional provisions made to the Income Tax Act, 2058 by the Finance Acts of 2079, 2080 and 2081. The main objective of this Directive is to interpret the provisions contained in the Income Tax Act, 2058 and the Income Tax Rules, 2059 in a manner that reflects their intent as necessary. A provision mentioned in a specific section of the Act and other sections of the Act covered by that section have been included in sequence with that provision and explained in a simple manner so that everyone can understand them easily.</w:t>
      </w:r>
    </w:p>
    <w:p>
      <w:pPr>
        <w:spacing w:after="120" w:line="252" w:lineRule="auto"/>
      </w:pPr>
      <w:r>
        <w:rPr>
          <w:rFonts w:ascii="Times New Roman" w:hAnsi="Times New Roman" w:eastAsia="Times New Roman"/>
          <w:b/>
          <w:i w:val="0"/>
          <w:sz w:val="24"/>
        </w:rPr>
        <w:t>1.2 Presentation of the Directive and its Place</w:t>
      </w:r>
    </w:p>
    <w:p>
      <w:pPr>
        <w:spacing w:after="120" w:line="252" w:lineRule="auto"/>
        <w:ind w:firstLine="360"/>
      </w:pPr>
      <w:r>
        <w:rPr>
          <w:rFonts w:ascii="Times New Roman" w:hAnsi="Times New Roman" w:eastAsia="Times New Roman"/>
          <w:b w:val="0"/>
          <w:i w:val="0"/>
          <w:sz w:val="21"/>
        </w:rPr>
        <w:t>Even after the Income Tax Act, 2058 came into force, different understandings still exist among the tax administration, taxpayers and tax auditors with respect to certain provisions of the Act. If the provisions of the Income Tax Act are implemented according to the intent of the Act without creating dilemmas among the tax administration, taxpayers and tax auditors, the tax administration receives tax revenue as provided by the Act, and taxpayers can easily pay the tax payable by them and are relieved from additional tax liabilities such as fees and interest. For this reason, all provisions of the Act and Rules have been clarified in this Directive so that the tax administration, taxpayers and tax auditors directly connected with income tax may internalize the spirit of the Income Tax Act, 2058 and the Rules, 2059. The Income Tax Directive, 2066 (as amended) does not present all provisions of the Income Tax Act, 2058 and the Income Tax Rules, 2059 according to the sections of the Act or Rules or their sequence. Instead, it presents them in 32 different chapters based on the type of taxpayer’s income, type of taxpayer, tax administration and its official documents and similar matters. Under each chapter, the sections of the Act and the rules of the Rules relevant to the subject covered by that chapter are mentioned and their intent is stated. To help the provisions of the Act and the Rules be understood simply, as far as possible all provisions have been clarified through relevant examples. The provisions of the Act and Rules and examples presented in the Directive have been presented in a simple manner so that they do not carry a double meaning.</w:t>
      </w:r>
    </w:p>
    <w:p>
      <w:pPr>
        <w:spacing w:after="120" w:line="252" w:lineRule="auto"/>
        <w:ind w:firstLine="360"/>
      </w:pPr>
      <w:r>
        <w:rPr>
          <w:rFonts w:ascii="Times New Roman" w:hAnsi="Times New Roman" w:eastAsia="Times New Roman"/>
          <w:b w:val="0"/>
          <w:i w:val="0"/>
          <w:sz w:val="21"/>
        </w:rPr>
        <w:t>In this Directive, chapters have been divided on the basis of subjects such as heads of income, deductions of expenses and withholding tax at source. To help make a person’s head of income and status clear, the presentation of the Act, Rules and examples has been repeated on the basis of chapter headings. For example, in the computation of income from employment, the income included in employment income is mentioned together with the matters relating to tax deduction at source when the employer makes payment of employment income. Similarly, under the heading of withholding tax at source, computation of employment income and the tax to be deducted on it are also mentioned. In this manner of presentation, provisions of the Act and Rules and examples may also be duplicated. The purpose of such presentation is that a person should not be required to study the entire Directive merely to know what obligations must be complied with under the Act.</w:t>
      </w:r>
    </w:p>
    <w:p>
      <w:pPr>
        <w:spacing w:after="120" w:line="252" w:lineRule="auto"/>
        <w:ind w:firstLine="360"/>
      </w:pPr>
      <w:r>
        <w:rPr>
          <w:rFonts w:ascii="Times New Roman" w:hAnsi="Times New Roman" w:eastAsia="Times New Roman"/>
          <w:b w:val="0"/>
          <w:i w:val="0"/>
          <w:sz w:val="21"/>
        </w:rPr>
        <w:t>The present Directive also includes the substance and intent of circulars, public circulars, advance rulings provided to taxpayers, issues and intent arising from past administrative reviews and court decisions made at different times since the commencement of the Income Tax Act, in order to clarify the provisions of the Act. Since the provisions of the Act and the Rules have been clarified with the purpose of reducing the repeated dilemmas faced by the tax administration, taxpayers and tax professionals in the course of performing their duties, it is believed that publication of this Directive will help persons concerned with income tax in performing their work.</w:t>
      </w:r>
    </w:p>
    <w:p>
      <w:pPr>
        <w:spacing w:after="120" w:line="252" w:lineRule="auto"/>
        <w:ind w:firstLine="360"/>
      </w:pPr>
      <w:r>
        <w:rPr>
          <w:rFonts w:ascii="Times New Roman" w:hAnsi="Times New Roman" w:eastAsia="Times New Roman"/>
          <w:b w:val="0"/>
          <w:i w:val="0"/>
          <w:sz w:val="21"/>
        </w:rPr>
        <w:t>Generally, each chapter of the Directive includes the sections of the Act related to that chapter and explains them. However, where it is necessary to study and explain other provisions related to that chapter in greater detail, the relationship with other chapters has also been disclosed in the same chapter. For example, Chapter 17 relating to computation of income from employment mentions provisions relating to retirement funds and withholding tax in the computation of taxable income from employment. However, since those provisions of the Act have separate importance and more detailed study of those provisions makes the explanation of employment income computation and tax liability more convenient, Chapter 17 states that it is also appropriate to study Chapter 12 (Retirement Fund) and Chapter 16 (Tax Deduction at Payment).</w:t>
      </w:r>
    </w:p>
    <w:p>
      <w:pPr>
        <w:spacing w:after="120" w:line="252" w:lineRule="auto"/>
        <w:ind w:firstLine="360"/>
      </w:pPr>
      <w:r>
        <w:rPr>
          <w:rFonts w:ascii="Times New Roman" w:hAnsi="Times New Roman" w:eastAsia="Times New Roman"/>
          <w:b w:val="0"/>
          <w:i w:val="0"/>
          <w:sz w:val="21"/>
        </w:rPr>
        <w:t>This Directive has been prepared on a subject-wise basis. In doing so, the section of the Act, other sections connected with that section and the related rule have been included and presented in one place. In this Directive, bold letters have been used when mentioning sections of the Act, bold italic letters have been used for rules, and normal letters have been used for explanations and other examples. In the course of explaining provisions of the Act and the Rules in this manner, examples have also been included as necessary. The names mentioned in such examples are fictional.</w:t>
      </w:r>
    </w:p>
    <w:p>
      <w:pPr>
        <w:spacing w:after="120" w:line="252" w:lineRule="auto"/>
        <w:ind w:firstLine="360"/>
      </w:pPr>
      <w:r>
        <w:rPr>
          <w:rFonts w:ascii="Times New Roman" w:hAnsi="Times New Roman" w:eastAsia="Times New Roman"/>
          <w:b w:val="0"/>
          <w:i w:val="0"/>
          <w:sz w:val="21"/>
        </w:rPr>
        <w:t>This Directive should be used in the course of applying, practicing and interpreting the Income Tax Act, 2058 and the Income Tax Rules, 2059. In the context of income tax, its place comes after the Income Tax Act, 2058 (as amended) and the Income Tax Rules, 2059 (as amended).</w:t>
      </w:r>
    </w:p>
    <w:p>
      <w:pPr>
        <w:spacing w:after="120" w:line="252" w:lineRule="auto"/>
      </w:pPr>
      <w:r>
        <w:rPr>
          <w:rFonts w:ascii="Times New Roman" w:hAnsi="Times New Roman" w:eastAsia="Times New Roman"/>
          <w:b/>
          <w:i w:val="0"/>
          <w:sz w:val="24"/>
        </w:rPr>
        <w:t>1.3 Provisions Relating to Priority</w:t>
      </w:r>
    </w:p>
    <w:p>
      <w:pPr>
        <w:spacing w:after="120" w:line="252" w:lineRule="auto"/>
        <w:ind w:firstLine="360"/>
      </w:pPr>
      <w:r>
        <w:rPr>
          <w:rFonts w:ascii="Times New Roman" w:hAnsi="Times New Roman" w:eastAsia="Times New Roman"/>
          <w:b w:val="0"/>
          <w:i w:val="0"/>
          <w:sz w:val="21"/>
        </w:rPr>
        <w:t>The work relating to collection of income tax is a judicial function. In taking action and making decisions concerning income tax collection and recovery, it is necessary to base them on law and judicial principles relating to tax. Tax-related actions and decisions are considered quasi-judicial functions. Therefore, a tax officer working for that purpose must use a judicial mind, determine the legal facts and make decisions accordingly. Otherwise, decisions and actions taken by the tax officer are invalidated. It is therefore necessary to use income tax law correctly. From this perspective, certain basic information that should be kept in mind is presented here.</w:t>
      </w:r>
    </w:p>
    <w:p>
      <w:pPr>
        <w:spacing w:after="120" w:line="252" w:lineRule="auto"/>
      </w:pPr>
      <w:r>
        <w:rPr>
          <w:rFonts w:ascii="Times New Roman" w:hAnsi="Times New Roman" w:eastAsia="Times New Roman"/>
          <w:b w:val="0"/>
          <w:i w:val="0"/>
          <w:sz w:val="21"/>
        </w:rPr>
        <w:t>1.3.1 Conflict of laws: In certain cases, laws conflict with each other. The word “law” includes the Constitution, Acts, Rules, Sub-rules, Regulations, Orders, Notices, Circulars and all similar instruments. Therefore, the word law conveys complexity and breadth. Some laws are stronger and some are weaker in hierarchy. The Constitution is supreme, followed by Acts and then Rules. If two laws conflict, the one higher in hierarchy is stronger and prevails. However, where laws of the same level conflict, the matter must be determined by considering which law is more specifically and closely connected with the relevant subject or party, which one is earlier and which one is later. For example, where the Constitution and an Act conflict, the Constitution applies; where an Act and a Rule conflict, the Act applies; and where an Act conflicts with another Act, the special Act made for the relevant subject matter applies.</w:t>
      </w:r>
    </w:p>
    <w:p>
      <w:pPr>
        <w:spacing w:after="120" w:line="252" w:lineRule="auto"/>
      </w:pPr>
      <w:r>
        <w:rPr>
          <w:rFonts w:ascii="Times New Roman" w:hAnsi="Times New Roman" w:eastAsia="Times New Roman"/>
          <w:b w:val="0"/>
          <w:i w:val="0"/>
          <w:sz w:val="21"/>
        </w:rPr>
        <w:t>1.3.2 Double taxation agreements: If the provisions of an agreement relating to avoidance of double taxation and the provisions of the Income Tax Act conflict, the provisions of the agreement apply.</w:t>
      </w:r>
    </w:p>
    <w:p>
      <w:pPr>
        <w:spacing w:after="120" w:line="252" w:lineRule="auto"/>
      </w:pPr>
      <w:r>
        <w:rPr>
          <w:rFonts w:ascii="Times New Roman" w:hAnsi="Times New Roman" w:eastAsia="Times New Roman"/>
          <w:b w:val="0"/>
          <w:i w:val="0"/>
          <w:sz w:val="21"/>
        </w:rPr>
        <w:t>1.3.3 Mandatory and discretionary law: Law is of two types: mandatory and discretionary. Use and application of mandatory law is compulsory, whereas in the case of discretionary law the concerned authority is free to use or not use it. If a law states “shall”, “will” or “must”, it is mandatory. If a law states “may” or “may be done”, the user is free to use that law; the user may comply with or use it only if the user considers or sees that compliance is necessary.</w:t>
      </w:r>
    </w:p>
    <w:p>
      <w:pPr>
        <w:spacing w:after="120" w:line="252" w:lineRule="auto"/>
      </w:pPr>
      <w:r>
        <w:rPr>
          <w:rFonts w:ascii="Times New Roman" w:hAnsi="Times New Roman" w:eastAsia="Times New Roman"/>
          <w:b w:val="0"/>
          <w:i w:val="0"/>
          <w:sz w:val="21"/>
        </w:rPr>
        <w:t>1.3.4 Use of discretion: Discretion must be used with great care. Law gives an officer ample opportunity to exercise discretion. While exercising such discretion, it must not be used arbitrarily; it must be used in a logical and just manner. The grounds and reasons relied upon in applying the law must be disclosed. A decision made without logical grounds and reasons is invalidated.</w:t>
      </w:r>
    </w:p>
    <w:p>
      <w:pPr>
        <w:spacing w:after="120" w:line="252" w:lineRule="auto"/>
      </w:pPr>
      <w:r>
        <w:rPr>
          <w:rFonts w:ascii="Times New Roman" w:hAnsi="Times New Roman" w:eastAsia="Times New Roman"/>
          <w:b w:val="0"/>
          <w:i w:val="0"/>
          <w:sz w:val="21"/>
        </w:rPr>
        <w:t>1.3.5 Interpretation of law: Under the principles of interpretation of law, the singular includes the plural and the plural includes the singular.</w:t>
      </w:r>
    </w:p>
    <w:p>
      <w:pPr>
        <w:spacing w:after="120" w:line="252" w:lineRule="auto"/>
      </w:pPr>
      <w:r>
        <w:rPr>
          <w:rFonts w:ascii="Times New Roman" w:hAnsi="Times New Roman" w:eastAsia="Times New Roman"/>
          <w:b w:val="0"/>
          <w:i w:val="0"/>
          <w:sz w:val="21"/>
        </w:rPr>
        <w:t>1.3.6 Precedent: Principles propounded by the Supreme Court are equivalent to law. Therefore, the authority must comply with them. However, there is no legal compulsion to comply with principles propounded by the Revenue Tribunal. Nevertheless, since the Tribunal gives decisions under the adversarial system after hearing mutual arguments and discussions and on the basis of law and values of justice, it appears appropriate for the Department to follow the opinion, holding, legal interpretation or principle expressed by the Tribunal. Accepted principles of justice play a very significant role in judicial activities. The Constitution of Nepal provides that judicial decisions must be based on principles of justice. Therefore, if any question of judicial principle arises in the course of any decision or action, it must be considered and, if found appropriate and suitable, applied.</w:t>
      </w:r>
    </w:p>
    <w:p>
      <w:pPr>
        <w:spacing w:after="120" w:line="252" w:lineRule="auto"/>
      </w:pPr>
      <w:r>
        <w:rPr>
          <w:rFonts w:ascii="Times New Roman" w:hAnsi="Times New Roman" w:eastAsia="Times New Roman"/>
          <w:b w:val="0"/>
          <w:i w:val="0"/>
          <w:sz w:val="21"/>
        </w:rPr>
        <w:t>1.3.7 Principle of natural justice: In making judicial decisions, the principle of natural justice is considered very important. It has two main sub-principles: the principle against bias and the principle of hearing. Tax assessment orders and decisions made contrary to the principles of natural justice are invalidated. In the context of tax assessment, compliance with the principle of hearing is mandatory.</w:t>
      </w:r>
    </w:p>
    <w:p>
      <w:pPr>
        <w:spacing w:after="120" w:line="252" w:lineRule="auto"/>
      </w:pPr>
      <w:r>
        <w:rPr>
          <w:rFonts w:ascii="Times New Roman" w:hAnsi="Times New Roman" w:eastAsia="Times New Roman"/>
          <w:b w:val="0"/>
          <w:i w:val="0"/>
          <w:sz w:val="21"/>
        </w:rPr>
        <w:t>1.3.8 Public circulars: To bring uniformity in implementation of the Income Tax Act, simplify tax administration and guide tax officers and taxpayers, the Inland Revenue Department issues public circulars. Such circulars are in writing and interpret the Income Tax Act and Rules as necessary. If a public circular conflicts with the Act or Rules, it is invalid to the extent of the conflict. Also, if public circulars issued up to the date of issuance of this Directive conflict with this Directive, the public circulars issued earlier shall be deemed repealed.</w:t>
      </w:r>
    </w:p>
    <w:p>
      <w:pPr>
        <w:spacing w:after="120" w:line="252" w:lineRule="auto"/>
      </w:pPr>
      <w:r>
        <w:rPr>
          <w:rFonts w:ascii="Times New Roman" w:hAnsi="Times New Roman" w:eastAsia="Times New Roman"/>
          <w:b w:val="0"/>
          <w:i w:val="0"/>
          <w:sz w:val="21"/>
        </w:rPr>
        <w:t>1.3.9 Advance rulings: This is a new arrangement provided by the Income Tax Act, 2058. Advance rulings are also issued by the Department. A specific taxpayer may apply to the Department to remove or resolve a dilemma as to whether income tax provisions apply or not, and if they apply, how and to what extent they apply in that taxpayer’s case. The Department provides its view to that taxpayer in the form of an advance ruling. Where an advance ruling has been issued by the Department, the Department is bound to act accordingly in respect of that person while such ruling remains in force. If a public circular and an advance ruling conflict, the provision of the advance ruling applies in respect of the person to whom the ruling was issued. If advance rulings issued up to the date of issuance of this Directive conflict with this Directive, the ruling continues to apply to that person until the Department issues a further advance ruling to that person. In other words, advance rulings already issued are not deemed repealed unless the Department individually informs the person that the earlier advance ruling has been repealed.</w:t>
      </w:r>
    </w:p>
    <w:p>
      <w:pPr>
        <w:spacing w:after="120" w:line="252" w:lineRule="auto"/>
      </w:pPr>
      <w:r>
        <w:rPr>
          <w:rFonts w:ascii="Times New Roman" w:hAnsi="Times New Roman" w:eastAsia="Times New Roman"/>
          <w:b/>
          <w:i w:val="0"/>
          <w:sz w:val="24"/>
        </w:rPr>
        <w:t>1.4 Short Title, Extent and Commencement</w:t>
      </w:r>
    </w:p>
    <w:p>
      <w:pPr>
        <w:spacing w:after="120" w:line="252" w:lineRule="auto"/>
      </w:pPr>
      <w:r>
        <w:rPr>
          <w:rFonts w:ascii="Times New Roman" w:hAnsi="Times New Roman" w:eastAsia="Times New Roman"/>
          <w:b w:val="0"/>
          <w:i w:val="0"/>
          <w:sz w:val="21"/>
        </w:rPr>
        <w:t>1(1) The name of this Directive is “Income Tax Directive, 2066 (Fifth Amendment, 2081)”.</w:t>
      </w:r>
    </w:p>
    <w:p>
      <w:pPr>
        <w:spacing w:after="120" w:line="252" w:lineRule="auto"/>
      </w:pPr>
      <w:r>
        <w:rPr>
          <w:rFonts w:ascii="Times New Roman" w:hAnsi="Times New Roman" w:eastAsia="Times New Roman"/>
          <w:b w:val="0"/>
          <w:i w:val="0"/>
          <w:sz w:val="21"/>
        </w:rPr>
        <w:t>1(2) This Directive shall commence immediately.</w:t>
      </w:r>
    </w:p>
    <w:p>
      <w:pPr>
        <w:spacing w:after="120" w:line="252" w:lineRule="auto"/>
      </w:pPr>
      <w:r>
        <w:rPr>
          <w:rFonts w:ascii="Times New Roman" w:hAnsi="Times New Roman" w:eastAsia="Times New Roman"/>
          <w:b/>
          <w:i w:val="0"/>
          <w:sz w:val="21"/>
        </w:rPr>
        <w:t>1(3) Commencement and amendment of the Income Tax Act, 2058:</w:t>
      </w:r>
    </w:p>
    <w:p>
      <w:pPr>
        <w:spacing w:after="120" w:line="252" w:lineRule="auto"/>
      </w:pPr>
      <w:r>
        <w:rPr>
          <w:rFonts w:ascii="Times New Roman" w:hAnsi="Times New Roman" w:eastAsia="Times New Roman"/>
          <w:b w:val="0"/>
          <w:i w:val="0"/>
          <w:sz w:val="21"/>
        </w:rPr>
        <w:t>This Act came into force from Chaitra 19, 2058. Up to the date of issuance of this Directive, the Income Tax Act, 2058 has been amended as follows. These amendments apply for the same periods for which the Finance Acts making the amendments apply.</w:t>
      </w:r>
    </w:p>
    <w:p>
      <w:pPr>
        <w:spacing w:after="120" w:line="252" w:lineRule="auto"/>
      </w:pPr>
      <w:r>
        <w:rPr>
          <w:rFonts w:ascii="Times New Roman" w:hAnsi="Times New Roman" w:eastAsia="Times New Roman"/>
          <w:b/>
          <w:i w:val="0"/>
          <w:sz w:val="21"/>
        </w:rPr>
        <w:t>Finance Acts or Ordinances issued to amend the Income Tax Act, 2058</w:t>
      </w:r>
    </w:p>
    <w:tbl>
      <w:tblPr>
        <w:tblStyle w:val="TableGrid"/>
        <w:tblW w:type="auto" w:w="0"/>
        <w:jc w:val="center"/>
        <w:tblLook w:firstColumn="1" w:firstRow="1" w:lastColumn="0" w:lastRow="0" w:noHBand="0" w:noVBand="1" w:val="04A0"/>
      </w:tblPr>
      <w:tblGrid>
        <w:gridCol w:w="3202"/>
        <w:gridCol w:w="3202"/>
        <w:gridCol w:w="3202"/>
      </w:tblGrid>
      <w:tr>
        <w:trPr>
          <w:tblHeader w:val="true"/>
        </w:trPr>
        <w:tc>
          <w:tcPr>
            <w:tcW w:type="dxa" w:w="5040"/>
            <w:vAlign w:val="center"/>
            <w:shd w:fill="D9EAF7"/>
          </w:tcPr>
          <w:p>
            <w:r>
              <w:rPr>
                <w:rFonts w:ascii="Times New Roman" w:hAnsi="Times New Roman" w:eastAsia="Times New Roman"/>
                <w:sz w:val="15"/>
              </w:rPr>
            </w:r>
            <w:r>
              <w:rPr>
                <w:rFonts w:ascii="Times New Roman" w:hAnsi="Times New Roman" w:eastAsia="Times New Roman"/>
                <w:b/>
                <w:sz w:val="15"/>
              </w:rPr>
              <w:t>Name of Act/Ordinance implementing and amending</w:t>
            </w:r>
          </w:p>
        </w:tc>
        <w:tc>
          <w:tcPr>
            <w:tcW w:type="dxa" w:w="2880"/>
            <w:vAlign w:val="center"/>
            <w:shd w:fill="D9EAF7"/>
          </w:tcPr>
          <w:p>
            <w:r>
              <w:rPr>
                <w:rFonts w:ascii="Times New Roman" w:hAnsi="Times New Roman" w:eastAsia="Times New Roman"/>
                <w:sz w:val="15"/>
              </w:rPr>
            </w:r>
            <w:r>
              <w:rPr>
                <w:rFonts w:ascii="Times New Roman" w:hAnsi="Times New Roman" w:eastAsia="Times New Roman"/>
                <w:b/>
                <w:sz w:val="15"/>
              </w:rPr>
              <w:t>Applicable period</w:t>
            </w:r>
          </w:p>
        </w:tc>
        <w:tc>
          <w:tcPr>
            <w:tcW w:type="dxa" w:w="2880"/>
            <w:vAlign w:val="center"/>
            <w:shd w:fill="D9EAF7"/>
          </w:tcPr>
          <w:p>
            <w:r>
              <w:rPr>
                <w:rFonts w:ascii="Times New Roman" w:hAnsi="Times New Roman" w:eastAsia="Times New Roman"/>
                <w:sz w:val="15"/>
              </w:rPr>
            </w:r>
            <w:r>
              <w:rPr>
                <w:rFonts w:ascii="Times New Roman" w:hAnsi="Times New Roman" w:eastAsia="Times New Roman"/>
                <w:b/>
                <w:sz w:val="15"/>
              </w:rPr>
              <w:t>Date published in Gazette</w:t>
            </w:r>
          </w:p>
        </w:tc>
      </w:tr>
      <w:tr>
        <w:tc>
          <w:tcPr>
            <w:tcW w:type="dxa" w:w="5040"/>
            <w:vAlign w:val="center"/>
          </w:tcPr>
          <w:p>
            <w:pPr>
              <w:spacing w:after="0"/>
            </w:pPr>
            <w:r>
              <w:rPr>
                <w:rFonts w:ascii="Times New Roman" w:hAnsi="Times New Roman" w:eastAsia="Times New Roman"/>
                <w:sz w:val="15"/>
              </w:rPr>
            </w:r>
            <w:r>
              <w:rPr>
                <w:rFonts w:ascii="Times New Roman" w:hAnsi="Times New Roman" w:eastAsia="Times New Roman"/>
                <w:b w:val="0"/>
                <w:sz w:val="15"/>
              </w:rPr>
              <w:t>First publication in Nepal Gazette</w:t>
            </w:r>
          </w:p>
        </w:tc>
        <w:tc>
          <w:tcPr>
            <w:tcW w:type="dxa" w:w="2880"/>
            <w:vAlign w:val="center"/>
          </w:tcPr>
          <w:p>
            <w:pPr>
              <w:spacing w:after="0"/>
            </w:pPr>
            <w:r>
              <w:rPr>
                <w:rFonts w:ascii="Times New Roman" w:hAnsi="Times New Roman" w:eastAsia="Times New Roman"/>
                <w:sz w:val="15"/>
              </w:rPr>
            </w:r>
            <w:r>
              <w:rPr>
                <w:rFonts w:ascii="Times New Roman" w:hAnsi="Times New Roman" w:eastAsia="Times New Roman"/>
                <w:b w:val="0"/>
                <w:sz w:val="15"/>
              </w:rPr>
            </w:r>
          </w:p>
        </w:tc>
        <w:tc>
          <w:tcPr>
            <w:tcW w:type="dxa" w:w="2880"/>
            <w:vAlign w:val="center"/>
          </w:tcPr>
          <w:p>
            <w:pPr>
              <w:spacing w:after="0"/>
            </w:pPr>
            <w:r>
              <w:rPr>
                <w:rFonts w:ascii="Times New Roman" w:hAnsi="Times New Roman" w:eastAsia="Times New Roman"/>
                <w:sz w:val="15"/>
              </w:rPr>
            </w:r>
            <w:r>
              <w:rPr>
                <w:rFonts w:ascii="Times New Roman" w:hAnsi="Times New Roman" w:eastAsia="Times New Roman"/>
                <w:b w:val="0"/>
                <w:sz w:val="15"/>
              </w:rPr>
              <w:t>2058.12.19</w:t>
            </w:r>
          </w:p>
        </w:tc>
      </w:tr>
      <w:tr>
        <w:tc>
          <w:tcPr>
            <w:tcW w:type="dxa" w:w="5040"/>
            <w:vAlign w:val="center"/>
          </w:tcPr>
          <w:p>
            <w:pPr>
              <w:spacing w:after="0"/>
            </w:pPr>
            <w:r>
              <w:rPr>
                <w:rFonts w:ascii="Times New Roman" w:hAnsi="Times New Roman" w:eastAsia="Times New Roman"/>
                <w:sz w:val="15"/>
              </w:rPr>
            </w:r>
            <w:r>
              <w:rPr>
                <w:rFonts w:ascii="Times New Roman" w:hAnsi="Times New Roman" w:eastAsia="Times New Roman"/>
                <w:b w:val="0"/>
                <w:sz w:val="15"/>
              </w:rPr>
              <w:t>Finance Ordinance, 2059 (Ashadh)</w:t>
            </w:r>
          </w:p>
        </w:tc>
        <w:tc>
          <w:tcPr>
            <w:tcW w:type="dxa" w:w="2880"/>
            <w:vAlign w:val="center"/>
          </w:tcPr>
          <w:p>
            <w:pPr>
              <w:spacing w:after="0"/>
            </w:pPr>
            <w:r>
              <w:rPr>
                <w:rFonts w:ascii="Times New Roman" w:hAnsi="Times New Roman" w:eastAsia="Times New Roman"/>
                <w:sz w:val="15"/>
              </w:rPr>
            </w:r>
            <w:r>
              <w:rPr>
                <w:rFonts w:ascii="Times New Roman" w:hAnsi="Times New Roman" w:eastAsia="Times New Roman"/>
                <w:b w:val="0"/>
                <w:sz w:val="15"/>
              </w:rPr>
              <w:t>2059.03.24 to 2059.09.21</w:t>
            </w:r>
          </w:p>
        </w:tc>
        <w:tc>
          <w:tcPr>
            <w:tcW w:type="dxa" w:w="2880"/>
            <w:vAlign w:val="center"/>
          </w:tcPr>
          <w:p>
            <w:pPr>
              <w:spacing w:after="0"/>
            </w:pPr>
            <w:r>
              <w:rPr>
                <w:rFonts w:ascii="Times New Roman" w:hAnsi="Times New Roman" w:eastAsia="Times New Roman"/>
                <w:sz w:val="15"/>
              </w:rPr>
            </w:r>
            <w:r>
              <w:rPr>
                <w:rFonts w:ascii="Times New Roman" w:hAnsi="Times New Roman" w:eastAsia="Times New Roman"/>
                <w:b w:val="0"/>
                <w:sz w:val="15"/>
              </w:rPr>
              <w:t>2059.03.24</w:t>
            </w:r>
          </w:p>
        </w:tc>
      </w:tr>
      <w:tr>
        <w:tc>
          <w:tcPr>
            <w:tcW w:type="dxa" w:w="5040"/>
            <w:vAlign w:val="center"/>
          </w:tcPr>
          <w:p>
            <w:pPr>
              <w:spacing w:after="0"/>
            </w:pPr>
            <w:r>
              <w:rPr>
                <w:rFonts w:ascii="Times New Roman" w:hAnsi="Times New Roman" w:eastAsia="Times New Roman"/>
                <w:sz w:val="15"/>
              </w:rPr>
            </w:r>
            <w:r>
              <w:rPr>
                <w:rFonts w:ascii="Times New Roman" w:hAnsi="Times New Roman" w:eastAsia="Times New Roman"/>
                <w:b w:val="0"/>
                <w:sz w:val="15"/>
              </w:rPr>
              <w:t>Finance Ordinance, 2059 (Poush)</w:t>
            </w:r>
          </w:p>
        </w:tc>
        <w:tc>
          <w:tcPr>
            <w:tcW w:type="dxa" w:w="2880"/>
            <w:vAlign w:val="center"/>
          </w:tcPr>
          <w:p>
            <w:pPr>
              <w:spacing w:after="0"/>
            </w:pPr>
            <w:r>
              <w:rPr>
                <w:rFonts w:ascii="Times New Roman" w:hAnsi="Times New Roman" w:eastAsia="Times New Roman"/>
                <w:sz w:val="15"/>
              </w:rPr>
            </w:r>
            <w:r>
              <w:rPr>
                <w:rFonts w:ascii="Times New Roman" w:hAnsi="Times New Roman" w:eastAsia="Times New Roman"/>
                <w:b w:val="0"/>
                <w:sz w:val="15"/>
              </w:rPr>
              <w:t>2059.03.24 to 2060.03.15</w:t>
            </w:r>
          </w:p>
        </w:tc>
        <w:tc>
          <w:tcPr>
            <w:tcW w:type="dxa" w:w="2880"/>
            <w:vAlign w:val="center"/>
          </w:tcPr>
          <w:p>
            <w:pPr>
              <w:spacing w:after="0"/>
            </w:pPr>
            <w:r>
              <w:rPr>
                <w:rFonts w:ascii="Times New Roman" w:hAnsi="Times New Roman" w:eastAsia="Times New Roman"/>
                <w:sz w:val="15"/>
              </w:rPr>
            </w:r>
            <w:r>
              <w:rPr>
                <w:rFonts w:ascii="Times New Roman" w:hAnsi="Times New Roman" w:eastAsia="Times New Roman"/>
                <w:b w:val="0"/>
                <w:sz w:val="15"/>
              </w:rPr>
              <w:t>2059.09.22</w:t>
            </w:r>
          </w:p>
        </w:tc>
      </w:tr>
      <w:tr>
        <w:tc>
          <w:tcPr>
            <w:tcW w:type="dxa" w:w="5040"/>
            <w:vAlign w:val="center"/>
          </w:tcPr>
          <w:p>
            <w:pPr>
              <w:spacing w:after="0"/>
            </w:pPr>
            <w:r>
              <w:rPr>
                <w:rFonts w:ascii="Times New Roman" w:hAnsi="Times New Roman" w:eastAsia="Times New Roman"/>
                <w:sz w:val="15"/>
              </w:rPr>
            </w:r>
            <w:r>
              <w:rPr>
                <w:rFonts w:ascii="Times New Roman" w:hAnsi="Times New Roman" w:eastAsia="Times New Roman"/>
                <w:b w:val="0"/>
                <w:sz w:val="15"/>
              </w:rPr>
              <w:t>Finance Ordinance, 2060 (Ashadh)</w:t>
            </w:r>
          </w:p>
        </w:tc>
        <w:tc>
          <w:tcPr>
            <w:tcW w:type="dxa" w:w="2880"/>
            <w:vAlign w:val="center"/>
          </w:tcPr>
          <w:p>
            <w:pPr>
              <w:spacing w:after="0"/>
            </w:pPr>
            <w:r>
              <w:rPr>
                <w:rFonts w:ascii="Times New Roman" w:hAnsi="Times New Roman" w:eastAsia="Times New Roman"/>
                <w:sz w:val="15"/>
              </w:rPr>
            </w:r>
            <w:r>
              <w:rPr>
                <w:rFonts w:ascii="Times New Roman" w:hAnsi="Times New Roman" w:eastAsia="Times New Roman"/>
                <w:b w:val="0"/>
                <w:sz w:val="15"/>
              </w:rPr>
              <w:t>2060.03.16 to 2060.03.32</w:t>
            </w:r>
          </w:p>
        </w:tc>
        <w:tc>
          <w:tcPr>
            <w:tcW w:type="dxa" w:w="2880"/>
            <w:vAlign w:val="center"/>
          </w:tcPr>
          <w:p>
            <w:pPr>
              <w:spacing w:after="0"/>
            </w:pPr>
            <w:r>
              <w:rPr>
                <w:rFonts w:ascii="Times New Roman" w:hAnsi="Times New Roman" w:eastAsia="Times New Roman"/>
                <w:sz w:val="15"/>
              </w:rPr>
            </w:r>
            <w:r>
              <w:rPr>
                <w:rFonts w:ascii="Times New Roman" w:hAnsi="Times New Roman" w:eastAsia="Times New Roman"/>
                <w:b w:val="0"/>
                <w:sz w:val="15"/>
              </w:rPr>
              <w:t>2060.03.16</w:t>
            </w:r>
          </w:p>
        </w:tc>
      </w:tr>
      <w:tr>
        <w:tc>
          <w:tcPr>
            <w:tcW w:type="dxa" w:w="5040"/>
            <w:vAlign w:val="center"/>
          </w:tcPr>
          <w:p>
            <w:pPr>
              <w:spacing w:after="0"/>
            </w:pPr>
            <w:r>
              <w:rPr>
                <w:rFonts w:ascii="Times New Roman" w:hAnsi="Times New Roman" w:eastAsia="Times New Roman"/>
                <w:sz w:val="15"/>
              </w:rPr>
            </w:r>
            <w:r>
              <w:rPr>
                <w:rFonts w:ascii="Times New Roman" w:hAnsi="Times New Roman" w:eastAsia="Times New Roman"/>
                <w:b w:val="0"/>
                <w:sz w:val="15"/>
              </w:rPr>
              <w:t>Finance Ordinance, 2060 (Shrawan)</w:t>
            </w:r>
          </w:p>
        </w:tc>
        <w:tc>
          <w:tcPr>
            <w:tcW w:type="dxa" w:w="2880"/>
            <w:vAlign w:val="center"/>
          </w:tcPr>
          <w:p>
            <w:pPr>
              <w:spacing w:after="0"/>
            </w:pPr>
            <w:r>
              <w:rPr>
                <w:rFonts w:ascii="Times New Roman" w:hAnsi="Times New Roman" w:eastAsia="Times New Roman"/>
                <w:sz w:val="15"/>
              </w:rPr>
            </w:r>
            <w:r>
              <w:rPr>
                <w:rFonts w:ascii="Times New Roman" w:hAnsi="Times New Roman" w:eastAsia="Times New Roman"/>
                <w:b w:val="0"/>
                <w:sz w:val="15"/>
              </w:rPr>
              <w:t>2060.04.01 to 2060.09.29</w:t>
            </w:r>
          </w:p>
        </w:tc>
        <w:tc>
          <w:tcPr>
            <w:tcW w:type="dxa" w:w="2880"/>
            <w:vAlign w:val="center"/>
          </w:tcPr>
          <w:p>
            <w:pPr>
              <w:spacing w:after="0"/>
            </w:pPr>
            <w:r>
              <w:rPr>
                <w:rFonts w:ascii="Times New Roman" w:hAnsi="Times New Roman" w:eastAsia="Times New Roman"/>
                <w:sz w:val="15"/>
              </w:rPr>
            </w:r>
            <w:r>
              <w:rPr>
                <w:rFonts w:ascii="Times New Roman" w:hAnsi="Times New Roman" w:eastAsia="Times New Roman"/>
                <w:b w:val="0"/>
                <w:sz w:val="15"/>
              </w:rPr>
              <w:t>2060.04.01</w:t>
            </w:r>
          </w:p>
        </w:tc>
      </w:tr>
      <w:tr>
        <w:tc>
          <w:tcPr>
            <w:tcW w:type="dxa" w:w="5040"/>
            <w:vAlign w:val="center"/>
          </w:tcPr>
          <w:p>
            <w:pPr>
              <w:spacing w:after="0"/>
            </w:pPr>
            <w:r>
              <w:rPr>
                <w:rFonts w:ascii="Times New Roman" w:hAnsi="Times New Roman" w:eastAsia="Times New Roman"/>
                <w:sz w:val="15"/>
              </w:rPr>
            </w:r>
            <w:r>
              <w:rPr>
                <w:rFonts w:ascii="Times New Roman" w:hAnsi="Times New Roman" w:eastAsia="Times New Roman"/>
                <w:b w:val="0"/>
                <w:sz w:val="15"/>
              </w:rPr>
              <w:t>Finance Ordinance, 2060 (Magh)</w:t>
            </w:r>
          </w:p>
        </w:tc>
        <w:tc>
          <w:tcPr>
            <w:tcW w:type="dxa" w:w="2880"/>
            <w:vAlign w:val="center"/>
          </w:tcPr>
          <w:p>
            <w:pPr>
              <w:spacing w:after="0"/>
            </w:pPr>
            <w:r>
              <w:rPr>
                <w:rFonts w:ascii="Times New Roman" w:hAnsi="Times New Roman" w:eastAsia="Times New Roman"/>
                <w:sz w:val="15"/>
              </w:rPr>
            </w:r>
            <w:r>
              <w:rPr>
                <w:rFonts w:ascii="Times New Roman" w:hAnsi="Times New Roman" w:eastAsia="Times New Roman"/>
                <w:b w:val="0"/>
                <w:sz w:val="15"/>
              </w:rPr>
              <w:t>2060.10.01 to 2061.03.31</w:t>
            </w:r>
          </w:p>
        </w:tc>
        <w:tc>
          <w:tcPr>
            <w:tcW w:type="dxa" w:w="2880"/>
            <w:vAlign w:val="center"/>
          </w:tcPr>
          <w:p>
            <w:pPr>
              <w:spacing w:after="0"/>
            </w:pPr>
            <w:r>
              <w:rPr>
                <w:rFonts w:ascii="Times New Roman" w:hAnsi="Times New Roman" w:eastAsia="Times New Roman"/>
                <w:sz w:val="15"/>
              </w:rPr>
            </w:r>
            <w:r>
              <w:rPr>
                <w:rFonts w:ascii="Times New Roman" w:hAnsi="Times New Roman" w:eastAsia="Times New Roman"/>
                <w:b w:val="0"/>
                <w:sz w:val="15"/>
              </w:rPr>
              <w:t>2060.10.01</w:t>
            </w:r>
          </w:p>
        </w:tc>
      </w:tr>
      <w:tr>
        <w:tc>
          <w:tcPr>
            <w:tcW w:type="dxa" w:w="5040"/>
            <w:vAlign w:val="center"/>
          </w:tcPr>
          <w:p>
            <w:pPr>
              <w:spacing w:after="0"/>
            </w:pPr>
            <w:r>
              <w:rPr>
                <w:rFonts w:ascii="Times New Roman" w:hAnsi="Times New Roman" w:eastAsia="Times New Roman"/>
                <w:sz w:val="15"/>
              </w:rPr>
            </w:r>
            <w:r>
              <w:rPr>
                <w:rFonts w:ascii="Times New Roman" w:hAnsi="Times New Roman" w:eastAsia="Times New Roman"/>
                <w:b w:val="0"/>
                <w:sz w:val="15"/>
              </w:rPr>
              <w:t>Finance Ordinance, 2061 (Shrawan)</w:t>
            </w:r>
          </w:p>
        </w:tc>
        <w:tc>
          <w:tcPr>
            <w:tcW w:type="dxa" w:w="2880"/>
            <w:vAlign w:val="center"/>
          </w:tcPr>
          <w:p>
            <w:pPr>
              <w:spacing w:after="0"/>
            </w:pPr>
            <w:r>
              <w:rPr>
                <w:rFonts w:ascii="Times New Roman" w:hAnsi="Times New Roman" w:eastAsia="Times New Roman"/>
                <w:sz w:val="15"/>
              </w:rPr>
            </w:r>
            <w:r>
              <w:rPr>
                <w:rFonts w:ascii="Times New Roman" w:hAnsi="Times New Roman" w:eastAsia="Times New Roman"/>
                <w:b w:val="0"/>
                <w:sz w:val="15"/>
              </w:rPr>
              <w:t>2061.04.01 to 2061.09.29</w:t>
            </w:r>
          </w:p>
        </w:tc>
        <w:tc>
          <w:tcPr>
            <w:tcW w:type="dxa" w:w="2880"/>
            <w:vAlign w:val="center"/>
          </w:tcPr>
          <w:p>
            <w:pPr>
              <w:spacing w:after="0"/>
            </w:pPr>
            <w:r>
              <w:rPr>
                <w:rFonts w:ascii="Times New Roman" w:hAnsi="Times New Roman" w:eastAsia="Times New Roman"/>
                <w:sz w:val="15"/>
              </w:rPr>
            </w:r>
            <w:r>
              <w:rPr>
                <w:rFonts w:ascii="Times New Roman" w:hAnsi="Times New Roman" w:eastAsia="Times New Roman"/>
                <w:b w:val="0"/>
                <w:sz w:val="15"/>
              </w:rPr>
              <w:t>2061.04.01</w:t>
            </w:r>
          </w:p>
        </w:tc>
      </w:tr>
      <w:tr>
        <w:tc>
          <w:tcPr>
            <w:tcW w:type="dxa" w:w="5040"/>
            <w:vAlign w:val="center"/>
          </w:tcPr>
          <w:p>
            <w:pPr>
              <w:spacing w:after="0"/>
            </w:pPr>
            <w:r>
              <w:rPr>
                <w:rFonts w:ascii="Times New Roman" w:hAnsi="Times New Roman" w:eastAsia="Times New Roman"/>
                <w:sz w:val="15"/>
              </w:rPr>
            </w:r>
            <w:r>
              <w:rPr>
                <w:rFonts w:ascii="Times New Roman" w:hAnsi="Times New Roman" w:eastAsia="Times New Roman"/>
                <w:b w:val="0"/>
                <w:sz w:val="15"/>
              </w:rPr>
              <w:t>Finance Ordinance, 2061 (Magh)</w:t>
            </w:r>
          </w:p>
        </w:tc>
        <w:tc>
          <w:tcPr>
            <w:tcW w:type="dxa" w:w="2880"/>
            <w:vAlign w:val="center"/>
          </w:tcPr>
          <w:p>
            <w:pPr>
              <w:spacing w:after="0"/>
            </w:pPr>
            <w:r>
              <w:rPr>
                <w:rFonts w:ascii="Times New Roman" w:hAnsi="Times New Roman" w:eastAsia="Times New Roman"/>
                <w:sz w:val="15"/>
              </w:rPr>
            </w:r>
            <w:r>
              <w:rPr>
                <w:rFonts w:ascii="Times New Roman" w:hAnsi="Times New Roman" w:eastAsia="Times New Roman"/>
                <w:b w:val="0"/>
                <w:sz w:val="15"/>
              </w:rPr>
              <w:t>2061.10.01 to 2062.03.31</w:t>
            </w:r>
          </w:p>
        </w:tc>
        <w:tc>
          <w:tcPr>
            <w:tcW w:type="dxa" w:w="2880"/>
            <w:vAlign w:val="center"/>
          </w:tcPr>
          <w:p>
            <w:pPr>
              <w:spacing w:after="0"/>
            </w:pPr>
            <w:r>
              <w:rPr>
                <w:rFonts w:ascii="Times New Roman" w:hAnsi="Times New Roman" w:eastAsia="Times New Roman"/>
                <w:sz w:val="15"/>
              </w:rPr>
            </w:r>
            <w:r>
              <w:rPr>
                <w:rFonts w:ascii="Times New Roman" w:hAnsi="Times New Roman" w:eastAsia="Times New Roman"/>
                <w:b w:val="0"/>
                <w:sz w:val="15"/>
              </w:rPr>
              <w:t>2061.10.01</w:t>
            </w:r>
          </w:p>
        </w:tc>
      </w:tr>
      <w:tr>
        <w:tc>
          <w:tcPr>
            <w:tcW w:type="dxa" w:w="5040"/>
            <w:vAlign w:val="center"/>
          </w:tcPr>
          <w:p>
            <w:pPr>
              <w:spacing w:after="0"/>
            </w:pPr>
            <w:r>
              <w:rPr>
                <w:rFonts w:ascii="Times New Roman" w:hAnsi="Times New Roman" w:eastAsia="Times New Roman"/>
                <w:sz w:val="15"/>
              </w:rPr>
            </w:r>
            <w:r>
              <w:rPr>
                <w:rFonts w:ascii="Times New Roman" w:hAnsi="Times New Roman" w:eastAsia="Times New Roman"/>
                <w:b w:val="0"/>
                <w:sz w:val="15"/>
              </w:rPr>
              <w:t>Finance Ordinance, 2062 (Shrawan)</w:t>
            </w:r>
          </w:p>
        </w:tc>
        <w:tc>
          <w:tcPr>
            <w:tcW w:type="dxa" w:w="2880"/>
            <w:vAlign w:val="center"/>
          </w:tcPr>
          <w:p>
            <w:pPr>
              <w:spacing w:after="0"/>
            </w:pPr>
            <w:r>
              <w:rPr>
                <w:rFonts w:ascii="Times New Roman" w:hAnsi="Times New Roman" w:eastAsia="Times New Roman"/>
                <w:sz w:val="15"/>
              </w:rPr>
            </w:r>
            <w:r>
              <w:rPr>
                <w:rFonts w:ascii="Times New Roman" w:hAnsi="Times New Roman" w:eastAsia="Times New Roman"/>
                <w:b w:val="0"/>
                <w:sz w:val="15"/>
              </w:rPr>
              <w:t>2062.04.01 to 2062.09.02</w:t>
            </w:r>
          </w:p>
        </w:tc>
        <w:tc>
          <w:tcPr>
            <w:tcW w:type="dxa" w:w="2880"/>
            <w:vAlign w:val="center"/>
          </w:tcPr>
          <w:p>
            <w:pPr>
              <w:spacing w:after="0"/>
            </w:pPr>
            <w:r>
              <w:rPr>
                <w:rFonts w:ascii="Times New Roman" w:hAnsi="Times New Roman" w:eastAsia="Times New Roman"/>
                <w:sz w:val="15"/>
              </w:rPr>
            </w:r>
            <w:r>
              <w:rPr>
                <w:rFonts w:ascii="Times New Roman" w:hAnsi="Times New Roman" w:eastAsia="Times New Roman"/>
                <w:b w:val="0"/>
                <w:sz w:val="15"/>
              </w:rPr>
              <w:t>2062.04.01</w:t>
            </w:r>
          </w:p>
        </w:tc>
      </w:tr>
      <w:tr>
        <w:tc>
          <w:tcPr>
            <w:tcW w:type="dxa" w:w="5040"/>
            <w:vAlign w:val="center"/>
          </w:tcPr>
          <w:p>
            <w:pPr>
              <w:spacing w:after="0"/>
            </w:pPr>
            <w:r>
              <w:rPr>
                <w:rFonts w:ascii="Times New Roman" w:hAnsi="Times New Roman" w:eastAsia="Times New Roman"/>
                <w:sz w:val="15"/>
              </w:rPr>
            </w:r>
            <w:r>
              <w:rPr>
                <w:rFonts w:ascii="Times New Roman" w:hAnsi="Times New Roman" w:eastAsia="Times New Roman"/>
                <w:b w:val="0"/>
                <w:sz w:val="15"/>
              </w:rPr>
              <w:t>Ordinance Made to Amend Some Nepal Acts Relating to Revenue, 2062</w:t>
            </w:r>
          </w:p>
        </w:tc>
        <w:tc>
          <w:tcPr>
            <w:tcW w:type="dxa" w:w="2880"/>
            <w:vAlign w:val="center"/>
          </w:tcPr>
          <w:p>
            <w:pPr>
              <w:spacing w:after="0"/>
            </w:pPr>
            <w:r>
              <w:rPr>
                <w:rFonts w:ascii="Times New Roman" w:hAnsi="Times New Roman" w:eastAsia="Times New Roman"/>
                <w:sz w:val="15"/>
              </w:rPr>
            </w:r>
            <w:r>
              <w:rPr>
                <w:rFonts w:ascii="Times New Roman" w:hAnsi="Times New Roman" w:eastAsia="Times New Roman"/>
                <w:b w:val="0"/>
                <w:sz w:val="15"/>
              </w:rPr>
              <w:t>2062.06.16 to 2062.09.29</w:t>
            </w:r>
          </w:p>
        </w:tc>
        <w:tc>
          <w:tcPr>
            <w:tcW w:type="dxa" w:w="2880"/>
            <w:vAlign w:val="center"/>
          </w:tcPr>
          <w:p>
            <w:pPr>
              <w:spacing w:after="0"/>
            </w:pPr>
            <w:r>
              <w:rPr>
                <w:rFonts w:ascii="Times New Roman" w:hAnsi="Times New Roman" w:eastAsia="Times New Roman"/>
                <w:sz w:val="15"/>
              </w:rPr>
            </w:r>
            <w:r>
              <w:rPr>
                <w:rFonts w:ascii="Times New Roman" w:hAnsi="Times New Roman" w:eastAsia="Times New Roman"/>
                <w:b w:val="0"/>
                <w:sz w:val="15"/>
              </w:rPr>
              <w:t>2062.06.16</w:t>
            </w:r>
          </w:p>
        </w:tc>
      </w:tr>
      <w:tr>
        <w:tc>
          <w:tcPr>
            <w:tcW w:type="dxa" w:w="5040"/>
            <w:vAlign w:val="center"/>
          </w:tcPr>
          <w:p>
            <w:pPr>
              <w:spacing w:after="0"/>
            </w:pPr>
            <w:r>
              <w:rPr>
                <w:rFonts w:ascii="Times New Roman" w:hAnsi="Times New Roman" w:eastAsia="Times New Roman"/>
                <w:sz w:val="15"/>
              </w:rPr>
            </w:r>
            <w:r>
              <w:rPr>
                <w:rFonts w:ascii="Times New Roman" w:hAnsi="Times New Roman" w:eastAsia="Times New Roman"/>
                <w:b w:val="0"/>
                <w:sz w:val="15"/>
              </w:rPr>
              <w:t>Finance Ordinance, 2062 (Magh)</w:t>
            </w:r>
          </w:p>
        </w:tc>
        <w:tc>
          <w:tcPr>
            <w:tcW w:type="dxa" w:w="2880"/>
            <w:vAlign w:val="center"/>
          </w:tcPr>
          <w:p>
            <w:pPr>
              <w:spacing w:after="0"/>
            </w:pPr>
            <w:r>
              <w:rPr>
                <w:rFonts w:ascii="Times New Roman" w:hAnsi="Times New Roman" w:eastAsia="Times New Roman"/>
                <w:sz w:val="15"/>
              </w:rPr>
            </w:r>
            <w:r>
              <w:rPr>
                <w:rFonts w:ascii="Times New Roman" w:hAnsi="Times New Roman" w:eastAsia="Times New Roman"/>
                <w:b w:val="0"/>
                <w:sz w:val="15"/>
              </w:rPr>
              <w:t>2062.10.01 to 2063.03.31</w:t>
            </w:r>
          </w:p>
        </w:tc>
        <w:tc>
          <w:tcPr>
            <w:tcW w:type="dxa" w:w="2880"/>
            <w:vAlign w:val="center"/>
          </w:tcPr>
          <w:p>
            <w:pPr>
              <w:spacing w:after="0"/>
            </w:pPr>
            <w:r>
              <w:rPr>
                <w:rFonts w:ascii="Times New Roman" w:hAnsi="Times New Roman" w:eastAsia="Times New Roman"/>
                <w:sz w:val="15"/>
              </w:rPr>
            </w:r>
            <w:r>
              <w:rPr>
                <w:rFonts w:ascii="Times New Roman" w:hAnsi="Times New Roman" w:eastAsia="Times New Roman"/>
                <w:b w:val="0"/>
                <w:sz w:val="15"/>
              </w:rPr>
              <w:t>2062.10.01</w:t>
            </w:r>
          </w:p>
        </w:tc>
      </w:tr>
      <w:tr>
        <w:tc>
          <w:tcPr>
            <w:tcW w:type="dxa" w:w="5040"/>
            <w:vAlign w:val="center"/>
          </w:tcPr>
          <w:p>
            <w:pPr>
              <w:spacing w:after="0"/>
            </w:pPr>
            <w:r>
              <w:rPr>
                <w:rFonts w:ascii="Times New Roman" w:hAnsi="Times New Roman" w:eastAsia="Times New Roman"/>
                <w:sz w:val="15"/>
              </w:rPr>
            </w:r>
            <w:r>
              <w:rPr>
                <w:rFonts w:ascii="Times New Roman" w:hAnsi="Times New Roman" w:eastAsia="Times New Roman"/>
                <w:b w:val="0"/>
                <w:sz w:val="15"/>
              </w:rPr>
              <w:t>Finance Ordinance, 2063</w:t>
            </w:r>
          </w:p>
        </w:tc>
        <w:tc>
          <w:tcPr>
            <w:tcW w:type="dxa" w:w="2880"/>
            <w:vAlign w:val="center"/>
          </w:tcPr>
          <w:p>
            <w:pPr>
              <w:spacing w:after="0"/>
            </w:pPr>
            <w:r>
              <w:rPr>
                <w:rFonts w:ascii="Times New Roman" w:hAnsi="Times New Roman" w:eastAsia="Times New Roman"/>
                <w:sz w:val="15"/>
              </w:rPr>
            </w:r>
            <w:r>
              <w:rPr>
                <w:rFonts w:ascii="Times New Roman" w:hAnsi="Times New Roman" w:eastAsia="Times New Roman"/>
                <w:b w:val="0"/>
                <w:sz w:val="15"/>
              </w:rPr>
              <w:t>2063.04.01 to 2064.03.32</w:t>
            </w:r>
          </w:p>
        </w:tc>
        <w:tc>
          <w:tcPr>
            <w:tcW w:type="dxa" w:w="2880"/>
            <w:vAlign w:val="center"/>
          </w:tcPr>
          <w:p>
            <w:pPr>
              <w:spacing w:after="0"/>
            </w:pPr>
            <w:r>
              <w:rPr>
                <w:rFonts w:ascii="Times New Roman" w:hAnsi="Times New Roman" w:eastAsia="Times New Roman"/>
                <w:sz w:val="15"/>
              </w:rPr>
            </w:r>
            <w:r>
              <w:rPr>
                <w:rFonts w:ascii="Times New Roman" w:hAnsi="Times New Roman" w:eastAsia="Times New Roman"/>
                <w:b w:val="0"/>
                <w:sz w:val="15"/>
              </w:rPr>
              <w:t>2063.04.01</w:t>
            </w:r>
          </w:p>
        </w:tc>
      </w:tr>
      <w:tr>
        <w:tc>
          <w:tcPr>
            <w:tcW w:type="dxa" w:w="5040"/>
            <w:vAlign w:val="center"/>
          </w:tcPr>
          <w:p>
            <w:pPr>
              <w:spacing w:after="0"/>
            </w:pPr>
            <w:r>
              <w:rPr>
                <w:rFonts w:ascii="Times New Roman" w:hAnsi="Times New Roman" w:eastAsia="Times New Roman"/>
                <w:sz w:val="15"/>
              </w:rPr>
            </w:r>
            <w:r>
              <w:rPr>
                <w:rFonts w:ascii="Times New Roman" w:hAnsi="Times New Roman" w:eastAsia="Times New Roman"/>
                <w:b w:val="0"/>
                <w:sz w:val="15"/>
              </w:rPr>
              <w:t>Some Nepal Laws Amendment Act, 2063</w:t>
            </w:r>
          </w:p>
        </w:tc>
        <w:tc>
          <w:tcPr>
            <w:tcW w:type="dxa" w:w="2880"/>
            <w:vAlign w:val="center"/>
          </w:tcPr>
          <w:p>
            <w:pPr>
              <w:spacing w:after="0"/>
            </w:pPr>
            <w:r>
              <w:rPr>
                <w:rFonts w:ascii="Times New Roman" w:hAnsi="Times New Roman" w:eastAsia="Times New Roman"/>
                <w:sz w:val="15"/>
              </w:rPr>
            </w:r>
            <w:r>
              <w:rPr>
                <w:rFonts w:ascii="Times New Roman" w:hAnsi="Times New Roman" w:eastAsia="Times New Roman"/>
                <w:b w:val="0"/>
                <w:sz w:val="15"/>
              </w:rPr>
              <w:t>from 2063.06.28</w:t>
            </w:r>
          </w:p>
        </w:tc>
        <w:tc>
          <w:tcPr>
            <w:tcW w:type="dxa" w:w="2880"/>
            <w:vAlign w:val="center"/>
          </w:tcPr>
          <w:p>
            <w:pPr>
              <w:spacing w:after="0"/>
            </w:pPr>
            <w:r>
              <w:rPr>
                <w:rFonts w:ascii="Times New Roman" w:hAnsi="Times New Roman" w:eastAsia="Times New Roman"/>
                <w:sz w:val="15"/>
              </w:rPr>
            </w:r>
            <w:r>
              <w:rPr>
                <w:rFonts w:ascii="Times New Roman" w:hAnsi="Times New Roman" w:eastAsia="Times New Roman"/>
                <w:b w:val="0"/>
                <w:sz w:val="15"/>
              </w:rPr>
              <w:t>2063.06.28</w:t>
            </w:r>
          </w:p>
        </w:tc>
      </w:tr>
      <w:tr>
        <w:tc>
          <w:tcPr>
            <w:tcW w:type="dxa" w:w="5040"/>
            <w:vAlign w:val="center"/>
          </w:tcPr>
          <w:p>
            <w:pPr>
              <w:spacing w:after="0"/>
            </w:pPr>
            <w:r>
              <w:rPr>
                <w:rFonts w:ascii="Times New Roman" w:hAnsi="Times New Roman" w:eastAsia="Times New Roman"/>
                <w:sz w:val="15"/>
              </w:rPr>
            </w:r>
            <w:r>
              <w:rPr>
                <w:rFonts w:ascii="Times New Roman" w:hAnsi="Times New Roman" w:eastAsia="Times New Roman"/>
                <w:b w:val="0"/>
                <w:sz w:val="15"/>
              </w:rPr>
              <w:t>Finance Act, 2064</w:t>
            </w:r>
          </w:p>
        </w:tc>
        <w:tc>
          <w:tcPr>
            <w:tcW w:type="dxa" w:w="2880"/>
            <w:vAlign w:val="center"/>
          </w:tcPr>
          <w:p>
            <w:pPr>
              <w:spacing w:after="0"/>
            </w:pPr>
            <w:r>
              <w:rPr>
                <w:rFonts w:ascii="Times New Roman" w:hAnsi="Times New Roman" w:eastAsia="Times New Roman"/>
                <w:sz w:val="15"/>
              </w:rPr>
            </w:r>
            <w:r>
              <w:rPr>
                <w:rFonts w:ascii="Times New Roman" w:hAnsi="Times New Roman" w:eastAsia="Times New Roman"/>
                <w:b w:val="0"/>
                <w:sz w:val="15"/>
              </w:rPr>
              <w:t>2064.04.01 to 2065.03.31</w:t>
            </w:r>
          </w:p>
        </w:tc>
        <w:tc>
          <w:tcPr>
            <w:tcW w:type="dxa" w:w="2880"/>
            <w:vAlign w:val="center"/>
          </w:tcPr>
          <w:p>
            <w:pPr>
              <w:spacing w:after="0"/>
            </w:pPr>
            <w:r>
              <w:rPr>
                <w:rFonts w:ascii="Times New Roman" w:hAnsi="Times New Roman" w:eastAsia="Times New Roman"/>
                <w:sz w:val="15"/>
              </w:rPr>
            </w:r>
            <w:r>
              <w:rPr>
                <w:rFonts w:ascii="Times New Roman" w:hAnsi="Times New Roman" w:eastAsia="Times New Roman"/>
                <w:b w:val="0"/>
                <w:sz w:val="15"/>
              </w:rPr>
              <w:t>2064.03.28</w:t>
            </w:r>
          </w:p>
        </w:tc>
      </w:tr>
      <w:tr>
        <w:tc>
          <w:tcPr>
            <w:tcW w:type="dxa" w:w="5040"/>
            <w:vAlign w:val="center"/>
          </w:tcPr>
          <w:p>
            <w:pPr>
              <w:spacing w:after="0"/>
            </w:pPr>
            <w:r>
              <w:rPr>
                <w:rFonts w:ascii="Times New Roman" w:hAnsi="Times New Roman" w:eastAsia="Times New Roman"/>
                <w:sz w:val="15"/>
              </w:rPr>
            </w:r>
            <w:r>
              <w:rPr>
                <w:rFonts w:ascii="Times New Roman" w:hAnsi="Times New Roman" w:eastAsia="Times New Roman"/>
                <w:b w:val="0"/>
                <w:sz w:val="15"/>
              </w:rPr>
              <w:t>Finance Act, 2065</w:t>
            </w:r>
          </w:p>
        </w:tc>
        <w:tc>
          <w:tcPr>
            <w:tcW w:type="dxa" w:w="2880"/>
            <w:vAlign w:val="center"/>
          </w:tcPr>
          <w:p>
            <w:pPr>
              <w:spacing w:after="0"/>
            </w:pPr>
            <w:r>
              <w:rPr>
                <w:rFonts w:ascii="Times New Roman" w:hAnsi="Times New Roman" w:eastAsia="Times New Roman"/>
                <w:sz w:val="15"/>
              </w:rPr>
            </w:r>
            <w:r>
              <w:rPr>
                <w:rFonts w:ascii="Times New Roman" w:hAnsi="Times New Roman" w:eastAsia="Times New Roman"/>
                <w:b w:val="0"/>
                <w:sz w:val="15"/>
              </w:rPr>
              <w:t>2065.04.01 to 2066.03.31</w:t>
            </w:r>
          </w:p>
        </w:tc>
        <w:tc>
          <w:tcPr>
            <w:tcW w:type="dxa" w:w="2880"/>
            <w:vAlign w:val="center"/>
          </w:tcPr>
          <w:p>
            <w:pPr>
              <w:spacing w:after="0"/>
            </w:pPr>
            <w:r>
              <w:rPr>
                <w:rFonts w:ascii="Times New Roman" w:hAnsi="Times New Roman" w:eastAsia="Times New Roman"/>
                <w:sz w:val="15"/>
              </w:rPr>
            </w:r>
            <w:r>
              <w:rPr>
                <w:rFonts w:ascii="Times New Roman" w:hAnsi="Times New Roman" w:eastAsia="Times New Roman"/>
                <w:b w:val="0"/>
                <w:sz w:val="15"/>
              </w:rPr>
              <w:t>2065.04.01</w:t>
            </w:r>
          </w:p>
        </w:tc>
      </w:tr>
      <w:tr>
        <w:tc>
          <w:tcPr>
            <w:tcW w:type="dxa" w:w="5040"/>
            <w:vAlign w:val="center"/>
          </w:tcPr>
          <w:p>
            <w:pPr>
              <w:spacing w:after="0"/>
            </w:pPr>
            <w:r>
              <w:rPr>
                <w:rFonts w:ascii="Times New Roman" w:hAnsi="Times New Roman" w:eastAsia="Times New Roman"/>
                <w:sz w:val="15"/>
              </w:rPr>
            </w:r>
            <w:r>
              <w:rPr>
                <w:rFonts w:ascii="Times New Roman" w:hAnsi="Times New Roman" w:eastAsia="Times New Roman"/>
                <w:b w:val="0"/>
                <w:sz w:val="15"/>
              </w:rPr>
              <w:t>Finance Act, 2066</w:t>
            </w:r>
          </w:p>
        </w:tc>
        <w:tc>
          <w:tcPr>
            <w:tcW w:type="dxa" w:w="2880"/>
            <w:vAlign w:val="center"/>
          </w:tcPr>
          <w:p>
            <w:pPr>
              <w:spacing w:after="0"/>
            </w:pPr>
            <w:r>
              <w:rPr>
                <w:rFonts w:ascii="Times New Roman" w:hAnsi="Times New Roman" w:eastAsia="Times New Roman"/>
                <w:sz w:val="15"/>
              </w:rPr>
            </w:r>
            <w:r>
              <w:rPr>
                <w:rFonts w:ascii="Times New Roman" w:hAnsi="Times New Roman" w:eastAsia="Times New Roman"/>
                <w:b w:val="0"/>
                <w:sz w:val="15"/>
              </w:rPr>
              <w:t>2066.04.01 to 2067.03.31</w:t>
            </w:r>
          </w:p>
        </w:tc>
        <w:tc>
          <w:tcPr>
            <w:tcW w:type="dxa" w:w="2880"/>
            <w:vAlign w:val="center"/>
          </w:tcPr>
          <w:p>
            <w:pPr>
              <w:spacing w:after="0"/>
            </w:pPr>
            <w:r>
              <w:rPr>
                <w:rFonts w:ascii="Times New Roman" w:hAnsi="Times New Roman" w:eastAsia="Times New Roman"/>
                <w:sz w:val="15"/>
              </w:rPr>
            </w:r>
            <w:r>
              <w:rPr>
                <w:rFonts w:ascii="Times New Roman" w:hAnsi="Times New Roman" w:eastAsia="Times New Roman"/>
                <w:b w:val="0"/>
                <w:sz w:val="15"/>
              </w:rPr>
              <w:t>2066.03.28</w:t>
            </w:r>
          </w:p>
        </w:tc>
      </w:tr>
      <w:tr>
        <w:tc>
          <w:tcPr>
            <w:tcW w:type="dxa" w:w="5040"/>
            <w:vAlign w:val="center"/>
          </w:tcPr>
          <w:p>
            <w:pPr>
              <w:spacing w:after="0"/>
            </w:pPr>
            <w:r>
              <w:rPr>
                <w:rFonts w:ascii="Times New Roman" w:hAnsi="Times New Roman" w:eastAsia="Times New Roman"/>
                <w:sz w:val="15"/>
              </w:rPr>
            </w:r>
            <w:r>
              <w:rPr>
                <w:rFonts w:ascii="Times New Roman" w:hAnsi="Times New Roman" w:eastAsia="Times New Roman"/>
                <w:b w:val="0"/>
                <w:sz w:val="15"/>
              </w:rPr>
              <w:t>Finance Act, 2067</w:t>
            </w:r>
          </w:p>
        </w:tc>
        <w:tc>
          <w:tcPr>
            <w:tcW w:type="dxa" w:w="2880"/>
            <w:vAlign w:val="center"/>
          </w:tcPr>
          <w:p>
            <w:pPr>
              <w:spacing w:after="0"/>
            </w:pPr>
            <w:r>
              <w:rPr>
                <w:rFonts w:ascii="Times New Roman" w:hAnsi="Times New Roman" w:eastAsia="Times New Roman"/>
                <w:sz w:val="15"/>
              </w:rPr>
            </w:r>
            <w:r>
              <w:rPr>
                <w:rFonts w:ascii="Times New Roman" w:hAnsi="Times New Roman" w:eastAsia="Times New Roman"/>
                <w:b w:val="0"/>
                <w:sz w:val="15"/>
              </w:rPr>
              <w:t>2067.08.04 to 2068.03.32</w:t>
            </w:r>
          </w:p>
        </w:tc>
        <w:tc>
          <w:tcPr>
            <w:tcW w:type="dxa" w:w="2880"/>
            <w:vAlign w:val="center"/>
          </w:tcPr>
          <w:p>
            <w:pPr>
              <w:spacing w:after="0"/>
            </w:pPr>
            <w:r>
              <w:rPr>
                <w:rFonts w:ascii="Times New Roman" w:hAnsi="Times New Roman" w:eastAsia="Times New Roman"/>
                <w:sz w:val="15"/>
              </w:rPr>
            </w:r>
            <w:r>
              <w:rPr>
                <w:rFonts w:ascii="Times New Roman" w:hAnsi="Times New Roman" w:eastAsia="Times New Roman"/>
                <w:b w:val="0"/>
                <w:sz w:val="15"/>
              </w:rPr>
              <w:t>2067.08.04</w:t>
            </w:r>
          </w:p>
        </w:tc>
      </w:tr>
      <w:tr>
        <w:tc>
          <w:tcPr>
            <w:tcW w:type="dxa" w:w="5040"/>
            <w:vAlign w:val="center"/>
          </w:tcPr>
          <w:p>
            <w:pPr>
              <w:spacing w:after="0"/>
            </w:pPr>
            <w:r>
              <w:rPr>
                <w:rFonts w:ascii="Times New Roman" w:hAnsi="Times New Roman" w:eastAsia="Times New Roman"/>
                <w:sz w:val="15"/>
              </w:rPr>
            </w:r>
            <w:r>
              <w:rPr>
                <w:rFonts w:ascii="Times New Roman" w:hAnsi="Times New Roman" w:eastAsia="Times New Roman"/>
                <w:b w:val="0"/>
                <w:sz w:val="15"/>
              </w:rPr>
              <w:t>Finance Act, 2068</w:t>
            </w:r>
          </w:p>
        </w:tc>
        <w:tc>
          <w:tcPr>
            <w:tcW w:type="dxa" w:w="2880"/>
            <w:vAlign w:val="center"/>
          </w:tcPr>
          <w:p>
            <w:pPr>
              <w:spacing w:after="0"/>
            </w:pPr>
            <w:r>
              <w:rPr>
                <w:rFonts w:ascii="Times New Roman" w:hAnsi="Times New Roman" w:eastAsia="Times New Roman"/>
                <w:sz w:val="15"/>
              </w:rPr>
            </w:r>
            <w:r>
              <w:rPr>
                <w:rFonts w:ascii="Times New Roman" w:hAnsi="Times New Roman" w:eastAsia="Times New Roman"/>
                <w:b w:val="0"/>
                <w:sz w:val="15"/>
              </w:rPr>
              <w:t>2068.04.01 to 2069.03.31</w:t>
            </w:r>
          </w:p>
        </w:tc>
        <w:tc>
          <w:tcPr>
            <w:tcW w:type="dxa" w:w="2880"/>
            <w:vAlign w:val="center"/>
          </w:tcPr>
          <w:p>
            <w:pPr>
              <w:spacing w:after="0"/>
            </w:pPr>
            <w:r>
              <w:rPr>
                <w:rFonts w:ascii="Times New Roman" w:hAnsi="Times New Roman" w:eastAsia="Times New Roman"/>
                <w:sz w:val="15"/>
              </w:rPr>
            </w:r>
            <w:r>
              <w:rPr>
                <w:rFonts w:ascii="Times New Roman" w:hAnsi="Times New Roman" w:eastAsia="Times New Roman"/>
                <w:b w:val="0"/>
                <w:sz w:val="15"/>
              </w:rPr>
              <w:t>2068.03.28</w:t>
            </w:r>
          </w:p>
        </w:tc>
      </w:tr>
      <w:tr>
        <w:tc>
          <w:tcPr>
            <w:tcW w:type="dxa" w:w="5040"/>
            <w:vAlign w:val="center"/>
          </w:tcPr>
          <w:p>
            <w:pPr>
              <w:spacing w:after="0"/>
            </w:pPr>
            <w:r>
              <w:rPr>
                <w:rFonts w:ascii="Times New Roman" w:hAnsi="Times New Roman" w:eastAsia="Times New Roman"/>
                <w:sz w:val="15"/>
              </w:rPr>
            </w:r>
            <w:r>
              <w:rPr>
                <w:rFonts w:ascii="Times New Roman" w:hAnsi="Times New Roman" w:eastAsia="Times New Roman"/>
                <w:b w:val="0"/>
                <w:sz w:val="15"/>
              </w:rPr>
              <w:t>Finance Act, 2070</w:t>
            </w:r>
          </w:p>
        </w:tc>
        <w:tc>
          <w:tcPr>
            <w:tcW w:type="dxa" w:w="2880"/>
            <w:vAlign w:val="center"/>
          </w:tcPr>
          <w:p>
            <w:pPr>
              <w:spacing w:after="0"/>
            </w:pPr>
            <w:r>
              <w:rPr>
                <w:rFonts w:ascii="Times New Roman" w:hAnsi="Times New Roman" w:eastAsia="Times New Roman"/>
                <w:sz w:val="15"/>
              </w:rPr>
            </w:r>
            <w:r>
              <w:rPr>
                <w:rFonts w:ascii="Times New Roman" w:hAnsi="Times New Roman" w:eastAsia="Times New Roman"/>
                <w:b w:val="0"/>
                <w:sz w:val="15"/>
              </w:rPr>
              <w:t>2070.04.01 to 2071.03.32</w:t>
            </w:r>
          </w:p>
        </w:tc>
        <w:tc>
          <w:tcPr>
            <w:tcW w:type="dxa" w:w="2880"/>
            <w:vAlign w:val="center"/>
          </w:tcPr>
          <w:p>
            <w:pPr>
              <w:spacing w:after="0"/>
            </w:pPr>
            <w:r>
              <w:rPr>
                <w:rFonts w:ascii="Times New Roman" w:hAnsi="Times New Roman" w:eastAsia="Times New Roman"/>
                <w:sz w:val="15"/>
              </w:rPr>
            </w:r>
            <w:r>
              <w:rPr>
                <w:rFonts w:ascii="Times New Roman" w:hAnsi="Times New Roman" w:eastAsia="Times New Roman"/>
                <w:b w:val="0"/>
                <w:sz w:val="15"/>
              </w:rPr>
              <w:t>2070.04.01</w:t>
            </w:r>
          </w:p>
        </w:tc>
      </w:tr>
      <w:tr>
        <w:tc>
          <w:tcPr>
            <w:tcW w:type="dxa" w:w="5040"/>
            <w:vAlign w:val="center"/>
          </w:tcPr>
          <w:p>
            <w:pPr>
              <w:spacing w:after="0"/>
            </w:pPr>
            <w:r>
              <w:rPr>
                <w:rFonts w:ascii="Times New Roman" w:hAnsi="Times New Roman" w:eastAsia="Times New Roman"/>
                <w:sz w:val="15"/>
              </w:rPr>
            </w:r>
            <w:r>
              <w:rPr>
                <w:rFonts w:ascii="Times New Roman" w:hAnsi="Times New Roman" w:eastAsia="Times New Roman"/>
                <w:b w:val="0"/>
                <w:sz w:val="15"/>
              </w:rPr>
              <w:t>Finance Act, 2071</w:t>
            </w:r>
          </w:p>
        </w:tc>
        <w:tc>
          <w:tcPr>
            <w:tcW w:type="dxa" w:w="2880"/>
            <w:vAlign w:val="center"/>
          </w:tcPr>
          <w:p>
            <w:pPr>
              <w:spacing w:after="0"/>
            </w:pPr>
            <w:r>
              <w:rPr>
                <w:rFonts w:ascii="Times New Roman" w:hAnsi="Times New Roman" w:eastAsia="Times New Roman"/>
                <w:sz w:val="15"/>
              </w:rPr>
            </w:r>
            <w:r>
              <w:rPr>
                <w:rFonts w:ascii="Times New Roman" w:hAnsi="Times New Roman" w:eastAsia="Times New Roman"/>
                <w:b w:val="0"/>
                <w:sz w:val="15"/>
              </w:rPr>
              <w:t>2071.04.01 to 2072.03.32</w:t>
            </w:r>
          </w:p>
        </w:tc>
        <w:tc>
          <w:tcPr>
            <w:tcW w:type="dxa" w:w="2880"/>
            <w:vAlign w:val="center"/>
          </w:tcPr>
          <w:p>
            <w:pPr>
              <w:spacing w:after="0"/>
            </w:pPr>
            <w:r>
              <w:rPr>
                <w:rFonts w:ascii="Times New Roman" w:hAnsi="Times New Roman" w:eastAsia="Times New Roman"/>
                <w:sz w:val="15"/>
              </w:rPr>
            </w:r>
            <w:r>
              <w:rPr>
                <w:rFonts w:ascii="Times New Roman" w:hAnsi="Times New Roman" w:eastAsia="Times New Roman"/>
                <w:b w:val="0"/>
                <w:sz w:val="15"/>
              </w:rPr>
              <w:t>2071.03.29</w:t>
            </w:r>
          </w:p>
        </w:tc>
      </w:tr>
      <w:tr>
        <w:tc>
          <w:tcPr>
            <w:tcW w:type="dxa" w:w="5040"/>
            <w:vAlign w:val="center"/>
          </w:tcPr>
          <w:p>
            <w:pPr>
              <w:spacing w:after="0"/>
            </w:pPr>
            <w:r>
              <w:rPr>
                <w:rFonts w:ascii="Times New Roman" w:hAnsi="Times New Roman" w:eastAsia="Times New Roman"/>
                <w:sz w:val="15"/>
              </w:rPr>
            </w:r>
            <w:r>
              <w:rPr>
                <w:rFonts w:ascii="Times New Roman" w:hAnsi="Times New Roman" w:eastAsia="Times New Roman"/>
                <w:b w:val="0"/>
                <w:sz w:val="15"/>
              </w:rPr>
              <w:t>Finance Act, 2072</w:t>
            </w:r>
          </w:p>
        </w:tc>
        <w:tc>
          <w:tcPr>
            <w:tcW w:type="dxa" w:w="2880"/>
            <w:vAlign w:val="center"/>
          </w:tcPr>
          <w:p>
            <w:pPr>
              <w:spacing w:after="0"/>
            </w:pPr>
            <w:r>
              <w:rPr>
                <w:rFonts w:ascii="Times New Roman" w:hAnsi="Times New Roman" w:eastAsia="Times New Roman"/>
                <w:sz w:val="15"/>
              </w:rPr>
            </w:r>
            <w:r>
              <w:rPr>
                <w:rFonts w:ascii="Times New Roman" w:hAnsi="Times New Roman" w:eastAsia="Times New Roman"/>
                <w:b w:val="0"/>
                <w:sz w:val="15"/>
              </w:rPr>
              <w:t>2072.04.01 to 2073.03.31</w:t>
            </w:r>
          </w:p>
        </w:tc>
        <w:tc>
          <w:tcPr>
            <w:tcW w:type="dxa" w:w="2880"/>
            <w:vAlign w:val="center"/>
          </w:tcPr>
          <w:p>
            <w:pPr>
              <w:spacing w:after="0"/>
            </w:pPr>
            <w:r>
              <w:rPr>
                <w:rFonts w:ascii="Times New Roman" w:hAnsi="Times New Roman" w:eastAsia="Times New Roman"/>
                <w:sz w:val="15"/>
              </w:rPr>
            </w:r>
            <w:r>
              <w:rPr>
                <w:rFonts w:ascii="Times New Roman" w:hAnsi="Times New Roman" w:eastAsia="Times New Roman"/>
                <w:b w:val="0"/>
                <w:sz w:val="15"/>
              </w:rPr>
              <w:t>2072.03.29</w:t>
            </w:r>
          </w:p>
        </w:tc>
      </w:tr>
      <w:tr>
        <w:tc>
          <w:tcPr>
            <w:tcW w:type="dxa" w:w="5040"/>
            <w:vAlign w:val="center"/>
          </w:tcPr>
          <w:p>
            <w:pPr>
              <w:spacing w:after="0"/>
            </w:pPr>
            <w:r>
              <w:rPr>
                <w:rFonts w:ascii="Times New Roman" w:hAnsi="Times New Roman" w:eastAsia="Times New Roman"/>
                <w:sz w:val="15"/>
              </w:rPr>
            </w:r>
            <w:r>
              <w:rPr>
                <w:rFonts w:ascii="Times New Roman" w:hAnsi="Times New Roman" w:eastAsia="Times New Roman"/>
                <w:b w:val="0"/>
                <w:sz w:val="15"/>
              </w:rPr>
              <w:t>Finance Act, 2073</w:t>
            </w:r>
          </w:p>
        </w:tc>
        <w:tc>
          <w:tcPr>
            <w:tcW w:type="dxa" w:w="2880"/>
            <w:vAlign w:val="center"/>
          </w:tcPr>
          <w:p>
            <w:pPr>
              <w:spacing w:after="0"/>
            </w:pPr>
            <w:r>
              <w:rPr>
                <w:rFonts w:ascii="Times New Roman" w:hAnsi="Times New Roman" w:eastAsia="Times New Roman"/>
                <w:sz w:val="15"/>
              </w:rPr>
            </w:r>
            <w:r>
              <w:rPr>
                <w:rFonts w:ascii="Times New Roman" w:hAnsi="Times New Roman" w:eastAsia="Times New Roman"/>
                <w:b w:val="0"/>
                <w:sz w:val="15"/>
              </w:rPr>
              <w:t>2073.04.01 to 2074.03.31</w:t>
            </w:r>
          </w:p>
        </w:tc>
        <w:tc>
          <w:tcPr>
            <w:tcW w:type="dxa" w:w="2880"/>
            <w:vAlign w:val="center"/>
          </w:tcPr>
          <w:p>
            <w:pPr>
              <w:spacing w:after="0"/>
            </w:pPr>
            <w:r>
              <w:rPr>
                <w:rFonts w:ascii="Times New Roman" w:hAnsi="Times New Roman" w:eastAsia="Times New Roman"/>
                <w:sz w:val="15"/>
              </w:rPr>
            </w:r>
            <w:r>
              <w:rPr>
                <w:rFonts w:ascii="Times New Roman" w:hAnsi="Times New Roman" w:eastAsia="Times New Roman"/>
                <w:b w:val="0"/>
                <w:sz w:val="15"/>
              </w:rPr>
              <w:t>2073.07.29</w:t>
            </w:r>
          </w:p>
        </w:tc>
      </w:tr>
      <w:tr>
        <w:tc>
          <w:tcPr>
            <w:tcW w:type="dxa" w:w="5040"/>
            <w:vAlign w:val="center"/>
          </w:tcPr>
          <w:p>
            <w:pPr>
              <w:spacing w:after="0"/>
            </w:pPr>
            <w:r>
              <w:rPr>
                <w:rFonts w:ascii="Times New Roman" w:hAnsi="Times New Roman" w:eastAsia="Times New Roman"/>
                <w:sz w:val="15"/>
              </w:rPr>
            </w:r>
            <w:r>
              <w:rPr>
                <w:rFonts w:ascii="Times New Roman" w:hAnsi="Times New Roman" w:eastAsia="Times New Roman"/>
                <w:b w:val="0"/>
                <w:sz w:val="15"/>
              </w:rPr>
              <w:t>Finance Act, 2074</w:t>
            </w:r>
          </w:p>
        </w:tc>
        <w:tc>
          <w:tcPr>
            <w:tcW w:type="dxa" w:w="2880"/>
            <w:vAlign w:val="center"/>
          </w:tcPr>
          <w:p>
            <w:pPr>
              <w:spacing w:after="0"/>
            </w:pPr>
            <w:r>
              <w:rPr>
                <w:rFonts w:ascii="Times New Roman" w:hAnsi="Times New Roman" w:eastAsia="Times New Roman"/>
                <w:sz w:val="15"/>
              </w:rPr>
            </w:r>
            <w:r>
              <w:rPr>
                <w:rFonts w:ascii="Times New Roman" w:hAnsi="Times New Roman" w:eastAsia="Times New Roman"/>
                <w:b w:val="0"/>
                <w:sz w:val="15"/>
              </w:rPr>
              <w:t>2074.04.01 to 2075.03.32</w:t>
            </w:r>
          </w:p>
        </w:tc>
        <w:tc>
          <w:tcPr>
            <w:tcW w:type="dxa" w:w="2880"/>
            <w:vAlign w:val="center"/>
          </w:tcPr>
          <w:p>
            <w:pPr>
              <w:spacing w:after="0"/>
            </w:pPr>
            <w:r>
              <w:rPr>
                <w:rFonts w:ascii="Times New Roman" w:hAnsi="Times New Roman" w:eastAsia="Times New Roman"/>
                <w:sz w:val="15"/>
              </w:rPr>
            </w:r>
            <w:r>
              <w:rPr>
                <w:rFonts w:ascii="Times New Roman" w:hAnsi="Times New Roman" w:eastAsia="Times New Roman"/>
                <w:b w:val="0"/>
                <w:sz w:val="15"/>
              </w:rPr>
              <w:t>2074.05.02</w:t>
            </w:r>
          </w:p>
        </w:tc>
      </w:tr>
      <w:tr>
        <w:tc>
          <w:tcPr>
            <w:tcW w:type="dxa" w:w="5040"/>
            <w:vAlign w:val="center"/>
          </w:tcPr>
          <w:p>
            <w:pPr>
              <w:spacing w:after="0"/>
            </w:pPr>
            <w:r>
              <w:rPr>
                <w:rFonts w:ascii="Times New Roman" w:hAnsi="Times New Roman" w:eastAsia="Times New Roman"/>
                <w:sz w:val="15"/>
              </w:rPr>
            </w:r>
            <w:r>
              <w:rPr>
                <w:rFonts w:ascii="Times New Roman" w:hAnsi="Times New Roman" w:eastAsia="Times New Roman"/>
                <w:b w:val="0"/>
                <w:sz w:val="15"/>
              </w:rPr>
              <w:t>Finance Act, 2075</w:t>
            </w:r>
          </w:p>
        </w:tc>
        <w:tc>
          <w:tcPr>
            <w:tcW w:type="dxa" w:w="2880"/>
            <w:vAlign w:val="center"/>
          </w:tcPr>
          <w:p>
            <w:pPr>
              <w:spacing w:after="0"/>
            </w:pPr>
            <w:r>
              <w:rPr>
                <w:rFonts w:ascii="Times New Roman" w:hAnsi="Times New Roman" w:eastAsia="Times New Roman"/>
                <w:sz w:val="15"/>
              </w:rPr>
            </w:r>
            <w:r>
              <w:rPr>
                <w:rFonts w:ascii="Times New Roman" w:hAnsi="Times New Roman" w:eastAsia="Times New Roman"/>
                <w:b w:val="0"/>
                <w:sz w:val="15"/>
              </w:rPr>
              <w:t>2075.04.01 to 2076.03.31</w:t>
            </w:r>
          </w:p>
        </w:tc>
        <w:tc>
          <w:tcPr>
            <w:tcW w:type="dxa" w:w="2880"/>
            <w:vAlign w:val="center"/>
          </w:tcPr>
          <w:p>
            <w:pPr>
              <w:spacing w:after="0"/>
            </w:pPr>
            <w:r>
              <w:rPr>
                <w:rFonts w:ascii="Times New Roman" w:hAnsi="Times New Roman" w:eastAsia="Times New Roman"/>
                <w:sz w:val="15"/>
              </w:rPr>
            </w:r>
            <w:r>
              <w:rPr>
                <w:rFonts w:ascii="Times New Roman" w:hAnsi="Times New Roman" w:eastAsia="Times New Roman"/>
                <w:b w:val="0"/>
                <w:sz w:val="15"/>
              </w:rPr>
              <w:t>2075.03.32</w:t>
            </w:r>
          </w:p>
        </w:tc>
      </w:tr>
      <w:tr>
        <w:tc>
          <w:tcPr>
            <w:tcW w:type="dxa" w:w="5040"/>
            <w:vAlign w:val="center"/>
          </w:tcPr>
          <w:p>
            <w:pPr>
              <w:spacing w:after="0"/>
            </w:pPr>
            <w:r>
              <w:rPr>
                <w:rFonts w:ascii="Times New Roman" w:hAnsi="Times New Roman" w:eastAsia="Times New Roman"/>
                <w:sz w:val="15"/>
              </w:rPr>
            </w:r>
            <w:r>
              <w:rPr>
                <w:rFonts w:ascii="Times New Roman" w:hAnsi="Times New Roman" w:eastAsia="Times New Roman"/>
                <w:b w:val="0"/>
                <w:sz w:val="15"/>
              </w:rPr>
              <w:t>Some Nepal Laws Amendment Act, 2075</w:t>
            </w:r>
          </w:p>
        </w:tc>
        <w:tc>
          <w:tcPr>
            <w:tcW w:type="dxa" w:w="2880"/>
            <w:vAlign w:val="center"/>
          </w:tcPr>
          <w:p>
            <w:pPr>
              <w:spacing w:after="0"/>
            </w:pPr>
            <w:r>
              <w:rPr>
                <w:rFonts w:ascii="Times New Roman" w:hAnsi="Times New Roman" w:eastAsia="Times New Roman"/>
                <w:sz w:val="15"/>
              </w:rPr>
            </w:r>
            <w:r>
              <w:rPr>
                <w:rFonts w:ascii="Times New Roman" w:hAnsi="Times New Roman" w:eastAsia="Times New Roman"/>
                <w:b w:val="0"/>
                <w:sz w:val="15"/>
              </w:rPr>
            </w:r>
          </w:p>
        </w:tc>
        <w:tc>
          <w:tcPr>
            <w:tcW w:type="dxa" w:w="2880"/>
            <w:vAlign w:val="center"/>
          </w:tcPr>
          <w:p>
            <w:pPr>
              <w:spacing w:after="0"/>
            </w:pPr>
            <w:r>
              <w:rPr>
                <w:rFonts w:ascii="Times New Roman" w:hAnsi="Times New Roman" w:eastAsia="Times New Roman"/>
                <w:sz w:val="15"/>
              </w:rPr>
            </w:r>
            <w:r>
              <w:rPr>
                <w:rFonts w:ascii="Times New Roman" w:hAnsi="Times New Roman" w:eastAsia="Times New Roman"/>
                <w:b w:val="0"/>
                <w:sz w:val="15"/>
              </w:rPr>
              <w:t>2075.11.19</w:t>
            </w:r>
          </w:p>
        </w:tc>
      </w:tr>
      <w:tr>
        <w:tc>
          <w:tcPr>
            <w:tcW w:type="dxa" w:w="5040"/>
            <w:vAlign w:val="center"/>
          </w:tcPr>
          <w:p>
            <w:pPr>
              <w:spacing w:after="0"/>
            </w:pPr>
            <w:r>
              <w:rPr>
                <w:rFonts w:ascii="Times New Roman" w:hAnsi="Times New Roman" w:eastAsia="Times New Roman"/>
                <w:sz w:val="15"/>
              </w:rPr>
            </w:r>
            <w:r>
              <w:rPr>
                <w:rFonts w:ascii="Times New Roman" w:hAnsi="Times New Roman" w:eastAsia="Times New Roman"/>
                <w:b w:val="0"/>
                <w:sz w:val="15"/>
              </w:rPr>
              <w:t>Finance Act, 2076</w:t>
            </w:r>
          </w:p>
        </w:tc>
        <w:tc>
          <w:tcPr>
            <w:tcW w:type="dxa" w:w="2880"/>
            <w:vAlign w:val="center"/>
          </w:tcPr>
          <w:p>
            <w:pPr>
              <w:spacing w:after="0"/>
            </w:pPr>
            <w:r>
              <w:rPr>
                <w:rFonts w:ascii="Times New Roman" w:hAnsi="Times New Roman" w:eastAsia="Times New Roman"/>
                <w:sz w:val="15"/>
              </w:rPr>
            </w:r>
            <w:r>
              <w:rPr>
                <w:rFonts w:ascii="Times New Roman" w:hAnsi="Times New Roman" w:eastAsia="Times New Roman"/>
                <w:b w:val="0"/>
                <w:sz w:val="15"/>
              </w:rPr>
              <w:t>from 2076.04.01</w:t>
            </w:r>
          </w:p>
        </w:tc>
        <w:tc>
          <w:tcPr>
            <w:tcW w:type="dxa" w:w="2880"/>
            <w:vAlign w:val="center"/>
          </w:tcPr>
          <w:p>
            <w:pPr>
              <w:spacing w:after="0"/>
            </w:pPr>
            <w:r>
              <w:rPr>
                <w:rFonts w:ascii="Times New Roman" w:hAnsi="Times New Roman" w:eastAsia="Times New Roman"/>
                <w:sz w:val="15"/>
              </w:rPr>
            </w:r>
            <w:r>
              <w:rPr>
                <w:rFonts w:ascii="Times New Roman" w:hAnsi="Times New Roman" w:eastAsia="Times New Roman"/>
                <w:b w:val="0"/>
                <w:sz w:val="15"/>
              </w:rPr>
              <w:t>2076.03.30</w:t>
            </w:r>
          </w:p>
        </w:tc>
      </w:tr>
      <w:tr>
        <w:tc>
          <w:tcPr>
            <w:tcW w:type="dxa" w:w="5040"/>
            <w:vAlign w:val="center"/>
          </w:tcPr>
          <w:p>
            <w:pPr>
              <w:spacing w:after="0"/>
            </w:pPr>
            <w:r>
              <w:rPr>
                <w:rFonts w:ascii="Times New Roman" w:hAnsi="Times New Roman" w:eastAsia="Times New Roman"/>
                <w:sz w:val="15"/>
              </w:rPr>
            </w:r>
            <w:r>
              <w:rPr>
                <w:rFonts w:ascii="Times New Roman" w:hAnsi="Times New Roman" w:eastAsia="Times New Roman"/>
                <w:b w:val="0"/>
                <w:sz w:val="15"/>
              </w:rPr>
              <w:t>Finance Act, 2077</w:t>
            </w:r>
          </w:p>
        </w:tc>
        <w:tc>
          <w:tcPr>
            <w:tcW w:type="dxa" w:w="2880"/>
            <w:vAlign w:val="center"/>
          </w:tcPr>
          <w:p>
            <w:pPr>
              <w:spacing w:after="0"/>
            </w:pPr>
            <w:r>
              <w:rPr>
                <w:rFonts w:ascii="Times New Roman" w:hAnsi="Times New Roman" w:eastAsia="Times New Roman"/>
                <w:sz w:val="15"/>
              </w:rPr>
            </w:r>
            <w:r>
              <w:rPr>
                <w:rFonts w:ascii="Times New Roman" w:hAnsi="Times New Roman" w:eastAsia="Times New Roman"/>
                <w:b w:val="0"/>
                <w:sz w:val="15"/>
              </w:rPr>
              <w:t>from 2077.04.01</w:t>
            </w:r>
          </w:p>
        </w:tc>
        <w:tc>
          <w:tcPr>
            <w:tcW w:type="dxa" w:w="2880"/>
            <w:vAlign w:val="center"/>
          </w:tcPr>
          <w:p>
            <w:pPr>
              <w:spacing w:after="0"/>
            </w:pPr>
            <w:r>
              <w:rPr>
                <w:rFonts w:ascii="Times New Roman" w:hAnsi="Times New Roman" w:eastAsia="Times New Roman"/>
                <w:sz w:val="15"/>
              </w:rPr>
            </w:r>
            <w:r>
              <w:rPr>
                <w:rFonts w:ascii="Times New Roman" w:hAnsi="Times New Roman" w:eastAsia="Times New Roman"/>
                <w:b w:val="0"/>
                <w:sz w:val="15"/>
              </w:rPr>
              <w:t>2077.03.15 (date of authentication)</w:t>
            </w:r>
          </w:p>
        </w:tc>
      </w:tr>
      <w:tr>
        <w:tc>
          <w:tcPr>
            <w:tcW w:type="dxa" w:w="5040"/>
            <w:vAlign w:val="center"/>
          </w:tcPr>
          <w:p>
            <w:pPr>
              <w:spacing w:after="0"/>
            </w:pPr>
            <w:r>
              <w:rPr>
                <w:rFonts w:ascii="Times New Roman" w:hAnsi="Times New Roman" w:eastAsia="Times New Roman"/>
                <w:sz w:val="15"/>
              </w:rPr>
            </w:r>
            <w:r>
              <w:rPr>
                <w:rFonts w:ascii="Times New Roman" w:hAnsi="Times New Roman" w:eastAsia="Times New Roman"/>
                <w:b w:val="0"/>
                <w:sz w:val="15"/>
              </w:rPr>
              <w:t>Finance Ordinance, 2078</w:t>
            </w:r>
          </w:p>
        </w:tc>
        <w:tc>
          <w:tcPr>
            <w:tcW w:type="dxa" w:w="2880"/>
            <w:vAlign w:val="center"/>
          </w:tcPr>
          <w:p>
            <w:pPr>
              <w:spacing w:after="0"/>
            </w:pPr>
            <w:r>
              <w:rPr>
                <w:rFonts w:ascii="Times New Roman" w:hAnsi="Times New Roman" w:eastAsia="Times New Roman"/>
                <w:sz w:val="15"/>
              </w:rPr>
            </w:r>
            <w:r>
              <w:rPr>
                <w:rFonts w:ascii="Times New Roman" w:hAnsi="Times New Roman" w:eastAsia="Times New Roman"/>
                <w:b w:val="0"/>
                <w:sz w:val="15"/>
              </w:rPr>
              <w:t>2078.04.01 to 2078.05.25</w:t>
            </w:r>
          </w:p>
        </w:tc>
        <w:tc>
          <w:tcPr>
            <w:tcW w:type="dxa" w:w="2880"/>
            <w:vAlign w:val="center"/>
          </w:tcPr>
          <w:p>
            <w:pPr>
              <w:spacing w:after="0"/>
            </w:pPr>
            <w:r>
              <w:rPr>
                <w:rFonts w:ascii="Times New Roman" w:hAnsi="Times New Roman" w:eastAsia="Times New Roman"/>
                <w:sz w:val="15"/>
              </w:rPr>
            </w:r>
            <w:r>
              <w:rPr>
                <w:rFonts w:ascii="Times New Roman" w:hAnsi="Times New Roman" w:eastAsia="Times New Roman"/>
                <w:b w:val="0"/>
                <w:sz w:val="15"/>
              </w:rPr>
              <w:t>2078.02.15</w:t>
            </w:r>
          </w:p>
        </w:tc>
      </w:tr>
      <w:tr>
        <w:tc>
          <w:tcPr>
            <w:tcW w:type="dxa" w:w="5040"/>
            <w:vAlign w:val="center"/>
          </w:tcPr>
          <w:p>
            <w:pPr>
              <w:spacing w:after="0"/>
            </w:pPr>
            <w:r>
              <w:rPr>
                <w:rFonts w:ascii="Times New Roman" w:hAnsi="Times New Roman" w:eastAsia="Times New Roman"/>
                <w:sz w:val="15"/>
              </w:rPr>
            </w:r>
            <w:r>
              <w:rPr>
                <w:rFonts w:ascii="Times New Roman" w:hAnsi="Times New Roman" w:eastAsia="Times New Roman"/>
                <w:b w:val="0"/>
                <w:sz w:val="15"/>
              </w:rPr>
              <w:t>Finance Act, 2078</w:t>
            </w:r>
          </w:p>
        </w:tc>
        <w:tc>
          <w:tcPr>
            <w:tcW w:type="dxa" w:w="2880"/>
            <w:vAlign w:val="center"/>
          </w:tcPr>
          <w:p>
            <w:pPr>
              <w:spacing w:after="0"/>
            </w:pPr>
            <w:r>
              <w:rPr>
                <w:rFonts w:ascii="Times New Roman" w:hAnsi="Times New Roman" w:eastAsia="Times New Roman"/>
                <w:sz w:val="15"/>
              </w:rPr>
            </w:r>
            <w:r>
              <w:rPr>
                <w:rFonts w:ascii="Times New Roman" w:hAnsi="Times New Roman" w:eastAsia="Times New Roman"/>
                <w:b w:val="0"/>
                <w:sz w:val="15"/>
              </w:rPr>
              <w:t>from 2078.05.25</w:t>
            </w:r>
          </w:p>
        </w:tc>
        <w:tc>
          <w:tcPr>
            <w:tcW w:type="dxa" w:w="2880"/>
            <w:vAlign w:val="center"/>
          </w:tcPr>
          <w:p>
            <w:pPr>
              <w:spacing w:after="0"/>
            </w:pPr>
            <w:r>
              <w:rPr>
                <w:rFonts w:ascii="Times New Roman" w:hAnsi="Times New Roman" w:eastAsia="Times New Roman"/>
                <w:sz w:val="15"/>
              </w:rPr>
            </w:r>
            <w:r>
              <w:rPr>
                <w:rFonts w:ascii="Times New Roman" w:hAnsi="Times New Roman" w:eastAsia="Times New Roman"/>
                <w:b w:val="0"/>
                <w:sz w:val="15"/>
              </w:rPr>
              <w:t>2078.06.13</w:t>
            </w:r>
          </w:p>
        </w:tc>
      </w:tr>
      <w:tr>
        <w:tc>
          <w:tcPr>
            <w:tcW w:type="dxa" w:w="5040"/>
            <w:vAlign w:val="center"/>
          </w:tcPr>
          <w:p>
            <w:pPr>
              <w:spacing w:after="0"/>
            </w:pPr>
            <w:r>
              <w:rPr>
                <w:rFonts w:ascii="Times New Roman" w:hAnsi="Times New Roman" w:eastAsia="Times New Roman"/>
                <w:sz w:val="15"/>
              </w:rPr>
            </w:r>
            <w:r>
              <w:rPr>
                <w:rFonts w:ascii="Times New Roman" w:hAnsi="Times New Roman" w:eastAsia="Times New Roman"/>
                <w:b w:val="0"/>
                <w:sz w:val="15"/>
              </w:rPr>
              <w:t>Finance Act, 2079</w:t>
            </w:r>
          </w:p>
        </w:tc>
        <w:tc>
          <w:tcPr>
            <w:tcW w:type="dxa" w:w="2880"/>
            <w:vAlign w:val="center"/>
          </w:tcPr>
          <w:p>
            <w:pPr>
              <w:spacing w:after="0"/>
            </w:pPr>
            <w:r>
              <w:rPr>
                <w:rFonts w:ascii="Times New Roman" w:hAnsi="Times New Roman" w:eastAsia="Times New Roman"/>
                <w:sz w:val="15"/>
              </w:rPr>
            </w:r>
            <w:r>
              <w:rPr>
                <w:rFonts w:ascii="Times New Roman" w:hAnsi="Times New Roman" w:eastAsia="Times New Roman"/>
                <w:b w:val="0"/>
                <w:sz w:val="15"/>
              </w:rPr>
              <w:t>2079.04.01 to 2080.03.31</w:t>
            </w:r>
          </w:p>
        </w:tc>
        <w:tc>
          <w:tcPr>
            <w:tcW w:type="dxa" w:w="2880"/>
            <w:vAlign w:val="center"/>
          </w:tcPr>
          <w:p>
            <w:pPr>
              <w:spacing w:after="0"/>
            </w:pPr>
            <w:r>
              <w:rPr>
                <w:rFonts w:ascii="Times New Roman" w:hAnsi="Times New Roman" w:eastAsia="Times New Roman"/>
                <w:sz w:val="15"/>
              </w:rPr>
            </w:r>
            <w:r>
              <w:rPr>
                <w:rFonts w:ascii="Times New Roman" w:hAnsi="Times New Roman" w:eastAsia="Times New Roman"/>
                <w:b w:val="0"/>
                <w:sz w:val="15"/>
              </w:rPr>
              <w:t>2079.03.31</w:t>
            </w:r>
          </w:p>
        </w:tc>
      </w:tr>
      <w:tr>
        <w:tc>
          <w:tcPr>
            <w:tcW w:type="dxa" w:w="5040"/>
            <w:vAlign w:val="center"/>
          </w:tcPr>
          <w:p>
            <w:pPr>
              <w:spacing w:after="0"/>
            </w:pPr>
            <w:r>
              <w:rPr>
                <w:rFonts w:ascii="Times New Roman" w:hAnsi="Times New Roman" w:eastAsia="Times New Roman"/>
                <w:sz w:val="15"/>
              </w:rPr>
            </w:r>
            <w:r>
              <w:rPr>
                <w:rFonts w:ascii="Times New Roman" w:hAnsi="Times New Roman" w:eastAsia="Times New Roman"/>
                <w:b w:val="0"/>
                <w:sz w:val="15"/>
              </w:rPr>
              <w:t>Finance Act, 2080</w:t>
            </w:r>
          </w:p>
        </w:tc>
        <w:tc>
          <w:tcPr>
            <w:tcW w:type="dxa" w:w="2880"/>
            <w:vAlign w:val="center"/>
          </w:tcPr>
          <w:p>
            <w:pPr>
              <w:spacing w:after="0"/>
            </w:pPr>
            <w:r>
              <w:rPr>
                <w:rFonts w:ascii="Times New Roman" w:hAnsi="Times New Roman" w:eastAsia="Times New Roman"/>
                <w:sz w:val="15"/>
              </w:rPr>
            </w:r>
            <w:r>
              <w:rPr>
                <w:rFonts w:ascii="Times New Roman" w:hAnsi="Times New Roman" w:eastAsia="Times New Roman"/>
                <w:b w:val="0"/>
                <w:sz w:val="15"/>
              </w:rPr>
              <w:t>2080.04.01 to 2081.03.31</w:t>
            </w:r>
          </w:p>
        </w:tc>
        <w:tc>
          <w:tcPr>
            <w:tcW w:type="dxa" w:w="2880"/>
            <w:vAlign w:val="center"/>
          </w:tcPr>
          <w:p>
            <w:pPr>
              <w:spacing w:after="0"/>
            </w:pPr>
            <w:r>
              <w:rPr>
                <w:rFonts w:ascii="Times New Roman" w:hAnsi="Times New Roman" w:eastAsia="Times New Roman"/>
                <w:sz w:val="15"/>
              </w:rPr>
            </w:r>
            <w:r>
              <w:rPr>
                <w:rFonts w:ascii="Times New Roman" w:hAnsi="Times New Roman" w:eastAsia="Times New Roman"/>
                <w:b w:val="0"/>
                <w:sz w:val="15"/>
              </w:rPr>
              <w:t>2080.03.31</w:t>
            </w:r>
          </w:p>
        </w:tc>
      </w:tr>
      <w:tr>
        <w:tc>
          <w:tcPr>
            <w:tcW w:type="dxa" w:w="5040"/>
            <w:vAlign w:val="center"/>
          </w:tcPr>
          <w:p>
            <w:pPr>
              <w:spacing w:after="0"/>
            </w:pPr>
            <w:r>
              <w:rPr>
                <w:rFonts w:ascii="Times New Roman" w:hAnsi="Times New Roman" w:eastAsia="Times New Roman"/>
                <w:sz w:val="15"/>
              </w:rPr>
            </w:r>
            <w:r>
              <w:rPr>
                <w:rFonts w:ascii="Times New Roman" w:hAnsi="Times New Roman" w:eastAsia="Times New Roman"/>
                <w:b w:val="0"/>
                <w:sz w:val="15"/>
              </w:rPr>
              <w:t>Finance Act, 2081</w:t>
            </w:r>
          </w:p>
        </w:tc>
        <w:tc>
          <w:tcPr>
            <w:tcW w:type="dxa" w:w="2880"/>
            <w:vAlign w:val="center"/>
          </w:tcPr>
          <w:p>
            <w:pPr>
              <w:spacing w:after="0"/>
            </w:pPr>
            <w:r>
              <w:rPr>
                <w:rFonts w:ascii="Times New Roman" w:hAnsi="Times New Roman" w:eastAsia="Times New Roman"/>
                <w:sz w:val="15"/>
              </w:rPr>
            </w:r>
            <w:r>
              <w:rPr>
                <w:rFonts w:ascii="Times New Roman" w:hAnsi="Times New Roman" w:eastAsia="Times New Roman"/>
                <w:b w:val="0"/>
                <w:sz w:val="15"/>
              </w:rPr>
              <w:t>2081.04.01 to 2082.03.31</w:t>
            </w:r>
          </w:p>
        </w:tc>
        <w:tc>
          <w:tcPr>
            <w:tcW w:type="dxa" w:w="2880"/>
            <w:vAlign w:val="center"/>
          </w:tcPr>
          <w:p>
            <w:pPr>
              <w:spacing w:after="0"/>
            </w:pPr>
            <w:r>
              <w:rPr>
                <w:rFonts w:ascii="Times New Roman" w:hAnsi="Times New Roman" w:eastAsia="Times New Roman"/>
                <w:sz w:val="15"/>
              </w:rPr>
            </w:r>
            <w:r>
              <w:rPr>
                <w:rFonts w:ascii="Times New Roman" w:hAnsi="Times New Roman" w:eastAsia="Times New Roman"/>
                <w:b w:val="0"/>
                <w:sz w:val="15"/>
              </w:rPr>
              <w:t>2081.04.01</w:t>
            </w:r>
          </w:p>
        </w:tc>
      </w:tr>
    </w:tbl>
    <w:p>
      <w:pPr>
        <w:spacing w:after="120" w:line="252" w:lineRule="auto"/>
      </w:pPr>
      <w:r>
        <w:rPr>
          <w:rFonts w:ascii="Times New Roman" w:hAnsi="Times New Roman" w:eastAsia="Times New Roman"/>
          <w:b/>
          <w:i w:val="0"/>
          <w:sz w:val="21"/>
        </w:rPr>
        <w:t>Amendments to the Income Tax Rules, 2059</w:t>
      </w:r>
    </w:p>
    <w:tbl>
      <w:tblPr>
        <w:tblStyle w:val="TableGrid"/>
        <w:tblW w:type="auto" w:w="0"/>
        <w:jc w:val="center"/>
        <w:tblLook w:firstColumn="1" w:firstRow="1" w:lastColumn="0" w:lastRow="0" w:noHBand="0" w:noVBand="1" w:val="04A0"/>
      </w:tblPr>
      <w:tblGrid>
        <w:gridCol w:w="4802"/>
        <w:gridCol w:w="4802"/>
      </w:tblGrid>
      <w:tr>
        <w:trPr>
          <w:tblHeader w:val="true"/>
        </w:trPr>
        <w:tc>
          <w:tcPr>
            <w:tcW w:type="dxa" w:w="5760"/>
            <w:vAlign w:val="center"/>
            <w:shd w:fill="D9EAF7"/>
          </w:tcPr>
          <w:p>
            <w:r>
              <w:rPr>
                <w:rFonts w:ascii="Times New Roman" w:hAnsi="Times New Roman" w:eastAsia="Times New Roman"/>
                <w:sz w:val="16"/>
              </w:rPr>
            </w:r>
            <w:r>
              <w:rPr>
                <w:rFonts w:ascii="Times New Roman" w:hAnsi="Times New Roman" w:eastAsia="Times New Roman"/>
                <w:b/>
                <w:sz w:val="16"/>
              </w:rPr>
              <w:t>Description of amendment</w:t>
            </w:r>
          </w:p>
        </w:tc>
        <w:tc>
          <w:tcPr>
            <w:tcW w:type="dxa" w:w="2880"/>
            <w:vAlign w:val="center"/>
            <w:shd w:fill="D9EAF7"/>
          </w:tcPr>
          <w:p>
            <w:r>
              <w:rPr>
                <w:rFonts w:ascii="Times New Roman" w:hAnsi="Times New Roman" w:eastAsia="Times New Roman"/>
                <w:sz w:val="16"/>
              </w:rPr>
            </w:r>
            <w:r>
              <w:rPr>
                <w:rFonts w:ascii="Times New Roman" w:hAnsi="Times New Roman" w:eastAsia="Times New Roman"/>
                <w:b/>
                <w:sz w:val="16"/>
              </w:rPr>
              <w:t>Date published in Gazette</w:t>
            </w:r>
          </w:p>
        </w:tc>
      </w:tr>
      <w:tr>
        <w:tc>
          <w:tcPr>
            <w:tcW w:type="dxa" w:w="5760"/>
            <w:vAlign w:val="center"/>
          </w:tcPr>
          <w:p>
            <w:pPr>
              <w:spacing w:after="0"/>
            </w:pPr>
            <w:r>
              <w:rPr>
                <w:rFonts w:ascii="Times New Roman" w:hAnsi="Times New Roman" w:eastAsia="Times New Roman"/>
                <w:sz w:val="16"/>
              </w:rPr>
            </w:r>
            <w:r>
              <w:rPr>
                <w:rFonts w:ascii="Times New Roman" w:hAnsi="Times New Roman" w:eastAsia="Times New Roman"/>
                <w:b w:val="0"/>
                <w:sz w:val="16"/>
              </w:rPr>
              <w:t>First publication in Nepal Gazette</w:t>
            </w:r>
          </w:p>
        </w:tc>
        <w:tc>
          <w:tcPr>
            <w:tcW w:type="dxa" w:w="2880"/>
            <w:vAlign w:val="center"/>
          </w:tcPr>
          <w:p>
            <w:pPr>
              <w:spacing w:after="0"/>
            </w:pPr>
            <w:r>
              <w:rPr>
                <w:rFonts w:ascii="Times New Roman" w:hAnsi="Times New Roman" w:eastAsia="Times New Roman"/>
                <w:sz w:val="16"/>
              </w:rPr>
            </w:r>
            <w:r>
              <w:rPr>
                <w:rFonts w:ascii="Times New Roman" w:hAnsi="Times New Roman" w:eastAsia="Times New Roman"/>
                <w:b w:val="0"/>
                <w:sz w:val="16"/>
              </w:rPr>
              <w:t>2059.02.04</w:t>
            </w:r>
          </w:p>
        </w:tc>
      </w:tr>
      <w:tr>
        <w:tc>
          <w:tcPr>
            <w:tcW w:type="dxa" w:w="5760"/>
            <w:vAlign w:val="center"/>
          </w:tcPr>
          <w:p>
            <w:pPr>
              <w:spacing w:after="0"/>
            </w:pPr>
            <w:r>
              <w:rPr>
                <w:rFonts w:ascii="Times New Roman" w:hAnsi="Times New Roman" w:eastAsia="Times New Roman"/>
                <w:sz w:val="16"/>
              </w:rPr>
            </w:r>
            <w:r>
              <w:rPr>
                <w:rFonts w:ascii="Times New Roman" w:hAnsi="Times New Roman" w:eastAsia="Times New Roman"/>
                <w:b w:val="0"/>
                <w:sz w:val="16"/>
              </w:rPr>
              <w:t>First amendment</w:t>
            </w:r>
          </w:p>
        </w:tc>
        <w:tc>
          <w:tcPr>
            <w:tcW w:type="dxa" w:w="2880"/>
            <w:vAlign w:val="center"/>
          </w:tcPr>
          <w:p>
            <w:pPr>
              <w:spacing w:after="0"/>
            </w:pPr>
            <w:r>
              <w:rPr>
                <w:rFonts w:ascii="Times New Roman" w:hAnsi="Times New Roman" w:eastAsia="Times New Roman"/>
                <w:sz w:val="16"/>
              </w:rPr>
            </w:r>
            <w:r>
              <w:rPr>
                <w:rFonts w:ascii="Times New Roman" w:hAnsi="Times New Roman" w:eastAsia="Times New Roman"/>
                <w:b w:val="0"/>
                <w:sz w:val="16"/>
              </w:rPr>
              <w:t>2059.09.22</w:t>
            </w:r>
          </w:p>
        </w:tc>
      </w:tr>
      <w:tr>
        <w:tc>
          <w:tcPr>
            <w:tcW w:type="dxa" w:w="5760"/>
            <w:vAlign w:val="center"/>
          </w:tcPr>
          <w:p>
            <w:pPr>
              <w:spacing w:after="0"/>
            </w:pPr>
            <w:r>
              <w:rPr>
                <w:rFonts w:ascii="Times New Roman" w:hAnsi="Times New Roman" w:eastAsia="Times New Roman"/>
                <w:sz w:val="16"/>
              </w:rPr>
            </w:r>
            <w:r>
              <w:rPr>
                <w:rFonts w:ascii="Times New Roman" w:hAnsi="Times New Roman" w:eastAsia="Times New Roman"/>
                <w:b w:val="0"/>
                <w:sz w:val="16"/>
              </w:rPr>
              <w:t>Second amendment</w:t>
            </w:r>
          </w:p>
        </w:tc>
        <w:tc>
          <w:tcPr>
            <w:tcW w:type="dxa" w:w="2880"/>
            <w:vAlign w:val="center"/>
          </w:tcPr>
          <w:p>
            <w:pPr>
              <w:spacing w:after="0"/>
            </w:pPr>
            <w:r>
              <w:rPr>
                <w:rFonts w:ascii="Times New Roman" w:hAnsi="Times New Roman" w:eastAsia="Times New Roman"/>
                <w:sz w:val="16"/>
              </w:rPr>
            </w:r>
            <w:r>
              <w:rPr>
                <w:rFonts w:ascii="Times New Roman" w:hAnsi="Times New Roman" w:eastAsia="Times New Roman"/>
                <w:b w:val="0"/>
                <w:sz w:val="16"/>
              </w:rPr>
              <w:t>2064.03.28</w:t>
            </w:r>
          </w:p>
        </w:tc>
      </w:tr>
      <w:tr>
        <w:tc>
          <w:tcPr>
            <w:tcW w:type="dxa" w:w="5760"/>
            <w:vAlign w:val="center"/>
          </w:tcPr>
          <w:p>
            <w:pPr>
              <w:spacing w:after="0"/>
            </w:pPr>
            <w:r>
              <w:rPr>
                <w:rFonts w:ascii="Times New Roman" w:hAnsi="Times New Roman" w:eastAsia="Times New Roman"/>
                <w:sz w:val="16"/>
              </w:rPr>
            </w:r>
            <w:r>
              <w:rPr>
                <w:rFonts w:ascii="Times New Roman" w:hAnsi="Times New Roman" w:eastAsia="Times New Roman"/>
                <w:b w:val="0"/>
                <w:sz w:val="16"/>
              </w:rPr>
              <w:t>Third amendment</w:t>
            </w:r>
          </w:p>
        </w:tc>
        <w:tc>
          <w:tcPr>
            <w:tcW w:type="dxa" w:w="2880"/>
            <w:vAlign w:val="center"/>
          </w:tcPr>
          <w:p>
            <w:pPr>
              <w:spacing w:after="0"/>
            </w:pPr>
            <w:r>
              <w:rPr>
                <w:rFonts w:ascii="Times New Roman" w:hAnsi="Times New Roman" w:eastAsia="Times New Roman"/>
                <w:sz w:val="16"/>
              </w:rPr>
            </w:r>
            <w:r>
              <w:rPr>
                <w:rFonts w:ascii="Times New Roman" w:hAnsi="Times New Roman" w:eastAsia="Times New Roman"/>
                <w:b w:val="0"/>
                <w:sz w:val="16"/>
              </w:rPr>
              <w:t>2067.08.04</w:t>
            </w:r>
          </w:p>
        </w:tc>
      </w:tr>
      <w:tr>
        <w:tc>
          <w:tcPr>
            <w:tcW w:type="dxa" w:w="5760"/>
            <w:vAlign w:val="center"/>
          </w:tcPr>
          <w:p>
            <w:pPr>
              <w:spacing w:after="0"/>
            </w:pPr>
            <w:r>
              <w:rPr>
                <w:rFonts w:ascii="Times New Roman" w:hAnsi="Times New Roman" w:eastAsia="Times New Roman"/>
                <w:sz w:val="16"/>
              </w:rPr>
            </w:r>
            <w:r>
              <w:rPr>
                <w:rFonts w:ascii="Times New Roman" w:hAnsi="Times New Roman" w:eastAsia="Times New Roman"/>
                <w:b w:val="0"/>
                <w:sz w:val="16"/>
              </w:rPr>
              <w:t>Fourth amendment</w:t>
            </w:r>
          </w:p>
        </w:tc>
        <w:tc>
          <w:tcPr>
            <w:tcW w:type="dxa" w:w="2880"/>
            <w:vAlign w:val="center"/>
          </w:tcPr>
          <w:p>
            <w:pPr>
              <w:spacing w:after="0"/>
            </w:pPr>
            <w:r>
              <w:rPr>
                <w:rFonts w:ascii="Times New Roman" w:hAnsi="Times New Roman" w:eastAsia="Times New Roman"/>
                <w:sz w:val="16"/>
              </w:rPr>
            </w:r>
            <w:r>
              <w:rPr>
                <w:rFonts w:ascii="Times New Roman" w:hAnsi="Times New Roman" w:eastAsia="Times New Roman"/>
                <w:b w:val="0"/>
                <w:sz w:val="16"/>
              </w:rPr>
              <w:t>2071.03.29</w:t>
            </w:r>
          </w:p>
        </w:tc>
      </w:tr>
      <w:tr>
        <w:tc>
          <w:tcPr>
            <w:tcW w:type="dxa" w:w="5760"/>
            <w:vAlign w:val="center"/>
          </w:tcPr>
          <w:p>
            <w:pPr>
              <w:spacing w:after="0"/>
            </w:pPr>
            <w:r>
              <w:rPr>
                <w:rFonts w:ascii="Times New Roman" w:hAnsi="Times New Roman" w:eastAsia="Times New Roman"/>
                <w:sz w:val="16"/>
              </w:rPr>
            </w:r>
            <w:r>
              <w:rPr>
                <w:rFonts w:ascii="Times New Roman" w:hAnsi="Times New Roman" w:eastAsia="Times New Roman"/>
                <w:b w:val="0"/>
                <w:sz w:val="16"/>
              </w:rPr>
              <w:t>Fifth amendment</w:t>
            </w:r>
          </w:p>
        </w:tc>
        <w:tc>
          <w:tcPr>
            <w:tcW w:type="dxa" w:w="2880"/>
            <w:vAlign w:val="center"/>
          </w:tcPr>
          <w:p>
            <w:pPr>
              <w:spacing w:after="0"/>
            </w:pPr>
            <w:r>
              <w:rPr>
                <w:rFonts w:ascii="Times New Roman" w:hAnsi="Times New Roman" w:eastAsia="Times New Roman"/>
                <w:sz w:val="16"/>
              </w:rPr>
            </w:r>
            <w:r>
              <w:rPr>
                <w:rFonts w:ascii="Times New Roman" w:hAnsi="Times New Roman" w:eastAsia="Times New Roman"/>
                <w:b w:val="0"/>
                <w:sz w:val="16"/>
              </w:rPr>
              <w:t>2072.03.29</w:t>
            </w:r>
          </w:p>
        </w:tc>
      </w:tr>
      <w:tr>
        <w:tc>
          <w:tcPr>
            <w:tcW w:type="dxa" w:w="5760"/>
            <w:vAlign w:val="center"/>
          </w:tcPr>
          <w:p>
            <w:pPr>
              <w:spacing w:after="0"/>
            </w:pPr>
            <w:r>
              <w:rPr>
                <w:rFonts w:ascii="Times New Roman" w:hAnsi="Times New Roman" w:eastAsia="Times New Roman"/>
                <w:sz w:val="16"/>
              </w:rPr>
            </w:r>
            <w:r>
              <w:rPr>
                <w:rFonts w:ascii="Times New Roman" w:hAnsi="Times New Roman" w:eastAsia="Times New Roman"/>
                <w:b w:val="0"/>
                <w:sz w:val="16"/>
              </w:rPr>
              <w:t>Sixth amendment</w:t>
            </w:r>
          </w:p>
        </w:tc>
        <w:tc>
          <w:tcPr>
            <w:tcW w:type="dxa" w:w="2880"/>
            <w:vAlign w:val="center"/>
          </w:tcPr>
          <w:p>
            <w:pPr>
              <w:spacing w:after="0"/>
            </w:pPr>
            <w:r>
              <w:rPr>
                <w:rFonts w:ascii="Times New Roman" w:hAnsi="Times New Roman" w:eastAsia="Times New Roman"/>
                <w:sz w:val="16"/>
              </w:rPr>
            </w:r>
            <w:r>
              <w:rPr>
                <w:rFonts w:ascii="Times New Roman" w:hAnsi="Times New Roman" w:eastAsia="Times New Roman"/>
                <w:b w:val="0"/>
                <w:sz w:val="16"/>
              </w:rPr>
              <w:t>2073.02.15</w:t>
            </w:r>
          </w:p>
        </w:tc>
      </w:tr>
      <w:tr>
        <w:tc>
          <w:tcPr>
            <w:tcW w:type="dxa" w:w="5760"/>
            <w:vAlign w:val="center"/>
          </w:tcPr>
          <w:p>
            <w:pPr>
              <w:spacing w:after="0"/>
            </w:pPr>
            <w:r>
              <w:rPr>
                <w:rFonts w:ascii="Times New Roman" w:hAnsi="Times New Roman" w:eastAsia="Times New Roman"/>
                <w:sz w:val="16"/>
              </w:rPr>
            </w:r>
            <w:r>
              <w:rPr>
                <w:rFonts w:ascii="Times New Roman" w:hAnsi="Times New Roman" w:eastAsia="Times New Roman"/>
                <w:b w:val="0"/>
                <w:sz w:val="16"/>
              </w:rPr>
              <w:t>Seventh amendment</w:t>
            </w:r>
          </w:p>
        </w:tc>
        <w:tc>
          <w:tcPr>
            <w:tcW w:type="dxa" w:w="2880"/>
            <w:vAlign w:val="center"/>
          </w:tcPr>
          <w:p>
            <w:pPr>
              <w:spacing w:after="0"/>
            </w:pPr>
            <w:r>
              <w:rPr>
                <w:rFonts w:ascii="Times New Roman" w:hAnsi="Times New Roman" w:eastAsia="Times New Roman"/>
                <w:sz w:val="16"/>
              </w:rPr>
            </w:r>
            <w:r>
              <w:rPr>
                <w:rFonts w:ascii="Times New Roman" w:hAnsi="Times New Roman" w:eastAsia="Times New Roman"/>
                <w:b w:val="0"/>
                <w:sz w:val="16"/>
              </w:rPr>
              <w:t>2074.04.10</w:t>
            </w:r>
          </w:p>
        </w:tc>
      </w:tr>
      <w:tr>
        <w:tc>
          <w:tcPr>
            <w:tcW w:type="dxa" w:w="5760"/>
            <w:vAlign w:val="center"/>
          </w:tcPr>
          <w:p>
            <w:pPr>
              <w:spacing w:after="0"/>
            </w:pPr>
            <w:r>
              <w:rPr>
                <w:rFonts w:ascii="Times New Roman" w:hAnsi="Times New Roman" w:eastAsia="Times New Roman"/>
                <w:sz w:val="16"/>
              </w:rPr>
            </w:r>
            <w:r>
              <w:rPr>
                <w:rFonts w:ascii="Times New Roman" w:hAnsi="Times New Roman" w:eastAsia="Times New Roman"/>
                <w:b w:val="0"/>
                <w:sz w:val="16"/>
              </w:rPr>
              <w:t>Eighth amendment</w:t>
            </w:r>
          </w:p>
        </w:tc>
        <w:tc>
          <w:tcPr>
            <w:tcW w:type="dxa" w:w="2880"/>
            <w:vAlign w:val="center"/>
          </w:tcPr>
          <w:p>
            <w:pPr>
              <w:spacing w:after="0"/>
            </w:pPr>
            <w:r>
              <w:rPr>
                <w:rFonts w:ascii="Times New Roman" w:hAnsi="Times New Roman" w:eastAsia="Times New Roman"/>
                <w:sz w:val="16"/>
              </w:rPr>
            </w:r>
            <w:r>
              <w:rPr>
                <w:rFonts w:ascii="Times New Roman" w:hAnsi="Times New Roman" w:eastAsia="Times New Roman"/>
                <w:b w:val="0"/>
                <w:sz w:val="16"/>
              </w:rPr>
              <w:t>2075.02.22</w:t>
            </w:r>
          </w:p>
        </w:tc>
      </w:tr>
      <w:tr>
        <w:tc>
          <w:tcPr>
            <w:tcW w:type="dxa" w:w="5760"/>
            <w:vAlign w:val="center"/>
          </w:tcPr>
          <w:p>
            <w:pPr>
              <w:spacing w:after="0"/>
            </w:pPr>
            <w:r>
              <w:rPr>
                <w:rFonts w:ascii="Times New Roman" w:hAnsi="Times New Roman" w:eastAsia="Times New Roman"/>
                <w:sz w:val="16"/>
              </w:rPr>
            </w:r>
            <w:r>
              <w:rPr>
                <w:rFonts w:ascii="Times New Roman" w:hAnsi="Times New Roman" w:eastAsia="Times New Roman"/>
                <w:b w:val="0"/>
                <w:sz w:val="16"/>
              </w:rPr>
              <w:t>Ninth amendment</w:t>
            </w:r>
          </w:p>
        </w:tc>
        <w:tc>
          <w:tcPr>
            <w:tcW w:type="dxa" w:w="2880"/>
            <w:vAlign w:val="center"/>
          </w:tcPr>
          <w:p>
            <w:pPr>
              <w:spacing w:after="0"/>
            </w:pPr>
            <w:r>
              <w:rPr>
                <w:rFonts w:ascii="Times New Roman" w:hAnsi="Times New Roman" w:eastAsia="Times New Roman"/>
                <w:sz w:val="16"/>
              </w:rPr>
            </w:r>
            <w:r>
              <w:rPr>
                <w:rFonts w:ascii="Times New Roman" w:hAnsi="Times New Roman" w:eastAsia="Times New Roman"/>
                <w:b w:val="0"/>
                <w:sz w:val="16"/>
              </w:rPr>
              <w:t>2076.03.23</w:t>
            </w:r>
          </w:p>
        </w:tc>
      </w:tr>
      <w:tr>
        <w:tc>
          <w:tcPr>
            <w:tcW w:type="dxa" w:w="5760"/>
            <w:vAlign w:val="center"/>
          </w:tcPr>
          <w:p>
            <w:pPr>
              <w:spacing w:after="0"/>
            </w:pPr>
            <w:r>
              <w:rPr>
                <w:rFonts w:ascii="Times New Roman" w:hAnsi="Times New Roman" w:eastAsia="Times New Roman"/>
                <w:sz w:val="16"/>
              </w:rPr>
            </w:r>
            <w:r>
              <w:rPr>
                <w:rFonts w:ascii="Times New Roman" w:hAnsi="Times New Roman" w:eastAsia="Times New Roman"/>
                <w:b w:val="0"/>
                <w:sz w:val="16"/>
              </w:rPr>
              <w:t>Tenth amendment</w:t>
            </w:r>
          </w:p>
        </w:tc>
        <w:tc>
          <w:tcPr>
            <w:tcW w:type="dxa" w:w="2880"/>
            <w:vAlign w:val="center"/>
          </w:tcPr>
          <w:p>
            <w:pPr>
              <w:spacing w:after="0"/>
            </w:pPr>
            <w:r>
              <w:rPr>
                <w:rFonts w:ascii="Times New Roman" w:hAnsi="Times New Roman" w:eastAsia="Times New Roman"/>
                <w:sz w:val="16"/>
              </w:rPr>
            </w:r>
            <w:r>
              <w:rPr>
                <w:rFonts w:ascii="Times New Roman" w:hAnsi="Times New Roman" w:eastAsia="Times New Roman"/>
                <w:b w:val="0"/>
                <w:sz w:val="16"/>
              </w:rPr>
              <w:t>2076.11.22</w:t>
            </w:r>
          </w:p>
        </w:tc>
      </w:tr>
      <w:tr>
        <w:tc>
          <w:tcPr>
            <w:tcW w:type="dxa" w:w="5760"/>
            <w:vAlign w:val="center"/>
          </w:tcPr>
          <w:p>
            <w:pPr>
              <w:spacing w:after="0"/>
            </w:pPr>
            <w:r>
              <w:rPr>
                <w:rFonts w:ascii="Times New Roman" w:hAnsi="Times New Roman" w:eastAsia="Times New Roman"/>
                <w:sz w:val="16"/>
              </w:rPr>
            </w:r>
            <w:r>
              <w:rPr>
                <w:rFonts w:ascii="Times New Roman" w:hAnsi="Times New Roman" w:eastAsia="Times New Roman"/>
                <w:b w:val="0"/>
                <w:sz w:val="16"/>
              </w:rPr>
              <w:t>Eleventh amendment</w:t>
            </w:r>
          </w:p>
        </w:tc>
        <w:tc>
          <w:tcPr>
            <w:tcW w:type="dxa" w:w="2880"/>
            <w:vAlign w:val="center"/>
          </w:tcPr>
          <w:p>
            <w:pPr>
              <w:spacing w:after="0"/>
            </w:pPr>
            <w:r>
              <w:rPr>
                <w:rFonts w:ascii="Times New Roman" w:hAnsi="Times New Roman" w:eastAsia="Times New Roman"/>
                <w:sz w:val="16"/>
              </w:rPr>
            </w:r>
            <w:r>
              <w:rPr>
                <w:rFonts w:ascii="Times New Roman" w:hAnsi="Times New Roman" w:eastAsia="Times New Roman"/>
                <w:b w:val="0"/>
                <w:sz w:val="16"/>
              </w:rPr>
              <w:t>2077.03.01</w:t>
            </w:r>
          </w:p>
        </w:tc>
      </w:tr>
      <w:tr>
        <w:tc>
          <w:tcPr>
            <w:tcW w:type="dxa" w:w="5760"/>
            <w:vAlign w:val="center"/>
          </w:tcPr>
          <w:p>
            <w:pPr>
              <w:spacing w:after="0"/>
            </w:pPr>
            <w:r>
              <w:rPr>
                <w:rFonts w:ascii="Times New Roman" w:hAnsi="Times New Roman" w:eastAsia="Times New Roman"/>
                <w:sz w:val="16"/>
              </w:rPr>
            </w:r>
            <w:r>
              <w:rPr>
                <w:rFonts w:ascii="Times New Roman" w:hAnsi="Times New Roman" w:eastAsia="Times New Roman"/>
                <w:b w:val="0"/>
                <w:sz w:val="16"/>
              </w:rPr>
              <w:t>Twelfth amendment</w:t>
            </w:r>
          </w:p>
        </w:tc>
        <w:tc>
          <w:tcPr>
            <w:tcW w:type="dxa" w:w="2880"/>
            <w:vAlign w:val="center"/>
          </w:tcPr>
          <w:p>
            <w:pPr>
              <w:spacing w:after="0"/>
            </w:pPr>
            <w:r>
              <w:rPr>
                <w:rFonts w:ascii="Times New Roman" w:hAnsi="Times New Roman" w:eastAsia="Times New Roman"/>
                <w:sz w:val="16"/>
              </w:rPr>
            </w:r>
            <w:r>
              <w:rPr>
                <w:rFonts w:ascii="Times New Roman" w:hAnsi="Times New Roman" w:eastAsia="Times New Roman"/>
                <w:b w:val="0"/>
                <w:sz w:val="16"/>
              </w:rPr>
              <w:t>2078.02.17</w:t>
            </w:r>
          </w:p>
        </w:tc>
      </w:tr>
      <w:tr>
        <w:tc>
          <w:tcPr>
            <w:tcW w:type="dxa" w:w="5760"/>
            <w:vAlign w:val="center"/>
          </w:tcPr>
          <w:p>
            <w:pPr>
              <w:spacing w:after="0"/>
            </w:pPr>
            <w:r>
              <w:rPr>
                <w:rFonts w:ascii="Times New Roman" w:hAnsi="Times New Roman" w:eastAsia="Times New Roman"/>
                <w:sz w:val="16"/>
              </w:rPr>
            </w:r>
            <w:r>
              <w:rPr>
                <w:rFonts w:ascii="Times New Roman" w:hAnsi="Times New Roman" w:eastAsia="Times New Roman"/>
                <w:b w:val="0"/>
                <w:sz w:val="16"/>
              </w:rPr>
              <w:t>Thirteenth amendment</w:t>
            </w:r>
          </w:p>
        </w:tc>
        <w:tc>
          <w:tcPr>
            <w:tcW w:type="dxa" w:w="2880"/>
            <w:vAlign w:val="center"/>
          </w:tcPr>
          <w:p>
            <w:pPr>
              <w:spacing w:after="0"/>
            </w:pPr>
            <w:r>
              <w:rPr>
                <w:rFonts w:ascii="Times New Roman" w:hAnsi="Times New Roman" w:eastAsia="Times New Roman"/>
                <w:sz w:val="16"/>
              </w:rPr>
            </w:r>
            <w:r>
              <w:rPr>
                <w:rFonts w:ascii="Times New Roman" w:hAnsi="Times New Roman" w:eastAsia="Times New Roman"/>
                <w:b w:val="0"/>
                <w:sz w:val="16"/>
              </w:rPr>
              <w:t>2079.02.15</w:t>
            </w:r>
          </w:p>
        </w:tc>
      </w:tr>
      <w:tr>
        <w:tc>
          <w:tcPr>
            <w:tcW w:type="dxa" w:w="5760"/>
            <w:vAlign w:val="center"/>
          </w:tcPr>
          <w:p>
            <w:pPr>
              <w:spacing w:after="0"/>
            </w:pPr>
            <w:r>
              <w:rPr>
                <w:rFonts w:ascii="Times New Roman" w:hAnsi="Times New Roman" w:eastAsia="Times New Roman"/>
                <w:sz w:val="16"/>
              </w:rPr>
            </w:r>
            <w:r>
              <w:rPr>
                <w:rFonts w:ascii="Times New Roman" w:hAnsi="Times New Roman" w:eastAsia="Times New Roman"/>
                <w:b w:val="0"/>
                <w:sz w:val="16"/>
              </w:rPr>
              <w:t>Fourteenth amendment</w:t>
            </w:r>
          </w:p>
        </w:tc>
        <w:tc>
          <w:tcPr>
            <w:tcW w:type="dxa" w:w="2880"/>
            <w:vAlign w:val="center"/>
          </w:tcPr>
          <w:p>
            <w:pPr>
              <w:spacing w:after="0"/>
            </w:pPr>
            <w:r>
              <w:rPr>
                <w:rFonts w:ascii="Times New Roman" w:hAnsi="Times New Roman" w:eastAsia="Times New Roman"/>
                <w:sz w:val="16"/>
              </w:rPr>
            </w:r>
            <w:r>
              <w:rPr>
                <w:rFonts w:ascii="Times New Roman" w:hAnsi="Times New Roman" w:eastAsia="Times New Roman"/>
                <w:b w:val="0"/>
                <w:sz w:val="16"/>
              </w:rPr>
              <w:t>2080.02.15</w:t>
            </w:r>
          </w:p>
        </w:tc>
      </w:tr>
      <w:tr>
        <w:tc>
          <w:tcPr>
            <w:tcW w:type="dxa" w:w="5760"/>
            <w:vAlign w:val="center"/>
          </w:tcPr>
          <w:p>
            <w:pPr>
              <w:spacing w:after="0"/>
            </w:pPr>
            <w:r>
              <w:rPr>
                <w:rFonts w:ascii="Times New Roman" w:hAnsi="Times New Roman" w:eastAsia="Times New Roman"/>
                <w:sz w:val="16"/>
              </w:rPr>
            </w:r>
            <w:r>
              <w:rPr>
                <w:rFonts w:ascii="Times New Roman" w:hAnsi="Times New Roman" w:eastAsia="Times New Roman"/>
                <w:b w:val="0"/>
                <w:sz w:val="16"/>
              </w:rPr>
              <w:t>Fifteenth amendment</w:t>
            </w:r>
          </w:p>
        </w:tc>
        <w:tc>
          <w:tcPr>
            <w:tcW w:type="dxa" w:w="2880"/>
            <w:vAlign w:val="center"/>
          </w:tcPr>
          <w:p>
            <w:pPr>
              <w:spacing w:after="0"/>
            </w:pPr>
            <w:r>
              <w:rPr>
                <w:rFonts w:ascii="Times New Roman" w:hAnsi="Times New Roman" w:eastAsia="Times New Roman"/>
                <w:sz w:val="16"/>
              </w:rPr>
            </w:r>
            <w:r>
              <w:rPr>
                <w:rFonts w:ascii="Times New Roman" w:hAnsi="Times New Roman" w:eastAsia="Times New Roman"/>
                <w:b w:val="0"/>
                <w:sz w:val="16"/>
              </w:rPr>
              <w:t>2081.02.15</w:t>
            </w:r>
          </w:p>
        </w:tc>
      </w:tr>
    </w:tbl>
    <w:p>
      <w:r>
        <w:br w:type="page"/>
      </w:r>
    </w:p>
    <w:p>
      <w:pPr>
        <w:jc w:val="center"/>
      </w:pPr>
      <w:r>
        <w:rPr>
          <w:b/>
          <w:sz w:val="36"/>
        </w:rPr>
        <w:t>Income Tax Directive, 2066</w:t>
        <w:br/>
        <w:t>(Fifth Amendment, 2081)</w:t>
      </w:r>
    </w:p>
    <w:p>
      <w:pPr>
        <w:jc w:val="center"/>
      </w:pPr>
      <w:r>
        <w:rPr>
          <w:b/>
          <w:sz w:val="32"/>
        </w:rPr>
        <w:t>English Translation - Part 2</w:t>
      </w:r>
    </w:p>
    <w:p>
      <w:pPr>
        <w:jc w:val="center"/>
      </w:pPr>
      <w:r>
        <w:rPr>
          <w:sz w:val="26"/>
        </w:rPr>
        <w:t>Chapter 2: Definitions</w:t>
        <w:br/>
        <w:t>Original Directive pages 8-39</w:t>
      </w:r>
    </w:p>
    <w:p/>
    <w:p>
      <w:pPr>
        <w:jc w:val="center"/>
      </w:pPr>
      <w:r>
        <w:rPr>
          <w:i/>
        </w:rPr>
        <w:t>Translated from the Nepali text of the Income Tax Directive, 2066, published by the Inland Revenue Department, Government of Nepal.</w:t>
      </w:r>
    </w:p>
    <w:p>
      <w:r>
        <w:br w:type="page"/>
      </w:r>
    </w:p>
    <w:p>
      <w:pPr>
        <w:pStyle w:val="Heading1"/>
        <w:jc w:val="center"/>
      </w:pPr>
      <w:r>
        <w:t>Chapter 2</w:t>
      </w:r>
    </w:p>
    <w:p>
      <w:pPr>
        <w:pStyle w:val="Heading1"/>
        <w:jc w:val="center"/>
      </w:pPr>
      <w:r>
        <w:t>Definitions</w:t>
      </w:r>
    </w:p>
    <w:p>
      <w:pPr>
        <w:jc w:val="center"/>
      </w:pPr>
      <w:r>
        <w:t>(Definition)</w:t>
      </w:r>
    </w:p>
    <w:p>
      <w:pPr>
        <w:spacing w:after="120"/>
      </w:pPr>
      <w:r>
        <w:t>2.1 Section 2 of the Income Tax Act, 2058 defines the principal terms used in the Act from clause (a) to clause (ka). Where a term applies only to a particular section, sub-section or clause, its meaning is provided in that section, sub-section or clause itself. Terms used with the same meaning in more than one section or sub-section are defined in Section 2 of the Act. This Chapter explains the various terms defined in the Act.</w:t>
      </w:r>
    </w:p>
    <w:p>
      <w:pPr>
        <w:spacing w:after="120"/>
      </w:pPr>
      <w:r>
        <w:t>2.2 Definitions and explanations</w:t>
      </w:r>
    </w:p>
    <w:p>
      <w:pPr>
        <w:spacing w:after="120"/>
      </w:pPr>
      <w:r>
        <w:t>Unless the subject or context otherwise requires, the definitions given in Section 2 of the Act and their explanations shall be understood as follows:</w:t>
      </w:r>
    </w:p>
    <w:p>
      <w:pPr>
        <w:pStyle w:val="Heading2"/>
      </w:pPr>
      <w:r>
        <w:t>(a) Person making advance tax withholding</w:t>
      </w:r>
    </w:p>
    <w:p>
      <w:pPr>
        <w:pStyle w:val="Definition"/>
      </w:pPr>
      <w:r>
        <w:t>“Person making advance tax withholding” means a person who has the duty, under Chapter 17 of the Act, to withhold advance tax while making payments including payments for employment, investment return, service charge, and contract or agreement payments.</w:t>
      </w:r>
    </w:p>
    <w:p>
      <w:pPr>
        <w:spacing w:after="120"/>
      </w:pPr>
      <w:r>
        <w:t>The Income Tax Act, 2058 requires advance tax to be withheld from various payments specified under the Act before making the payment. When a payment is subject to advance tax withholding, the amount computed at the rate specified by the Act must be deducted and only the balance paid. Thus, a person withholding advance tax is the person having the obligation to make payment only after deducting advance tax.</w:t>
      </w:r>
    </w:p>
    <w:p>
      <w:pPr>
        <w:spacing w:after="120"/>
      </w:pPr>
      <w:r>
        <w:t>For example, where an entity pays taxable remuneration to its employees, the entity making the remuneration payment is the person making advance tax withholding. Similarly, if a company pays a consultant a service charge for work performed, the company is treated as the person responsible for withholding advance tax on the service charge payment.</w:t>
      </w:r>
    </w:p>
    <w:p>
      <w:pPr>
        <w:pStyle w:val="CrossRef"/>
      </w:pPr>
      <w:r>
        <w:t>Detailed explanation is given in Chapter 16 of this Directive.</w:t>
      </w:r>
    </w:p>
    <w:p>
      <w:pPr>
        <w:pStyle w:val="Heading2"/>
      </w:pPr>
      <w:r>
        <w:t>(b) Officer</w:t>
      </w:r>
    </w:p>
    <w:p>
      <w:pPr>
        <w:pStyle w:val="Definition"/>
      </w:pPr>
      <w:r>
        <w:t>“Officer” means the Director General, Deputy Director General, Chief Tax Administrator, Director, Chief Tax Officer, Tax Officer and other officers in the Department as referred to in Section 72 of the Act.</w:t>
      </w:r>
    </w:p>
    <w:p>
      <w:pPr>
        <w:spacing w:after="120"/>
      </w:pPr>
      <w:r>
        <w:t>Section 72 of the Act provides that the Inland Revenue Department is responsible for the implementation and administration of the Act. “Department” includes the Inland Revenue Department as well as Inland Revenue Offices, Large Taxpayer Office, Medium Level Taxpayer Office and Taxpayer Service Offices. For implementation of the Act, the Department and offices under it have the Director General, Deputy Directors General, Chief Tax Administrators, Directors, Chief Tax Officers, Section Officers, Tax Officers and other officers and employees. Under Section 72(4)(c), the Director General may also authorize a civil service officer to exercise certain powers.</w:t>
      </w:r>
    </w:p>
    <w:p>
      <w:pPr>
        <w:pStyle w:val="CrossRef"/>
      </w:pPr>
      <w:r>
        <w:t>Detailed discussion is given in Chapter 31.</w:t>
      </w:r>
    </w:p>
    <w:p>
      <w:pPr>
        <w:pStyle w:val="Heading2"/>
      </w:pPr>
      <w:r>
        <w:t>(c) Final withholding payment</w:t>
      </w:r>
    </w:p>
    <w:p>
      <w:pPr>
        <w:pStyle w:val="Definition"/>
      </w:pPr>
      <w:r>
        <w:t>“Final withholding payment” means a payment referred to in Section 92, including dividend, rent, gain, interest and a withholding-taxable payment made to a non-resident person.</w:t>
      </w:r>
    </w:p>
    <w:p>
      <w:pPr>
        <w:spacing w:after="120"/>
      </w:pPr>
      <w:r>
        <w:t>The Act treats withheld tax in two ways: tax creditable against the recipient’s annual tax liability, and final withholding tax. A creditable withholding amount is tax withheld in advance that the taxpayer may adjust against annual tax payable. A final withholding amount is the tax deducted at the time of payment at the rate specified in the Act, and that deduction itself becomes the final payment of tax.</w:t>
      </w:r>
    </w:p>
    <w:p>
      <w:pPr>
        <w:spacing w:after="120"/>
      </w:pPr>
      <w:r>
        <w:t>A taxpayer whose withholding is creditable must file an income return, include the gross payment in income, and deduct the tax withheld from the annual tax payable. Where the withholding is final, the tax deducted is the final tax; the taxpayer does not include that amount as income in the return and cannot credit the deducted tax against other tax liabilities.</w:t>
      </w:r>
    </w:p>
    <w:p>
      <w:pPr>
        <w:pStyle w:val="CrossRef"/>
      </w:pPr>
      <w:r>
        <w:t>Detailed explanation of final withholding payments is given in Chapter 16.</w:t>
      </w:r>
    </w:p>
    <w:p>
      <w:pPr>
        <w:pStyle w:val="Heading2"/>
      </w:pPr>
      <w:r>
        <w:t>(d) Retirement fund</w:t>
      </w:r>
    </w:p>
    <w:p>
      <w:pPr>
        <w:pStyle w:val="Definition"/>
      </w:pPr>
      <w:r>
        <w:t>“Retirement fund” means an entity established only for the purpose of accepting retirement contribution amounts and investing those amounts in order to provide retirement payments from the fund to individual beneficiaries of the entity or to their dependants.</w:t>
      </w:r>
    </w:p>
    <w:p>
      <w:pPr>
        <w:spacing w:after="120"/>
      </w:pPr>
      <w:r>
        <w:t>An entity operated only for retirement fund activities is called a retirement fund. Such a fund generally performs only the following functions:</w:t>
      </w:r>
    </w:p>
    <w:p>
      <w:pPr>
        <w:pStyle w:val="ListNumber"/>
        <w:spacing w:after="60"/>
      </w:pPr>
      <w:r>
        <w:t>accepting retirement contributions from natural persons;</w:t>
      </w:r>
    </w:p>
    <w:p>
      <w:pPr>
        <w:pStyle w:val="ListNumber"/>
        <w:spacing w:after="60"/>
      </w:pPr>
      <w:r>
        <w:t>making retirement payments to the contributor-beneficiary or to the beneficiary’s dependant after retirement or death; and</w:t>
      </w:r>
    </w:p>
    <w:p>
      <w:pPr>
        <w:pStyle w:val="ListNumber"/>
        <w:spacing w:after="60"/>
      </w:pPr>
      <w:r>
        <w:t>investing the retirement contributions collected.</w:t>
      </w:r>
    </w:p>
    <w:p>
      <w:pPr>
        <w:spacing w:after="120"/>
      </w:pPr>
      <w:r>
        <w:t>For tax purposes, retirement funds are of two types: approved retirement funds and unapproved retirement funds. Examples include the Employees Provident Fund, Citizen Investment Trust, Social Security Fund, pension funds, and entities approved by the Department to operate a retirement fund. Funds operated by such approved entities are approved retirement funds. A fund operated without approval from the Department is an unapproved retirement fund. A natural person beneficiary of an entity means a natural person entitled to income from that entity, such as a natural person who deposits retirement contributions in that fund.</w:t>
      </w:r>
    </w:p>
    <w:p>
      <w:pPr>
        <w:pStyle w:val="CrossRef"/>
      </w:pPr>
      <w:r>
        <w:t>Retirement funds are explained in detail in Chapter 12.</w:t>
      </w:r>
    </w:p>
    <w:p>
      <w:pPr>
        <w:pStyle w:val="Heading2"/>
      </w:pPr>
      <w:r>
        <w:t>(e) Retirement payment</w:t>
      </w:r>
    </w:p>
    <w:p>
      <w:pPr>
        <w:pStyle w:val="Definition"/>
      </w:pPr>
      <w:r>
        <w:t>“Retirement payment” means a payment made to: (1) a natural person upon retirement; or (2) the dependant of a natural person upon that person’s death.</w:t>
      </w:r>
    </w:p>
    <w:p>
      <w:pPr>
        <w:spacing w:after="120"/>
      </w:pPr>
      <w:r>
        <w:t>A retirement payment is a payment made after a natural person becomes, in principle, unable to continue employment, profession or business and retires from employment, profession or business. It also includes amounts paid to a dependant where the person entitled to receive them has died. Examples commonly include payments from a retirement fund against contributions, gratuity, provident fund, encashment of accumulated leave, medical treatment expenses, long service gratuity, welfare fund payments and similar payments received at retirement. Such payments may be made by the Government of Nepal, an approved retirement fund, an unapproved retirement fund, an employer or another fund.</w:t>
      </w:r>
    </w:p>
    <w:p>
      <w:pPr>
        <w:pStyle w:val="ListBullet"/>
        <w:spacing w:after="60"/>
      </w:pPr>
      <w:r>
        <w:t>Retirement payments by the Government of Nepal include payments made to government employees under service conditions after retirement from government service, such as gratuity, medical expenses, leave encashment and insurance.</w:t>
      </w:r>
    </w:p>
    <w:p>
      <w:pPr>
        <w:pStyle w:val="ListBullet"/>
        <w:spacing w:after="60"/>
      </w:pPr>
      <w:r>
        <w:t>Retirement payments from an approved retirement fund are made by retirement funds operated by the Citizen Investment Trust, Employees Provident Fund, Social Security Fund, pension funds, or funds operated with approval of the Department. Under Rule 20(2)(d), such payment may be made only where the employee or worker retires from service, the beneficiary reaches the age of 58 years, or the beneficiary dies or becomes permanently disabled.</w:t>
      </w:r>
    </w:p>
    <w:p>
      <w:pPr>
        <w:pStyle w:val="ListBullet"/>
        <w:spacing w:after="60"/>
      </w:pPr>
      <w:r>
        <w:t>Payments from an unapproved retirement fund are payments made by a retirement fund established for payment at retirement but operated without approval of the Department.</w:t>
      </w:r>
    </w:p>
    <w:p>
      <w:pPr>
        <w:pStyle w:val="ListBullet"/>
        <w:spacing w:after="60"/>
      </w:pPr>
      <w:r>
        <w:t>Other retirement payments include payments made by employers other than the Government of Nepal at the time of retirement, such as long service benefit, leave encashment and medical treatment expenses.</w:t>
      </w:r>
    </w:p>
    <w:p>
      <w:pPr>
        <w:spacing w:after="120"/>
      </w:pPr>
      <w:r>
        <w:t>Payments received before the conditions in Rule 20(2)(d) are fulfilled, for example long service gratuity, leave encashment or medical expenses received during service before retirement, are not treated as retirement payments. Such payments must be included in employment income. Similarly, a beneficiary who is not an employee making retirement contributions is not treated as receiving a retirement payment unless the payment is received after reaching 58 years of age, death or permanent disability. Amounts received otherwise must be included in income when received. However, loans taken by such beneficiaries from a retirement fund under the approved by-laws of the fund are not included in income. Since contributions to an unapproved retirement fund are not deductible, benefits paid from such funds are subject to final withholding tax at 5 percent on the gain, and the amount received is not included in income.</w:t>
      </w:r>
    </w:p>
    <w:p>
      <w:pPr>
        <w:pStyle w:val="CrossRef"/>
      </w:pPr>
      <w:r>
        <w:t>Retirement payments are discussed in Chapter 12, and withholding on retirement payments is discussed in Chapter 16.</w:t>
      </w:r>
    </w:p>
    <w:p>
      <w:pPr>
        <w:pStyle w:val="Heading2"/>
      </w:pPr>
      <w:r>
        <w:t>(f) Retirement contribution amount</w:t>
      </w:r>
    </w:p>
    <w:p>
      <w:pPr>
        <w:pStyle w:val="Definition"/>
      </w:pPr>
      <w:r>
        <w:t>“Retirement contribution amount” means a payment made to a retirement fund for making provision, or future provision, for retirement payment.</w:t>
      </w:r>
    </w:p>
    <w:p>
      <w:pPr>
        <w:spacing w:after="120"/>
      </w:pPr>
      <w:r>
        <w:t>This includes amounts contributed by a natural person, and also amounts deposited by an associated person, such as an employer, on behalf of that person.</w:t>
      </w:r>
    </w:p>
    <w:p>
      <w:pPr>
        <w:pStyle w:val="Example"/>
      </w:pPr>
      <w:r>
        <w:rPr>
          <w:b/>
        </w:rPr>
        <w:t xml:space="preserve">Example 2.1: </w:t>
      </w:r>
      <w:r>
        <w:t>Suppose Sujit Singh works at Kamal &amp; Co. Pvt. Ltd. with monthly remuneration of Rs. 20,000. The company deposits Rs. 2,000 per month in a retirement fund in his name, and Sujit also deposits Rs. 2,000 per month from his side. The total Rs. 4,000 is treated as Sujit’s retirement contribution amount.</w:t>
      </w:r>
    </w:p>
    <w:p>
      <w:pPr>
        <w:pStyle w:val="CrossRef"/>
      </w:pPr>
      <w:r>
        <w:t>Retirement contributions are explained in Chapters 12 and 16.</w:t>
      </w:r>
    </w:p>
    <w:p>
      <w:pPr>
        <w:pStyle w:val="Heading2"/>
      </w:pPr>
      <w:r>
        <w:t>(g) Incapacitated person</w:t>
      </w:r>
    </w:p>
    <w:p>
      <w:pPr>
        <w:pStyle w:val="Definition"/>
      </w:pPr>
      <w:r>
        <w:t>“Incapacitated person” means a person who, due to physical or mental illness, is not capable of managing his or her affairs.</w:t>
      </w:r>
    </w:p>
    <w:p>
      <w:pPr>
        <w:pStyle w:val="Heading2"/>
      </w:pPr>
      <w:r>
        <w:t>(h) Income</w:t>
      </w:r>
    </w:p>
    <w:p>
      <w:pPr>
        <w:pStyle w:val="Definition"/>
      </w:pPr>
      <w:r>
        <w:t>“Income” means income derived by a person from employment, business, investment or windfall gain, and also includes the total amount of such income calculated under the Act.</w:t>
      </w:r>
    </w:p>
    <w:p>
      <w:pPr>
        <w:pStyle w:val="Heading2"/>
      </w:pPr>
      <w:r>
        <w:t>(h1) Windfall gain</w:t>
      </w:r>
    </w:p>
    <w:p>
      <w:pPr>
        <w:pStyle w:val="Definition"/>
      </w:pPr>
      <w:r>
        <w:t>“Windfall gain” means a gain received casually or unexpectedly from lottery, gift, prize, reward, winnings or any other casual gain.</w:t>
      </w:r>
    </w:p>
    <w:p>
      <w:pPr>
        <w:spacing w:after="120"/>
      </w:pPr>
      <w:r>
        <w:t>A lottery, gift, prize, reward, winning or other amount received without certainty of being received and without the use of the recipient’s labour or capital is treated as a windfall gain.</w:t>
      </w:r>
    </w:p>
    <w:p>
      <w:pPr>
        <w:pStyle w:val="Heading2"/>
      </w:pPr>
      <w:r>
        <w:t>(i) Income year</w:t>
      </w:r>
    </w:p>
    <w:p>
      <w:pPr>
        <w:pStyle w:val="Definition"/>
      </w:pPr>
      <w:r>
        <w:t>“Income year” means the period from the first day of Shrawan of one year to the end of Ashad of the following year.</w:t>
      </w:r>
    </w:p>
    <w:p>
      <w:pPr>
        <w:spacing w:after="120"/>
      </w:pPr>
      <w:r>
        <w:t>An income year normally runs from Shrawan 1 to the end of Ashad of the next year. If a person is established or starts earning income during that period, the income year for that person begins on the date of establishment or commencement of income earning and ends on the immediately following Ashad end. Similarly, if a person’s business is closed or deemed to be closed, the income year runs only from Shrawan 1 to the date of closure or deemed closure.</w:t>
      </w:r>
    </w:p>
    <w:p>
      <w:pPr>
        <w:pStyle w:val="Example"/>
      </w:pPr>
      <w:r>
        <w:rPr>
          <w:b/>
        </w:rPr>
        <w:t xml:space="preserve">Example 2.2: </w:t>
      </w:r>
      <w:r>
        <w:t>Suppose Dhruv Company Pvt. Ltd. is liquidated on 2080.07.05. Its final income year will be from 2080.04.01 to 2080.07.05. If 50 percent or more of the company’s ownership changes on that date, then, under Section 57, for FY 2080/081, the period from 2080.04.01 to 2080.07.05 will be one income year and the period from 2080.07.06 to 2081.03.31 will be another income year.</w:t>
      </w:r>
    </w:p>
    <w:p>
      <w:pPr>
        <w:pStyle w:val="Heading2"/>
      </w:pPr>
      <w:r>
        <w:t>(j) Gift</w:t>
      </w:r>
    </w:p>
    <w:p>
      <w:pPr>
        <w:pStyle w:val="Definition"/>
      </w:pPr>
      <w:r>
        <w:t>“Gift” means a payment without consideration, or, where there is payment with consideration, the excess of the market value of the payment over the market value of the consideration.</w:t>
      </w:r>
    </w:p>
    <w:p>
      <w:pPr>
        <w:pStyle w:val="Example"/>
      </w:pPr>
      <w:r>
        <w:rPr>
          <w:b/>
        </w:rPr>
        <w:t xml:space="preserve">Example 2.3: </w:t>
      </w:r>
      <w:r>
        <w:t>Suppose Bishwabandhu buys a television costing Rs. 25,000. The seller also gives him a DVD worth Rs. 5,000 without taking any additional amount. The additional benefit received without payment is treated as a gift.</w:t>
      </w:r>
    </w:p>
    <w:p>
      <w:pPr>
        <w:pStyle w:val="Heading2"/>
      </w:pPr>
      <w:r>
        <w:t>(k) Debt obligation</w:t>
      </w:r>
    </w:p>
    <w:p>
      <w:pPr>
        <w:pStyle w:val="Definition"/>
      </w:pPr>
      <w:r>
        <w:t>“Debt obligation” means an obligation corresponding to a debt claim.</w:t>
      </w:r>
    </w:p>
    <w:p>
      <w:pPr>
        <w:spacing w:after="120"/>
      </w:pPr>
      <w:r>
        <w:t>Where a person has an obligation to pay another person under an arrangement and the obligation is to be settled after a specified period or event, it is a debt obligation. For example, where a person has taken a bank loan, the amount payable under the loan agreement is a debt obligation. Such amount includes both principal and the return on that principal, namely interest.</w:t>
      </w:r>
    </w:p>
    <w:p>
      <w:pPr>
        <w:pStyle w:val="Heading2"/>
      </w:pPr>
      <w:r>
        <w:t>(l) Debt claim</w:t>
      </w:r>
    </w:p>
    <w:p>
      <w:pPr>
        <w:pStyle w:val="Definition"/>
      </w:pPr>
      <w:r>
        <w:t>“Debt claim” means the right of one person to receive a payment from another person. It includes the right to recover an amount given by one person to another, deposits with banks and financial institutions, receivables, debentures, bills of exchange, bonds, rights under annuities, financial leases and rights to receive amounts from instalment sales.</w:t>
      </w:r>
    </w:p>
    <w:p>
      <w:pPr>
        <w:pStyle w:val="Heading2"/>
      </w:pPr>
      <w:r>
        <w:t>(m) Company</w:t>
      </w:r>
    </w:p>
    <w:p>
      <w:pPr>
        <w:pStyle w:val="Definition"/>
      </w:pPr>
      <w:r>
        <w:t>“Company” means a company incorporated under the prevailing company law. For tax purposes, the following are also treated as companies:</w:t>
      </w:r>
    </w:p>
    <w:p>
      <w:pPr>
        <w:pStyle w:val="ListNumber"/>
        <w:spacing w:after="60"/>
      </w:pPr>
      <w:r>
        <w:t>a body corporate established under the prevailing law;</w:t>
      </w:r>
    </w:p>
    <w:p>
      <w:pPr>
        <w:pStyle w:val="ListNumber"/>
        <w:spacing w:after="60"/>
      </w:pPr>
      <w:r>
        <w:t>any unincorporated association, committee, organization, society, group of persons or trust, other than a registered or unregistered proprietorship firm or partnership;</w:t>
      </w:r>
    </w:p>
    <w:p>
      <w:pPr>
        <w:pStyle w:val="ListNumber"/>
        <w:spacing w:after="60"/>
      </w:pPr>
      <w:r>
        <w:t>a partnership firm, registered or unregistered, with twenty or more partners, a retirement fund, a cooperative organization, a unit trust or a joint venture;</w:t>
      </w:r>
    </w:p>
    <w:p>
      <w:pPr>
        <w:pStyle w:val="ListNumber"/>
        <w:spacing w:after="60"/>
      </w:pPr>
      <w:r>
        <w:t>a foreign company; and</w:t>
      </w:r>
    </w:p>
    <w:p>
      <w:pPr>
        <w:pStyle w:val="ListNumber"/>
        <w:spacing w:after="60"/>
      </w:pPr>
      <w:r>
        <w:t>any other foreign organization specified by the Director General.</w:t>
      </w:r>
    </w:p>
    <w:p>
      <w:pPr>
        <w:spacing w:after="120"/>
      </w:pPr>
      <w:r>
        <w:t>For income-tax purposes, incorporated organizations registered under prevailing law, such as private limited companies, public companies, corporations, associations, NGOs and INGOs, are treated as companies. In other words, except for proprietorship firms and partnership firms with fewer than twenty partners, all organized entities are treated as companies.</w:t>
      </w:r>
    </w:p>
    <w:p>
      <w:pPr>
        <w:pStyle w:val="Heading2"/>
      </w:pPr>
      <w:r>
        <w:t>(n) Tax</w:t>
      </w:r>
    </w:p>
    <w:p>
      <w:pPr>
        <w:pStyle w:val="Definition"/>
      </w:pPr>
      <w:r>
        <w:t>“Tax” means tax imposed under the Act and includes the following payments:</w:t>
      </w:r>
    </w:p>
    <w:p>
      <w:pPr>
        <w:pStyle w:val="ListNumber"/>
        <w:spacing w:after="60"/>
      </w:pPr>
      <w:r>
        <w:t>expenses incurred by the Department under Section 104(8)(a) in making claims over, and selling by auction, property of a person with tax arrears;</w:t>
      </w:r>
    </w:p>
    <w:p>
      <w:pPr>
        <w:pStyle w:val="ListNumber"/>
        <w:spacing w:after="60"/>
      </w:pPr>
      <w:r>
        <w:t>amounts payable under Section 90 by a person withholding advance tax or a person subject to tax withholding, amounts payable under Section 94 by a person required to pay tax by instalments, amounts payable under Section 95A by a person required to pay advance tax, and amounts payable under assessments made under Sections 99, 100 and 101;</w:t>
      </w:r>
    </w:p>
    <w:p>
      <w:pPr>
        <w:pStyle w:val="ListNumber"/>
        <w:spacing w:after="60"/>
      </w:pPr>
      <w:r>
        <w:t>amounts payable to the Department in relation to a third party’s tax liability under Section 107(2), Section 108(3) or (4), Section 109(1) and Section 110(1);</w:t>
      </w:r>
    </w:p>
    <w:p>
      <w:pPr>
        <w:pStyle w:val="ListNumber"/>
        <w:spacing w:after="60"/>
      </w:pPr>
      <w:r>
        <w:t>amounts payable as fee and interest under Chapter 22; and</w:t>
      </w:r>
    </w:p>
    <w:p>
      <w:pPr>
        <w:pStyle w:val="ListNumber"/>
        <w:spacing w:after="60"/>
      </w:pPr>
      <w:r>
        <w:t>penalty amounts under Section 129 required to be deposited as ordered by the Department.</w:t>
      </w:r>
    </w:p>
    <w:p>
      <w:pPr>
        <w:pStyle w:val="ListBullet"/>
        <w:spacing w:after="60"/>
      </w:pPr>
      <w:r>
        <w:t>Where the Government of Nepal has a claim on property of a person with tax arrears under Section 104, the expenses incurred by the Department in making the claim and auctioning the property, such as auction notice expenses and legal expenses, are also treated as tax.</w:t>
      </w:r>
    </w:p>
    <w:p>
      <w:pPr>
        <w:pStyle w:val="ListBullet"/>
        <w:spacing w:after="60"/>
      </w:pPr>
      <w:r>
        <w:t>Under Section 90, a person required to withhold advance tax must deposit the tax withheld, or deemed to have been withheld, within 25 days after the end of the month. If the amount is not deposited on time, or if a recipient receives payment without withholding, the recipient must deposit the advance tax within 25 days after the payer’s due date. Such amounts are also treated as tax.</w:t>
      </w:r>
    </w:p>
    <w:p>
      <w:pPr>
        <w:pStyle w:val="ListBullet"/>
        <w:spacing w:after="60"/>
      </w:pPr>
      <w:r>
        <w:t>Amounts payable as instalment tax under Section 94, self-assessed tax under Section 99, jeopardy assessment under Section 100 and amended assessment under Section 101 are also treated as tax.</w:t>
      </w:r>
    </w:p>
    <w:p>
      <w:pPr>
        <w:pStyle w:val="ListBullet"/>
        <w:spacing w:after="60"/>
      </w:pPr>
      <w:r>
        <w:t>Under Section 107(2), if an entity does not pay tax by the due date, managers or officers acting in that capacity who are currently in office or were in office up to six months earlier may be jointly and severally responsible for payment. Such amounts are also tax.</w:t>
      </w:r>
    </w:p>
    <w:p>
      <w:pPr>
        <w:pStyle w:val="ListBullet"/>
        <w:spacing w:after="60"/>
      </w:pPr>
      <w:r>
        <w:t>Under Section 108(3) and (4), where a receiver sells property under control, the withheld tax amount must first be set aside from the sale proceeds. For other tax arrears, after paying secured creditors with priority over tax, the receiver must set aside and pay the tax notified by the Department.</w:t>
      </w:r>
    </w:p>
    <w:p>
      <w:pPr>
        <w:pStyle w:val="Example"/>
      </w:pPr>
      <w:r>
        <w:rPr>
          <w:b/>
        </w:rPr>
        <w:t xml:space="preserve">Example 2.4: </w:t>
      </w:r>
      <w:r>
        <w:t>Suppose Yuddha Prasad is appointed liquidator of a limited liability company. At liquidation, the company has Rs. 1,000,000 of withheld tax and Rs. 3,000,000 of other tax arrears. The Department has notified the receiver of the arrears and directed payment. After selling the company’s property and deducting liquidation costs, Rs. 10,000,000 remains. Apart from tax arrears, there is a secured loan of Rs. 3,000,000 with priority over tax, and unsecured liabilities of Rs. 5,000,000. Before deducting liquidation expenses, the receiver must first settle Rs. 1,000,000 of withheld tax. Thereafter, after paying liquidation expenses and the Rs. 3,000,000 secured loan with priority, the remaining amount must first be used to pay Rs. 3,000,000 of other tax arrears. The remaining Rs. 3,000,000 is distributed proportionately among other unsecured liabilities.</w:t>
      </w:r>
    </w:p>
    <w:p>
      <w:pPr>
        <w:pStyle w:val="ListBullet"/>
        <w:spacing w:after="60"/>
      </w:pPr>
      <w:r>
        <w:t>Under Section 109(1), where a person with tax arrears fails to pay by the due date, the Department may issue a written notice to a person making payment to that taxpayer, holding property of that taxpayer, holding property on behalf of a third person for that taxpayer, or authorized to pay money to that taxpayer, ordering such person to pay the tax on behalf of the taxpayer in arrears. Such amount is also tax.</w:t>
      </w:r>
    </w:p>
    <w:p>
      <w:pPr>
        <w:pStyle w:val="ListBullet"/>
        <w:spacing w:after="60"/>
      </w:pPr>
      <w:r>
        <w:t>Under Section 110(1), where a non-resident with tax arrears fails to pay by the due date, the Department may issue a written notice to a person holding property owned by the non-resident, ordering payment up to the market value of the property and not exceeding the tax arrears. Such amount is also tax.</w:t>
      </w:r>
    </w:p>
    <w:p>
      <w:pPr>
        <w:pStyle w:val="Heading2"/>
      </w:pPr>
      <w:r>
        <w:t>(o) Person subject to tax withholding</w:t>
      </w:r>
    </w:p>
    <w:p>
      <w:pPr>
        <w:pStyle w:val="Definition"/>
      </w:pPr>
      <w:r>
        <w:t>“Person subject to tax withholding” means a person who receives, or is entitled to receive, payment after tax has been withheld under Chapter 17 of the Act from payments including employment, investment return, service charge and contract or agreement payments.</w:t>
      </w:r>
    </w:p>
    <w:p>
      <w:pPr>
        <w:spacing w:after="120"/>
      </w:pPr>
      <w:r>
        <w:t>A person subject to tax withholding is the person who receives payment after tax is deducted at source. The person withholding tax is discussed in paragraph 2.2(a), and provisions on withholding are explained in Chapter 16.</w:t>
      </w:r>
    </w:p>
    <w:p>
      <w:pPr>
        <w:pStyle w:val="Heading2"/>
      </w:pPr>
      <w:r>
        <w:t>(p) Tax assessment</w:t>
      </w:r>
    </w:p>
    <w:p>
      <w:pPr>
        <w:pStyle w:val="Definition"/>
      </w:pPr>
      <w:r>
        <w:t>“Tax assessment” means an assessment made under the Act and includes assessment of fees and interest under Section 122. However, it does not include an earlier assessment that has been replaced by an amended assessment under Section 101.</w:t>
      </w:r>
    </w:p>
    <w:p>
      <w:pPr>
        <w:spacing w:after="120"/>
      </w:pPr>
      <w:r>
        <w:t>The Act provides three forms of assessment:</w:t>
      </w:r>
    </w:p>
    <w:p>
      <w:pPr>
        <w:pStyle w:val="ListNumber"/>
        <w:spacing w:after="60"/>
      </w:pPr>
      <w:r>
        <w:t>self-assessment under Section 99, where the person with tax liability assesses his or her own tax;</w:t>
      </w:r>
    </w:p>
    <w:p>
      <w:pPr>
        <w:pStyle w:val="ListNumber"/>
        <w:spacing w:after="60"/>
      </w:pPr>
      <w:r>
        <w:t>jeopardy assessment under Section 100 for an income year or part of an income year before the taxpayer’s due date for filing the income return; and</w:t>
      </w:r>
    </w:p>
    <w:p>
      <w:pPr>
        <w:pStyle w:val="ListNumber"/>
        <w:spacing w:after="60"/>
      </w:pPr>
      <w:r>
        <w:t>amended assessment by the Department under Section 101 to adjust a person’s tax liability assessed by self-assessment or jeopardy assessment on a justifiable basis in accordance with the objective of the Act.</w:t>
      </w:r>
    </w:p>
    <w:p>
      <w:pPr>
        <w:spacing w:after="120"/>
      </w:pPr>
      <w:r>
        <w:t>Since an amended assessment replaces the former assessment, after such amendment the earlier self-assessment or jeopardy assessment is no longer treated as the assessment. Where a taxpayer does not file an income return by the prescribed deadline, Section 99(2) provides that tax is deemed to have been automatically assessed on the last day for filing the return. Fees and interest computed by the Department under Section 122 are also treated as tax assessment. This includes: fee for failure to keep documents or late filing under Section 117; interest for under-estimation of instalment tax under Section 118; interest for non-payment of tax under Section 119; fee for failure to comply with the Act or Rules under Section 119A; fee for filing false or misleading statements under Section 120; and fee on an accomplice who knowingly or negligently assists, encourages or advises the commission of an offence under the Act under Section 121.</w:t>
      </w:r>
    </w:p>
    <w:p>
      <w:pPr>
        <w:pStyle w:val="Heading2"/>
      </w:pPr>
      <w:r>
        <w:t>(p1) Turnover / transaction</w:t>
      </w:r>
    </w:p>
    <w:p>
      <w:pPr>
        <w:pStyle w:val="Definition"/>
      </w:pPr>
      <w:r>
        <w:t>“Turnover” means the total amount to be included under Sections 7, 8 or 9 for computing income from employment, business or investment for an income year.</w:t>
      </w:r>
    </w:p>
    <w:p>
      <w:pPr>
        <w:pStyle w:val="Heading2"/>
      </w:pPr>
      <w:r>
        <w:t>(q) Non-resident person</w:t>
      </w:r>
    </w:p>
    <w:p>
      <w:pPr>
        <w:pStyle w:val="Definition"/>
      </w:pPr>
      <w:r>
        <w:t>“Non-resident person” means a person other than a resident person.</w:t>
      </w:r>
    </w:p>
    <w:p>
      <w:pPr>
        <w:spacing w:after="120"/>
      </w:pPr>
      <w:r>
        <w:t>The term resident person is explained in paragraph 2.2(kaṅ) below.</w:t>
      </w:r>
    </w:p>
    <w:p>
      <w:pPr>
        <w:pStyle w:val="Heading2"/>
      </w:pPr>
      <w:r>
        <w:t>(r) Non-business taxable asset</w:t>
      </w:r>
    </w:p>
    <w:p>
      <w:pPr>
        <w:pStyle w:val="Definition"/>
      </w:pPr>
      <w:r>
        <w:t>“Non-business taxable asset” means land, building, or an interest or security in an entity, other than the following assets:</w:t>
      </w:r>
    </w:p>
    <w:p>
      <w:pPr>
        <w:pStyle w:val="ListNumber"/>
        <w:spacing w:after="60"/>
      </w:pPr>
      <w:r>
        <w:t>business asset, depreciable property or stock-in-trade;</w:t>
      </w:r>
    </w:p>
    <w:p>
      <w:pPr>
        <w:pStyle w:val="ListNumber"/>
        <w:spacing w:after="60"/>
      </w:pPr>
      <w:r>
        <w:t>a private building of a natural person that has been owned continuously for ten years or more and in which that person has resided continuously or repeatedly for a total period of ten years or more. For this purpose, “private building” means the building, the land occupied by the building and additional land equal to the area occupied by the building, or one ropani of land, whichever is less;</w:t>
      </w:r>
    </w:p>
    <w:p>
      <w:pPr>
        <w:pStyle w:val="ListNumber"/>
        <w:spacing w:after="60"/>
      </w:pPr>
      <w:r>
        <w:t>a beneficiary’s interest in a retirement fund;</w:t>
      </w:r>
    </w:p>
    <w:p>
      <w:pPr>
        <w:pStyle w:val="ListNumber"/>
        <w:spacing w:after="60"/>
      </w:pPr>
      <w:r>
        <w:t>land, house-land and private building disposed of by a natural person for a value of less than Rs. 1,000,000; or</w:t>
      </w:r>
    </w:p>
    <w:p>
      <w:pPr>
        <w:pStyle w:val="ListNumber"/>
        <w:spacing w:after="60"/>
      </w:pPr>
      <w:r>
        <w:t>property disposed of by transfer other than sale-purchase within three generations.</w:t>
      </w:r>
    </w:p>
    <w:p>
      <w:pPr>
        <w:spacing w:after="120"/>
      </w:pPr>
      <w:r>
        <w:t>For tax purposes, assets are broadly grouped as: assets used in business, namely stock-in-trade, depreciable property and business assets; assets used in investment, namely non-business taxable assets and depreciable property; and personal assets used by a natural person for private purposes.</w:t>
      </w:r>
    </w:p>
    <w:p>
      <w:pPr>
        <w:spacing w:after="120"/>
      </w:pPr>
      <w:r>
        <w:t>A building owned by a natural person is a non-business taxable asset only in the following circumstances:</w:t>
      </w:r>
    </w:p>
    <w:p>
      <w:pPr>
        <w:pStyle w:val="ListBullet"/>
        <w:spacing w:after="60"/>
      </w:pPr>
      <w:r>
        <w:t>Period: where the ownership period and the period of residence are less than ten years.</w:t>
      </w:r>
    </w:p>
    <w:p>
      <w:pPr>
        <w:pStyle w:val="Example"/>
      </w:pPr>
      <w:r>
        <w:rPr>
          <w:b/>
        </w:rPr>
        <w:t>Example 2.5: Prem Prasad Acharya purchased a building in Kathmandu on Kartik 23, 2070 for Rs. 20,000,000 and sold it on Push 26, 2080 for Rs. 30,000,000. During the period from Kartik 23, 2070 to Push 26, 2080, he was abroad for a total of 120 days. Although he owned the building for more than ten years, he resided in it for less than ten years in total. Therefore, the building is a non-business taxable asset. Had he sold it two months later, the condition of residence for more than ten years would also have been fulfilled and it would not have been treated as a non-business taxable asset.</w:t>
      </w:r>
      <w:r/>
    </w:p>
    <w:p>
      <w:pPr>
        <w:pStyle w:val="ListBullet"/>
        <w:spacing w:after="60"/>
      </w:pPr>
      <w:r>
        <w:t>Area: where only a building is sold, or a building with land is sold, only the building, the land occupied by it and additional land equal to the area occupied by the building, up to one ropani (5,476 sq. ft. or 508.74 sq. m.), are outside the scope.</w:t>
      </w:r>
    </w:p>
    <w:p>
      <w:pPr>
        <w:pStyle w:val="Example"/>
      </w:pPr>
      <w:r>
        <w:rPr>
          <w:b/>
        </w:rPr>
        <w:t>Example 2.5.1: In Example 2.5, if the property consisted only of the building, or a building with land, then to the extent of the building, the land occupied by it and additional land equal to that area, or one ropani, whichever is less, the property would not have been a non-business taxable asset.</w:t>
      </w:r>
      <w:r/>
    </w:p>
    <w:p>
      <w:pPr>
        <w:pStyle w:val="ListBullet"/>
        <w:spacing w:after="60"/>
      </w:pPr>
      <w:r>
        <w:t>Value limit: where the amount received, or deemed to be received, on disposal is Rs. 1,000,000 or more.</w:t>
      </w:r>
    </w:p>
    <w:p>
      <w:pPr>
        <w:pStyle w:val="Example"/>
      </w:pPr>
      <w:r>
        <w:rPr>
          <w:b/>
        </w:rPr>
        <w:t>Example 2.5.2: If the building in the above example had been sold for less than Rs. 1,000,000, it would not have been treated as a non-business taxable asset.</w:t>
      </w:r>
      <w:r/>
    </w:p>
    <w:p>
      <w:pPr>
        <w:pStyle w:val="ListBullet"/>
        <w:spacing w:after="60"/>
      </w:pPr>
      <w:r>
        <w:t>Generation relationship: where a building is transferred without consideration within three generations, such as by partition, inheritance, gift deed or transfer after death, it is not a non-business taxable asset. If the property is transferred by gift deed or similar process by a person outside three generations, it is treated as a non-business taxable asset.</w:t>
      </w:r>
    </w:p>
    <w:p>
      <w:pPr>
        <w:pStyle w:val="Example"/>
      </w:pPr>
      <w:r>
        <w:rPr>
          <w:b/>
        </w:rPr>
        <w:t>Example 2.5.3: In Example 2.5 the building became a non-business taxable asset when sold. If it had been transferred free of cost within three generations, it would not have been a non-business taxable asset.</w:t>
      </w:r>
      <w:r/>
    </w:p>
    <w:p>
      <w:pPr>
        <w:spacing w:after="120"/>
      </w:pPr>
      <w:r>
        <w:t>Land owned by a natural person is a non-business taxable asset only where the amount received or deemed to be received on disposal is Rs. 1,000,000 or more, and the transfer is not a free family transfer within three generations.</w:t>
      </w:r>
    </w:p>
    <w:p>
      <w:pPr>
        <w:pStyle w:val="Example"/>
      </w:pPr>
      <w:r>
        <w:rPr>
          <w:b/>
        </w:rPr>
        <w:t>Example 2.6: Laxmi Rimal purchased land in Kathmandu on Marga 3, 2075 for Rs. 2,000,000 and sold it on Ashwin 6, 2080 for Rs. 4,500,000. Since the sale value exceeds Rs. 1,000,000, the land is a non-business taxable asset.</w:t>
      </w:r>
      <w:r/>
    </w:p>
    <w:p>
      <w:pPr>
        <w:pStyle w:val="Example"/>
      </w:pPr>
      <w:r>
        <w:rPr>
          <w:b/>
        </w:rPr>
        <w:t>Example 2.7: Yuvraj Basnet transferred land worth Rs. 50,000,000, purchased one year earlier, to his grandson by gift deed. Although the market value at transfer was Rs. 60,000,000, the property is not a non-business taxable asset because it is a free transfer within three generations.</w:t>
      </w:r>
      <w:r/>
    </w:p>
    <w:p>
      <w:pPr>
        <w:spacing w:after="120"/>
      </w:pPr>
      <w:r>
        <w:t>Securities such as shares, bonds and debentures owned by a natural person are treated as non-business taxable assets when disposed of by sale-purchase or other transfer, whether within or outside three generations, except for a free transfer of rights within three generations.</w:t>
      </w:r>
    </w:p>
    <w:p>
      <w:pPr>
        <w:pStyle w:val="Heading2"/>
      </w:pPr>
      <w:r>
        <w:t>(s) Exempt organization</w:t>
      </w:r>
    </w:p>
    <w:p>
      <w:pPr>
        <w:pStyle w:val="Definition"/>
      </w:pPr>
      <w:r>
        <w:t>“Exempt organization” means the following entities:</w:t>
      </w:r>
    </w:p>
    <w:p>
      <w:pPr>
        <w:pStyle w:val="ListNumber"/>
        <w:spacing w:after="60"/>
      </w:pPr>
      <w:r>
        <w:t>entities registered with the Department as organizations entitled to enjoy exemption, namely: (a) social, religious, educational or charitable organizations of public character established without the objective of earning profit; and (b) amateur sports organizations formed to promote social or sporting facilities without members taking benefits; and</w:t>
      </w:r>
    </w:p>
    <w:p>
      <w:pPr>
        <w:pStyle w:val="ListNumber"/>
        <w:spacing w:after="60"/>
      </w:pPr>
      <w:r>
        <w:t>political parties registered with the Election Commission.</w:t>
      </w:r>
    </w:p>
    <w:p>
      <w:pPr>
        <w:spacing w:after="120"/>
      </w:pPr>
      <w:r>
        <w:t>However, except where work is performed in accordance with the organization’s objective or a payment is made for property or services provided by any person to the organization, if any benefit is conferred on any person out of the organization’s property or the amount received by it, the organization is not entitled to tax exemption under this definition.</w:t>
      </w:r>
    </w:p>
    <w:p>
      <w:pPr>
        <w:spacing w:after="120"/>
      </w:pPr>
      <w:r>
        <w:t>Rule 3 of the Income Tax Rules, 2059 sets out the process for applying to the Department for tax exemption. Rule 5A requires such entities to file income returns and renew exemption. For tax exemption, the following matters are relevant:</w:t>
      </w:r>
    </w:p>
    <w:p>
      <w:pPr>
        <w:pStyle w:val="ListBullet"/>
        <w:spacing w:after="60"/>
      </w:pPr>
      <w:r>
        <w:t>The organization must be non-profit and of public social, religious, educational or charitable nature, or an amateur organization formed to promote social or sports facilities without benefit to the organization or its members.</w:t>
      </w:r>
    </w:p>
    <w:p>
      <w:pPr>
        <w:pStyle w:val="ListBullet"/>
        <w:spacing w:after="60"/>
      </w:pPr>
      <w:r>
        <w:t>Only donations, gifts or other contributions directly related to the organization’s work and made without expectation of return are eligible for exemption.</w:t>
      </w:r>
    </w:p>
    <w:p>
      <w:pPr>
        <w:pStyle w:val="ListBullet"/>
        <w:spacing w:after="60"/>
      </w:pPr>
      <w:r>
        <w:t>If an exempt organization receives any amount that is a taxable payment, the payer must withhold advance tax.</w:t>
      </w:r>
    </w:p>
    <w:p>
      <w:pPr>
        <w:pStyle w:val="Example"/>
      </w:pPr>
      <w:r>
        <w:rPr>
          <w:b/>
        </w:rPr>
        <w:t xml:space="preserve">Example 2.8: </w:t>
      </w:r>
      <w:r>
        <w:t>An exempt organization receives Rs. 100,000 from a business entity to conduct research on a social issue. If the research activity is not within the objectives of the organization, the payer must withhold 15 percent, i.e., Rs. 15,000, and pay only the balance to the organization.</w:t>
      </w:r>
    </w:p>
    <w:p>
      <w:pPr>
        <w:pStyle w:val="ListBullet"/>
        <w:spacing w:after="60"/>
      </w:pPr>
      <w:r>
        <w:t>An amount received by a organization entitled to enjoy exemption in competition with taxable persons or organizations is not eligible for exemption.</w:t>
      </w:r>
    </w:p>
    <w:p>
      <w:pPr>
        <w:pStyle w:val="Example"/>
      </w:pPr>
      <w:r>
        <w:rPr>
          <w:b/>
        </w:rPr>
        <w:t>Example 2.9: An international NGO selects a tax-exempt NGO, through competition with business organizations, to conduct computer training for street children. The amount paid for the training is a service charge, not a grant given to a tax-exempt entity, and therefore is not exempt.</w:t>
      </w:r>
      <w:r/>
    </w:p>
    <w:p>
      <w:pPr>
        <w:pStyle w:val="ListBullet"/>
        <w:spacing w:after="60"/>
      </w:pPr>
      <w:r>
        <w:t>Where a organization entitled to enjoy exemption acts contrary to the objectives stated in its statute, payment received for such activity is not exempt.</w:t>
      </w:r>
    </w:p>
    <w:p>
      <w:pPr>
        <w:pStyle w:val="ListBullet"/>
        <w:spacing w:after="60"/>
      </w:pPr>
      <w:r>
        <w:t>The auditor of the organization must state in the audit report whether the organization has made advance tax withholding under the Income Tax Act, 2058 and whether it has acted only according to its objectives.</w:t>
      </w:r>
    </w:p>
    <w:p>
      <w:pPr>
        <w:spacing w:after="120"/>
      </w:pPr>
      <w:r>
        <w:t>Political parties registered with the Election Commission are tax-exempt entities under the Act and do not need separate registration with the Department for exemption. However, if a benefit is provided to any person out of the property or amounts received by an exempt organization, except as part of its objective or for payment for property or services provided to it, exemption is not available. For example, if the chairperson of an exempt organization uses the organization’s accumulated amount for personal purposes, the organization does not continue to qualify as tax-exempt.</w:t>
      </w:r>
    </w:p>
    <w:p>
      <w:pPr>
        <w:pStyle w:val="Heading2"/>
      </w:pPr>
      <w:r>
        <w:t>(t) Trust</w:t>
      </w:r>
    </w:p>
    <w:p>
      <w:pPr>
        <w:pStyle w:val="Definition"/>
      </w:pPr>
      <w:r>
        <w:t>“Trust” means an arrangement under which a trustee holds property. It does not include a partnership, body corporate, or the organization referred to in sub-clause (3) of clause (m).</w:t>
      </w:r>
    </w:p>
    <w:p>
      <w:pPr>
        <w:spacing w:after="120"/>
      </w:pPr>
      <w:r>
        <w:t>A trust is an arrangement for holding and supporting the property of a physically or mentally incapacitated person or a deceased person. For some unusual taxpayers, a trust is an entity that arises automatically for the purpose of paying tax.</w:t>
      </w:r>
    </w:p>
    <w:p>
      <w:pPr>
        <w:spacing w:after="120"/>
      </w:pPr>
      <w:r>
        <w:t>For example, if the proprietor of Bhajan Brothers dies on Magh 24, someone must file the income return for the business carried on from Shrawan 1 to Magh 24, including the gain deemed to arise under Section 44 by treating all business assets as sold at market value immediately before death, and someone must also take responsibility for the deceased person’s property. For tax purposes, the person or group assisting in paying the tax of the deceased person, or taking responsibility for the property in that situation, is a trust.</w:t>
      </w:r>
    </w:p>
    <w:p>
      <w:pPr>
        <w:spacing w:after="120"/>
      </w:pPr>
      <w:r>
        <w:t>The Income Tax Act, 2058 recognizes two forms of trust: registered or unregistered trusts, and persons managing another person’s property. The first type is assessed like a company. In the second type, tax is levied on the person whose property is being held and managed; the trust concept is maintained only for the purpose of paying tax.</w:t>
      </w:r>
    </w:p>
    <w:p>
      <w:pPr>
        <w:pStyle w:val="Heading2"/>
      </w:pPr>
      <w:r>
        <w:t>(u) Trustee</w:t>
      </w:r>
    </w:p>
    <w:p>
      <w:pPr>
        <w:pStyle w:val="Definition"/>
      </w:pPr>
      <w:r>
        <w:t>“Trustee” means a natural person, trust or other body corporate holding property in trust alone or jointly with other natural persons, trusts or bodies corporate, and includes:</w:t>
      </w:r>
    </w:p>
    <w:p>
      <w:pPr>
        <w:pStyle w:val="ListNumber"/>
        <w:spacing w:after="60"/>
      </w:pPr>
      <w:r>
        <w:t>an executor or administrator of the estate of a deceased person;</w:t>
      </w:r>
    </w:p>
    <w:p>
      <w:pPr>
        <w:pStyle w:val="ListNumber"/>
        <w:spacing w:after="60"/>
      </w:pPr>
      <w:r>
        <w:t>a liquidator, receiver or trustee;</w:t>
      </w:r>
    </w:p>
    <w:p>
      <w:pPr>
        <w:pStyle w:val="ListNumber"/>
        <w:spacing w:after="60"/>
      </w:pPr>
      <w:r>
        <w:t>a person who protects, directs, controls or manages property of an incapacitated person in a private or official capacity;</w:t>
      </w:r>
    </w:p>
    <w:p>
      <w:pPr>
        <w:pStyle w:val="ListNumber"/>
        <w:spacing w:after="60"/>
      </w:pPr>
      <w:r>
        <w:t>a person who manages property under a private foundation or similar foundation; and</w:t>
      </w:r>
    </w:p>
    <w:p>
      <w:pPr>
        <w:pStyle w:val="ListNumber"/>
        <w:spacing w:after="60"/>
      </w:pPr>
      <w:r>
        <w:t>any other person in a position similar to the persons referred to above.</w:t>
      </w:r>
    </w:p>
    <w:p>
      <w:pPr>
        <w:spacing w:after="120"/>
      </w:pPr>
      <w:r>
        <w:t>A trustee is a person entrusted with responsibility for managing a trust. A trustee may act alone or jointly with another person, for example directors of a trust or guardians of minors or similar incapacitated persons.</w:t>
      </w:r>
    </w:p>
    <w:p>
      <w:pPr>
        <w:pStyle w:val="Heading2"/>
      </w:pPr>
      <w:r>
        <w:t>(v) Long-term contract</w:t>
      </w:r>
    </w:p>
    <w:p>
      <w:pPr>
        <w:pStyle w:val="Definition"/>
      </w:pPr>
      <w:r>
        <w:t>“Long-term contract” means a contract referred to in Section 26 whose term is more than twelve months.</w:t>
      </w:r>
    </w:p>
    <w:p>
      <w:pPr>
        <w:spacing w:after="120"/>
      </w:pPr>
      <w:r>
        <w:t>Under the explanation to Section 26, a contract with a term of more than twelve months is treated as a long-term contract if it is for manufacture, installation or construction, or for related services in respect of each such work, and where consideration is deferred. It does not include an investment insurance contract, a retirement fund contract or a contract involving an interest in an entity. For example, a contract given to a construction company to construct a hydropower project that takes more than one year is a long-term contract.</w:t>
      </w:r>
    </w:p>
    <w:p>
      <w:pPr>
        <w:pStyle w:val="CrossRef"/>
      </w:pPr>
      <w:r>
        <w:t>Long-term contracts and computation of their income are explained in Chapter 20.</w:t>
      </w:r>
    </w:p>
    <w:p>
      <w:pPr>
        <w:pStyle w:val="Heading2"/>
      </w:pPr>
      <w:r>
        <w:t>(w) Relative</w:t>
      </w:r>
    </w:p>
    <w:p>
      <w:pPr>
        <w:pStyle w:val="Definition"/>
      </w:pPr>
      <w:r>
        <w:t>“Relative” means, in relation to a natural person, husband, wife, son, daughter including adopted son or adopted daughter, father, mother, grandfather, grandmother, elder brother, younger brother, sister-in-law, daughter-in-law, elder sister, younger sister, mother-in-law, father-in-law, brother-in-law, wife’s elder brother, wife’s younger sister, elder mother-in-law, uncle, aunt, nephew, niece, grandson and granddaughter.</w:t>
      </w:r>
    </w:p>
    <w:p>
      <w:pPr>
        <w:pStyle w:val="Heading2"/>
      </w:pPr>
      <w:r>
        <w:t>(x) Entity</w:t>
      </w:r>
    </w:p>
    <w:p>
      <w:pPr>
        <w:pStyle w:val="Definition"/>
      </w:pPr>
      <w:r>
        <w:t>“Entity” means the following institutions or organizations:</w:t>
      </w:r>
    </w:p>
    <w:p>
      <w:pPr>
        <w:pStyle w:val="ListNumber"/>
        <w:spacing w:after="60"/>
      </w:pPr>
      <w:r>
        <w:t>a partnership, trust or company;</w:t>
      </w:r>
    </w:p>
    <w:p>
      <w:pPr>
        <w:pStyle w:val="ListNumber"/>
        <w:spacing w:after="60"/>
      </w:pPr>
      <w:r>
        <w:t>a rural municipality, municipality or district coordination committee;</w:t>
      </w:r>
    </w:p>
    <w:p>
      <w:pPr>
        <w:pStyle w:val="ListNumber"/>
        <w:spacing w:after="60"/>
      </w:pPr>
      <w:r>
        <w:t>the Government of Nepal, a provincial government or a local level;</w:t>
      </w:r>
    </w:p>
    <w:p>
      <w:pPr>
        <w:pStyle w:val="ListNumber"/>
        <w:spacing w:after="60"/>
      </w:pPr>
      <w:r>
        <w:t>a foreign government or provincial or local government under that government, or a public international organization established by treaty; or</w:t>
      </w:r>
    </w:p>
    <w:p>
      <w:pPr>
        <w:pStyle w:val="ListNumber"/>
        <w:spacing w:after="60"/>
      </w:pPr>
      <w:r>
        <w:t>a permanent establishment of an institution or organization mentioned above which is not situated in the country of its residence.</w:t>
      </w:r>
    </w:p>
    <w:p>
      <w:pPr>
        <w:spacing w:after="120"/>
      </w:pPr>
      <w:r>
        <w:t>In general, an entity means a person other than a natural person, that is, a legal person.</w:t>
      </w:r>
    </w:p>
    <w:p>
      <w:pPr>
        <w:pStyle w:val="CrossRef"/>
      </w:pPr>
      <w:r>
        <w:t>Entities are discussed in detail in Chapter 13.</w:t>
      </w:r>
    </w:p>
    <w:p>
      <w:pPr>
        <w:pStyle w:val="Heading2"/>
      </w:pPr>
      <w:r>
        <w:t>(y) Interest in an entity</w:t>
      </w:r>
    </w:p>
    <w:p>
      <w:pPr>
        <w:pStyle w:val="Definition"/>
      </w:pPr>
      <w:r>
        <w:t>“Interest in an entity” means a right, including a contingent right, to receive income or capital of an entity.</w:t>
      </w:r>
    </w:p>
    <w:p>
      <w:pPr>
        <w:spacing w:after="120"/>
      </w:pPr>
      <w:r>
        <w:t>In the case of a partnership firm, an interest in an entity means the partner’s right in the firm’s profit and in its assets. In a company, it includes the return on the shareholder’s investment in the company and any ordinary or additional amount, including contingent rights, receivable upon liquidation. In a retirement fund, it means the amount invested by the beneficiary and the return on that amount. Similarly, a beneficiary has an interest in a trust, and the owner has an interest in a foreign permanent establishment.</w:t>
      </w:r>
    </w:p>
    <w:p>
      <w:pPr>
        <w:pStyle w:val="Heading2"/>
      </w:pPr>
      <w:r>
        <w:t>(z) Disposal</w:t>
      </w:r>
    </w:p>
    <w:p>
      <w:pPr>
        <w:pStyle w:val="Definition"/>
      </w:pPr>
      <w:r>
        <w:t>“Disposal” means disposal of an asset or liability, including sale or transfer, as referred to in Section 40.</w:t>
      </w:r>
    </w:p>
    <w:p>
      <w:pPr>
        <w:spacing w:after="120"/>
      </w:pPr>
      <w:r>
        <w:t>For an asset, disposal occurs when ownership is removed by sale, instalment sale, merger into another asset or liability, destruction, loss, partition, transfer of rights, exchange or any other means. For a liability, disposal occurs when the liability is paid, released, merged into another asset or liability, cancelled, or otherwise discharged.</w:t>
      </w:r>
    </w:p>
    <w:p>
      <w:pPr>
        <w:pStyle w:val="CrossRef"/>
      </w:pPr>
      <w:r>
        <w:t>Disposal of assets and liabilities is explained in Chapter 22.</w:t>
      </w:r>
    </w:p>
    <w:p>
      <w:pPr>
        <w:pStyle w:val="Heading2"/>
      </w:pPr>
      <w:r>
        <w:t>(aa) Underlying ownership</w:t>
      </w:r>
    </w:p>
    <w:p>
      <w:pPr>
        <w:pStyle w:val="Definition"/>
      </w:pPr>
      <w:r>
        <w:t>“Underlying ownership” means:</w:t>
      </w:r>
    </w:p>
    <w:p>
      <w:pPr>
        <w:pStyle w:val="ListNumber"/>
        <w:spacing w:after="60"/>
      </w:pPr>
      <w:r>
        <w:t>in relation to an entity, ownership created by an interest held directly or indirectly by a natural person, or by an entity in which no natural person has an interest, through one or more interposed entities; or</w:t>
      </w:r>
    </w:p>
    <w:p>
      <w:pPr>
        <w:pStyle w:val="ListNumber"/>
        <w:spacing w:after="60"/>
      </w:pPr>
      <w:r>
        <w:t>in relation to property owned by an entity, ownership of the property determined in proportion to the ownership held by persons having underlying ownership in that entity.</w:t>
      </w:r>
    </w:p>
    <w:p>
      <w:pPr>
        <w:pStyle w:val="CrossRef"/>
      </w:pPr>
      <w:r>
        <w:t>Underlying ownership is explained in Chapter 13.</w:t>
      </w:r>
    </w:p>
    <w:p>
      <w:pPr>
        <w:pStyle w:val="Heading2"/>
      </w:pPr>
      <w:r>
        <w:t>(ab) Lease</w:t>
      </w:r>
    </w:p>
    <w:p>
      <w:pPr>
        <w:pStyle w:val="Definition"/>
      </w:pPr>
      <w:r>
        <w:t>“Lease” means a temporary right of a person to use property other than cash property of another person, and includes a licence, rental agreement, option, royalty agreement or lessee’s right.</w:t>
      </w:r>
    </w:p>
    <w:p>
      <w:pPr>
        <w:spacing w:after="120"/>
      </w:pPr>
      <w:r>
        <w:t>Giving one person the right to use property owned by another person is called a lease. A lease may be an operating lease, under which rent or royalty is paid periodically, or a finance lease.</w:t>
      </w:r>
    </w:p>
    <w:p>
      <w:pPr>
        <w:pStyle w:val="Heading2"/>
      </w:pPr>
      <w:r>
        <w:t>(ac) Natural person</w:t>
      </w:r>
    </w:p>
    <w:p>
      <w:pPr>
        <w:pStyle w:val="Definition"/>
      </w:pPr>
      <w:r>
        <w:t>“Natural person” means an individual natural person and, for the purposes of the Act, includes a proprietorship firm owned by a natural person, whether registered or not, and a couple who have elected under Section 50 to be treated as one natural person.</w:t>
      </w:r>
    </w:p>
    <w:p>
      <w:pPr>
        <w:spacing w:after="120"/>
      </w:pPr>
      <w:r>
        <w:t>A natural person is a person created by nature and not an artificial person created by law. The term includes a proprietorship firm of a natural person, a couple that has elected treatment under Section 50, and widowers or widows who must support dependants.</w:t>
      </w:r>
    </w:p>
    <w:p>
      <w:pPr>
        <w:pStyle w:val="Heading2"/>
      </w:pPr>
      <w:r>
        <w:t>(ad) Natural resource payment</w:t>
      </w:r>
    </w:p>
    <w:p>
      <w:pPr>
        <w:pStyle w:val="Definition"/>
      </w:pPr>
      <w:r>
        <w:t>“Natural resource payment” means any payment amount for:</w:t>
      </w:r>
    </w:p>
    <w:p>
      <w:pPr>
        <w:pStyle w:val="ListNumber"/>
        <w:spacing w:after="60"/>
      </w:pPr>
      <w:r>
        <w:t>obtaining a right to extract water, minerals or other living or non-living resources from land; or</w:t>
      </w:r>
    </w:p>
    <w:p>
      <w:pPr>
        <w:pStyle w:val="ListNumber"/>
        <w:spacing w:after="60"/>
      </w:pPr>
      <w:r>
        <w:t>an amount calculated by reference to the quantity or value of a natural resource or mineral, living or non-living, wholly or partly extracted from land.</w:t>
      </w:r>
    </w:p>
    <w:p>
      <w:pPr>
        <w:pStyle w:val="Heading2"/>
      </w:pPr>
      <w:r>
        <w:t>(ae) Market value</w:t>
      </w:r>
    </w:p>
    <w:p>
      <w:pPr>
        <w:pStyle w:val="Definition"/>
      </w:pPr>
      <w:r>
        <w:t>“Market value” means, in relation to any property or service, the ordinary transaction value of the property or service between unrelated persons in the ordinary course of market dealings.</w:t>
      </w:r>
    </w:p>
    <w:p>
      <w:pPr>
        <w:pStyle w:val="Heading2"/>
      </w:pPr>
      <w:r>
        <w:t>(af) Rent</w:t>
      </w:r>
    </w:p>
    <w:p>
      <w:pPr>
        <w:pStyle w:val="Definition"/>
      </w:pPr>
      <w:r>
        <w:t>“Rent” means all payments, including premiums, made under a lease of tangible property, including house rent. It does not include a natural resource payment or house rent received by a natural person other than a proprietorship firm.</w:t>
      </w:r>
    </w:p>
    <w:p>
      <w:pPr>
        <w:pStyle w:val="Heading2"/>
      </w:pPr>
      <w:r>
        <w:t>(ag) Payment</w:t>
      </w:r>
    </w:p>
    <w:p>
      <w:pPr>
        <w:pStyle w:val="Definition"/>
      </w:pPr>
      <w:r>
        <w:t>“Payment” means the following acts or transactions:</w:t>
      </w:r>
    </w:p>
    <w:p>
      <w:pPr>
        <w:pStyle w:val="ListNumber"/>
        <w:spacing w:after="60"/>
      </w:pPr>
      <w:r>
        <w:t>transfer of money or property of one person to another person in the name of such other person, or transfer of a liability of another person in the name of such person;</w:t>
      </w:r>
    </w:p>
    <w:p>
      <w:pPr>
        <w:pStyle w:val="ListNumber"/>
        <w:spacing w:after="60"/>
      </w:pPr>
      <w:r>
        <w:t>where property created by one person becomes, after its creation, the ownership of another person, or where one person bears the burden of another person’s liability;</w:t>
      </w:r>
    </w:p>
    <w:p>
      <w:pPr>
        <w:pStyle w:val="ListNumber"/>
        <w:spacing w:after="60"/>
      </w:pPr>
      <w:r>
        <w:t>provision of service by one person to another person; or</w:t>
      </w:r>
    </w:p>
    <w:p>
      <w:pPr>
        <w:pStyle w:val="ListNumber"/>
        <w:spacing w:after="60"/>
      </w:pPr>
      <w:r>
        <w:t>use of property owned by one person by another person, or availability of the property for such use.</w:t>
      </w:r>
    </w:p>
    <w:p>
      <w:pPr>
        <w:spacing w:after="120"/>
      </w:pPr>
      <w:r>
        <w:t>Section 24(1) provides that when business or investment income is accounted for on the accrual basis, a payment is treated as received and included in income as soon as the right to receive the payment is created. Nepal Accounting Standard 1 on Presentation of Financial Statements also requires accounting on an accrual basis. The term “payment” is important both for computing income and claiming deductions, and it covers every means by which one person can confer a benefit on another.</w:t>
      </w:r>
    </w:p>
    <w:p>
      <w:pPr>
        <w:pStyle w:val="Example"/>
      </w:pPr>
      <w:r>
        <w:rPr>
          <w:b/>
        </w:rPr>
        <w:t xml:space="preserve">Example 2.10: </w:t>
      </w:r>
      <w:r>
        <w:t>Buddhi Acharya provides services worth Rs. 50,000 to Scott Nepal Pvt. Ltd. Instead of paying cash, the company adjusts the amount against a receivable from Acharya’s son. Even though Acharya does not receive cash, he is treated as having received payment.</w:t>
      </w:r>
    </w:p>
    <w:p>
      <w:pPr>
        <w:pStyle w:val="Example"/>
      </w:pPr>
      <w:r>
        <w:rPr>
          <w:b/>
        </w:rPr>
        <w:t xml:space="preserve">Example 2.11: </w:t>
      </w:r>
      <w:r>
        <w:t>A medical doctor is appointed for regular treatment of a company’s employees. The company does not pay fees in cash, but rents a room for Rs. 20,000 and provides it to the doctor. The doctor also conducts his practice from the room. Since the company provides to the doctor property it has created, namely lease rights, the doctor is treated as having received payment of Rs. 20,000.</w:t>
      </w:r>
    </w:p>
    <w:p>
      <w:pPr>
        <w:pStyle w:val="Example"/>
      </w:pPr>
      <w:r>
        <w:rPr>
          <w:b/>
        </w:rPr>
        <w:t xml:space="preserve">Example 2.12: </w:t>
      </w:r>
      <w:r>
        <w:t>A lawyer is appointed as legal consultant to an automobile repair organization. The lawyer does not take remuneration, but has his vehicle regularly repaired by that organization free of cost. The value of the repair service provided is treated as payment received by the lawyer.</w:t>
      </w:r>
    </w:p>
    <w:p>
      <w:pPr>
        <w:pStyle w:val="Heading2"/>
      </w:pPr>
      <w:r>
        <w:t>(ah) Distribution of profit</w:t>
      </w:r>
    </w:p>
    <w:p>
      <w:pPr>
        <w:pStyle w:val="Definition"/>
      </w:pPr>
      <w:r>
        <w:t>“Distribution of profit” means a distribution of profit of an entity under Section 53, including capitalization of profit.</w:t>
      </w:r>
    </w:p>
    <w:p>
      <w:pPr>
        <w:spacing w:after="120"/>
      </w:pPr>
      <w:r>
        <w:t>Section 53 treats any payment made by an entity to its beneficiary in any capacity, and capitalization of profit, as a distribution. Distribution of bonus shares by an entity to its beneficiaries is also a distribution of profit. However, if the entity receives consideration from the beneficiary and makes payment to the beneficiary at market value for that consideration, the payment is not treated as a distribution of profit.</w:t>
      </w:r>
    </w:p>
    <w:p>
      <w:pPr>
        <w:pStyle w:val="Example"/>
      </w:pPr>
      <w:r>
        <w:rPr>
          <w:b/>
        </w:rPr>
        <w:t xml:space="preserve">Example 2.13: </w:t>
      </w:r>
      <w:r>
        <w:t>Nepal Watch Company Ltd., instead of paying cash dividend, distributes watches with a market value of Rs. 15,000 to shareholders for Rs. 5,000 each. The difference between market value and the amount received from the beneficiary, i.e., Rs. 10,000, is treated as a distribution of profit.</w:t>
      </w:r>
    </w:p>
    <w:p>
      <w:pPr>
        <w:pStyle w:val="Example"/>
      </w:pPr>
      <w:r>
        <w:rPr>
          <w:b/>
        </w:rPr>
        <w:t xml:space="preserve">Example 2.14: </w:t>
      </w:r>
      <w:r>
        <w:t>Nepal Company Ltd. rents a building of one of its shareholders for office purposes and pays the ordinary market rent of Rs. 10,000 per month. This is not treated as a distribution of profit.</w:t>
      </w:r>
    </w:p>
    <w:p>
      <w:pPr>
        <w:pStyle w:val="CrossRef"/>
      </w:pPr>
      <w:r>
        <w:t>Distribution of profit by entities is discussed in Chapter 13.</w:t>
      </w:r>
    </w:p>
    <w:p>
      <w:pPr>
        <w:pStyle w:val="Heading2"/>
      </w:pPr>
      <w:r>
        <w:t>(ai) Unit trust</w:t>
      </w:r>
    </w:p>
    <w:p>
      <w:pPr>
        <w:pStyle w:val="Definition"/>
      </w:pPr>
      <w:r>
        <w:t>“Unit trust” means a trust under which property is held by a trustee for the benefit of at least twenty persons, and the rights of persons to participate in income or capital are divided on a basis determined by the number of units held.</w:t>
      </w:r>
    </w:p>
    <w:p>
      <w:pPr>
        <w:pStyle w:val="Heading2"/>
      </w:pPr>
      <w:r>
        <w:t>(ai1) Contribution-based retirement payment</w:t>
      </w:r>
    </w:p>
    <w:p>
      <w:pPr>
        <w:pStyle w:val="Definition"/>
      </w:pPr>
      <w:r>
        <w:t>“Contribution-based retirement payment” means payment of the amount deducted monthly from the remuneration of an employee or worker and the amount added by the employer as retirement contribution and deposited in an approved retirement fund, including the increase in that amount.</w:t>
      </w:r>
    </w:p>
    <w:p>
      <w:pPr>
        <w:pStyle w:val="Heading2"/>
      </w:pPr>
      <w:r>
        <w:t>(aj) Employment</w:t>
      </w:r>
    </w:p>
    <w:p>
      <w:pPr>
        <w:pStyle w:val="Definition"/>
      </w:pPr>
      <w:r>
        <w:t>“Employment” means past, present or future employment of any kind.</w:t>
      </w:r>
    </w:p>
    <w:p>
      <w:pPr>
        <w:spacing w:after="120"/>
      </w:pPr>
      <w:r>
        <w:t>In general, a contract of service indicates employment, whereas a contract for service indicates consultancy. Employment refers to an arrangement between an employee and an employer under which the worker uses knowledge, experience, skill, effort and labour to perform managerial, supervisory, administrative, technical or similar work, and under written or unwritten employee service conditions or similar provisions of the person or entity, receives or may receive salary, wages or similar payment. The employer may be resident or non-resident.</w:t>
      </w:r>
    </w:p>
    <w:p>
      <w:pPr>
        <w:spacing w:after="120"/>
      </w:pPr>
      <w:r>
        <w:t>Under Section 22(2), a natural person must account for income from employment and investment on the cash basis for tax purposes. Accordingly, in employment, cash payments are included in income when received, whether the payment relates to past employment, present employment or future employment.</w:t>
      </w:r>
    </w:p>
    <w:p>
      <w:pPr>
        <w:pStyle w:val="Example"/>
      </w:pPr>
      <w:r>
        <w:rPr>
          <w:b/>
        </w:rPr>
        <w:t xml:space="preserve">Example 2.15: </w:t>
      </w:r>
      <w:r>
        <w:t>Lalit has been employed by a company since 2070. From 2075 the company’s business deteriorated and it paid only 50 percent of employees’ regular salary. In FY 2080/81 the business improved and, in Magh 2080, the company paid Lalit the remaining 50 percent salary due from earlier years. Although the company may deduct the salary expense on the accrual basis in the relevant years, Lalit includes the past employment payment in FY 2080/81 because he received it in cash in Magh 2080.</w:t>
      </w:r>
    </w:p>
    <w:p>
      <w:pPr>
        <w:pStyle w:val="Example"/>
      </w:pPr>
      <w:r>
        <w:rPr>
          <w:b/>
        </w:rPr>
        <w:t xml:space="preserve">Example 2.16: </w:t>
      </w:r>
      <w:r>
        <w:t>Suwarna works for a company and, needing money, receives one year’s salary in advance on the condition that he will not take salary next year. Because the amount is received for future employment, he includes it in employment income for the income year in which it is received.</w:t>
      </w:r>
    </w:p>
    <w:p>
      <w:pPr>
        <w:pStyle w:val="CrossRef"/>
      </w:pPr>
      <w:r>
        <w:t>Employment is explained in detail in Chapter 17.</w:t>
      </w:r>
    </w:p>
    <w:p>
      <w:pPr>
        <w:pStyle w:val="Heading2"/>
      </w:pPr>
      <w:r>
        <w:t>(ak) Royalty</w:t>
      </w:r>
    </w:p>
    <w:p>
      <w:pPr>
        <w:pStyle w:val="Definition"/>
      </w:pPr>
      <w:r>
        <w:t>“Royalty” means any payment made under a lease of intangible property and includes any payment made for the following purposes:</w:t>
      </w:r>
    </w:p>
    <w:p>
      <w:pPr>
        <w:pStyle w:val="ListNumber"/>
        <w:spacing w:after="60"/>
      </w:pPr>
      <w:r>
        <w:t>use of, or right to use, copyright, patent, design, model, plan, secret formula or process, or trademark;</w:t>
      </w:r>
    </w:p>
    <w:p>
      <w:pPr>
        <w:pStyle w:val="ListNumber"/>
        <w:spacing w:after="60"/>
      </w:pPr>
      <w:r>
        <w:t>providing technological knowledge;</w:t>
      </w:r>
    </w:p>
    <w:p>
      <w:pPr>
        <w:pStyle w:val="ListNumber"/>
        <w:spacing w:after="60"/>
      </w:pPr>
      <w:r>
        <w:t>use of, or right to use, cinematographic film, video tape, sound recording or any similar medium, or use or provision of industrial, commercial or scientific experience;</w:t>
      </w:r>
    </w:p>
    <w:p>
      <w:pPr>
        <w:pStyle w:val="ListNumber"/>
        <w:spacing w:after="60"/>
      </w:pPr>
      <w:r>
        <w:t>providing assistance ancillary to any matter referred to above; or</w:t>
      </w:r>
    </w:p>
    <w:p>
      <w:pPr>
        <w:pStyle w:val="ListNumber"/>
        <w:spacing w:after="60"/>
      </w:pPr>
      <w:r>
        <w:t>accepting full or partial restraint in relation to any of the above matters.</w:t>
      </w:r>
    </w:p>
    <w:p>
      <w:pPr>
        <w:spacing w:after="120"/>
      </w:pPr>
      <w:r>
        <w:t>The term does not include a natural resource payment. Royalty covers payments under a lease of intangible property or for the use of intangible property, such as a payment for the right to use a trade name or payment made to a singer, lyricist or composer when a radio station plays their song.</w:t>
      </w:r>
    </w:p>
    <w:p>
      <w:pPr>
        <w:pStyle w:val="Heading2"/>
      </w:pPr>
      <w:r>
        <w:t>(al) Investment</w:t>
      </w:r>
    </w:p>
    <w:p>
      <w:pPr>
        <w:pStyle w:val="Definition"/>
      </w:pPr>
      <w:r>
        <w:t>“Investment” means the act of holding one or more assets or investing in such assets, other than: (1) holding assets brought into private use by the owner of the asset; and (2) employment or business. However, holding a non-business taxable asset is treated as investment.</w:t>
      </w:r>
    </w:p>
    <w:p>
      <w:pPr>
        <w:spacing w:after="120"/>
      </w:pPr>
      <w:r>
        <w:t>The act of holding assets to earn income is investment. It includes ownership of assets other than assets brought into private use by the owner or assets used in employment or business, and also holding non-business taxable assets. Generally, the person earning investment income does not have active engagement in the income-earning activity. Dividend, interest, natural resource payment, rent, royalty, gain from investment insurance, gain from an interest in an unapproved retirement fund, retirement payment from an approved retirement fund, and net gain from disposal of non-business taxable assets are income or returns from investment.</w:t>
      </w:r>
    </w:p>
    <w:p>
      <w:pPr>
        <w:spacing w:after="120"/>
      </w:pPr>
      <w:r>
        <w:t>Whether an asset is held as investment depends on the nature of holding. Normally, an asset held for investment is held for a longer period. In investment, income is generated from the asset itself; in business, the asset is bought and sold or otherwise used to earn income.</w:t>
      </w:r>
    </w:p>
    <w:p>
      <w:pPr>
        <w:pStyle w:val="CrossRef"/>
      </w:pPr>
      <w:r>
        <w:t>Investment and investment income are explained in Chapter 21.</w:t>
      </w:r>
    </w:p>
    <w:p>
      <w:pPr>
        <w:pStyle w:val="Heading2"/>
      </w:pPr>
      <w:r>
        <w:t>(am) Investment insurance</w:t>
      </w:r>
    </w:p>
    <w:p>
      <w:pPr>
        <w:pStyle w:val="Definition"/>
      </w:pPr>
      <w:r>
        <w:t>“Investment insurance” means any of the following insurance contracts:</w:t>
      </w:r>
    </w:p>
    <w:p>
      <w:pPr>
        <w:pStyle w:val="ListNumber"/>
        <w:spacing w:after="60"/>
      </w:pPr>
      <w:r>
        <w:t>insurance in respect of the death of the insured person or an associated person of the insured;</w:t>
      </w:r>
    </w:p>
    <w:p>
      <w:pPr>
        <w:pStyle w:val="ListNumber"/>
        <w:spacing w:after="60"/>
      </w:pPr>
      <w:r>
        <w:t>insurance in respect of personal injury to the insured person or an associated person, or the occurrence of disability in a specified manner, provided the insurance contract remains in force for at least five years or has no limit of duration and cannot be terminated by the insurer before five years except in special circumstances stated in the contract;</w:t>
      </w:r>
    </w:p>
    <w:p>
      <w:pPr>
        <w:pStyle w:val="ListNumber"/>
        <w:spacing w:after="60"/>
      </w:pPr>
      <w:r>
        <w:t>insurance under which an amount or a series of amounts is payable to the insured in the future;</w:t>
      </w:r>
    </w:p>
    <w:p>
      <w:pPr>
        <w:pStyle w:val="ListNumber"/>
        <w:spacing w:after="60"/>
      </w:pPr>
      <w:r>
        <w:t>reinsurance of insurance under the preceding clauses; and</w:t>
      </w:r>
    </w:p>
    <w:p>
      <w:pPr>
        <w:pStyle w:val="ListNumber"/>
        <w:spacing w:after="60"/>
      </w:pPr>
      <w:r>
        <w:t>reinsurance of the reinsurance mentioned above.</w:t>
      </w:r>
    </w:p>
    <w:p>
      <w:pPr>
        <w:spacing w:after="120"/>
      </w:pPr>
      <w:r>
        <w:t>Examples include life insurance, superannuation and endowment policies. Although related to life risk, an accidental insurance contract whose risk period ends within less than five years is not treated as investment insurance.</w:t>
      </w:r>
    </w:p>
    <w:p>
      <w:pPr>
        <w:pStyle w:val="CrossRef"/>
      </w:pPr>
      <w:r>
        <w:t>Investment insurance is explained in Chapter 19.</w:t>
      </w:r>
    </w:p>
    <w:p>
      <w:pPr>
        <w:pStyle w:val="Heading2"/>
      </w:pPr>
      <w:r>
        <w:t>(an) Dividend</w:t>
      </w:r>
    </w:p>
    <w:p>
      <w:pPr>
        <w:pStyle w:val="Definition"/>
      </w:pPr>
      <w:r>
        <w:t>“Dividend” means a distribution by an entity.</w:t>
      </w:r>
    </w:p>
    <w:p>
      <w:pPr>
        <w:spacing w:after="120"/>
      </w:pPr>
      <w:r>
        <w:t>Dividend means the share of profit distributed by an entity to its beneficiaries or shareholders. It also includes capitalization of profit, i.e., bonus shares.</w:t>
      </w:r>
    </w:p>
    <w:p>
      <w:pPr>
        <w:pStyle w:val="CrossRef"/>
      </w:pPr>
      <w:r>
        <w:t>Dividends are further explained in Chapter 13.</w:t>
      </w:r>
    </w:p>
    <w:p>
      <w:pPr>
        <w:pStyle w:val="Heading2"/>
      </w:pPr>
      <w:r>
        <w:t>(ao) Resident person</w:t>
      </w:r>
    </w:p>
    <w:p>
      <w:pPr>
        <w:pStyle w:val="Definition"/>
      </w:pPr>
      <w:r>
        <w:t>“Resident person” means, in relation to an income year, the following persons:</w:t>
      </w:r>
    </w:p>
    <w:p>
      <w:pPr>
        <w:pStyle w:val="ListNumber"/>
        <w:spacing w:after="60"/>
      </w:pPr>
      <w:r>
        <w:t>a natural person whose normal place of abode is in Nepal, or who is present in Nepal for 183 days or more in any continuous period of 365 days, or who is posted abroad by the Government of Nepal at any time during the income year;</w:t>
      </w:r>
    </w:p>
    <w:p>
      <w:pPr>
        <w:pStyle w:val="ListNumber"/>
        <w:spacing w:after="60"/>
      </w:pPr>
      <w:r>
        <w:t>a partnership firm;</w:t>
      </w:r>
    </w:p>
    <w:p>
      <w:pPr>
        <w:pStyle w:val="ListNumber"/>
        <w:spacing w:after="60"/>
      </w:pPr>
      <w:r>
        <w:t>a trust that is established in Nepal, or whose trustee is a resident person during the income year, or that is controlled during the income year by a resident person or a group of persons including a resident person, directly or through one or more interposed entities;</w:t>
      </w:r>
    </w:p>
    <w:p>
      <w:pPr>
        <w:pStyle w:val="ListNumber"/>
        <w:spacing w:after="60"/>
      </w:pPr>
      <w:r>
        <w:t>a company incorporated under the law of Nepal, or whose effective management is in Nepal during an income year;</w:t>
      </w:r>
    </w:p>
    <w:p>
      <w:pPr>
        <w:pStyle w:val="ListNumber"/>
        <w:spacing w:after="60"/>
      </w:pPr>
      <w:r>
        <w:t>the Government of Nepal or a provincial government;</w:t>
      </w:r>
    </w:p>
    <w:p>
      <w:pPr>
        <w:pStyle w:val="ListNumber"/>
        <w:spacing w:after="60"/>
      </w:pPr>
      <w:r>
        <w:t>a rural municipality, municipality or district coordination committee;</w:t>
      </w:r>
    </w:p>
    <w:p>
      <w:pPr>
        <w:pStyle w:val="ListNumber"/>
        <w:spacing w:after="60"/>
      </w:pPr>
      <w:r>
        <w:t>an entity of a foreign government or its provincial or local government that is established under the law of Nepal or whose effective management is in Nepal during an income year;</w:t>
      </w:r>
    </w:p>
    <w:p>
      <w:pPr>
        <w:pStyle w:val="ListNumber"/>
        <w:spacing w:after="60"/>
      </w:pPr>
      <w:r>
        <w:t>an organization or entity established under a treaty or agreement; and</w:t>
      </w:r>
    </w:p>
    <w:p>
      <w:pPr>
        <w:pStyle w:val="ListNumber"/>
        <w:spacing w:after="60"/>
      </w:pPr>
      <w:r>
        <w:t>the foreign permanent establishment of a non-resident person situated in Nepal.</w:t>
      </w:r>
    </w:p>
    <w:p>
      <w:pPr>
        <w:spacing w:after="120"/>
      </w:pPr>
      <w:r>
        <w:t>The concept of resident person is important under the Income Tax Act, 2058. A natural person is a resident if any of the following conditions applies: the person’s habitual place of abode is in Nepal, the person is present in Nepal for 183 days or more in a continuous period of 365 days, or the person is posted abroad by the Government of Nepal during the income year.</w:t>
      </w:r>
    </w:p>
    <w:p>
      <w:pPr>
        <w:pStyle w:val="ListBullet"/>
        <w:spacing w:after="60"/>
      </w:pPr>
      <w:r>
        <w:t>Habitual place of abode in Nepal refers to the place where the person’s main economic activities are located. Merely having a permanent address or house in Nepal does not by itself make Nepal the habitual place of abode. Generally, it refers to the main place of earning livelihood.</w:t>
      </w:r>
    </w:p>
    <w:p>
      <w:pPr>
        <w:pStyle w:val="Example"/>
      </w:pPr>
      <w:r>
        <w:rPr>
          <w:b/>
        </w:rPr>
        <w:t xml:space="preserve">Example 2.17: </w:t>
      </w:r>
      <w:r>
        <w:t>Om Bahadur Thapa has a permanent house in Chitwan but has been in Malaysia for foreign employment for the last three years. He comes to Nepal once a year to meet his family and remits more than 50 percent of his foreign earnings to his family in Nepal. Although he has a permanent house in Nepal, his continuity of residence and major economic activities are not in Nepal; therefore, his habitual place of abode is not treated as Nepal.</w:t>
      </w:r>
    </w:p>
    <w:p>
      <w:pPr>
        <w:pStyle w:val="Example"/>
      </w:pPr>
      <w:r>
        <w:rPr>
          <w:b/>
        </w:rPr>
        <w:t xml:space="preserve">Example 2.18: </w:t>
      </w:r>
      <w:r>
        <w:t>If, in Example 2.17, Om Bahadur Thapa’s business is in Nepal and he travels outside Nepal for more than 183 days in the year for that business or other personal reasons, his major economic activities are in Nepal. Therefore, Nepal is treated as his habitual place of abode.</w:t>
      </w:r>
    </w:p>
    <w:p>
      <w:pPr>
        <w:pStyle w:val="ListBullet"/>
        <w:spacing w:after="60"/>
      </w:pPr>
      <w:r>
        <w:t>When counting whether a person has been in Nepal for 183 days or more in a continuous period of 365 days, the days from entry into Nepal to departure from Nepal are counted.</w:t>
      </w:r>
    </w:p>
    <w:p>
      <w:pPr>
        <w:pStyle w:val="Example"/>
      </w:pPr>
      <w:r>
        <w:rPr>
          <w:b/>
        </w:rPr>
        <w:t xml:space="preserve">Example 2.19: </w:t>
      </w:r>
      <w:r>
        <w:t>If in Example 2.18 Om Bahadur Thapa left Nepal on Bhadra 6, 2078 for foreign employment in Malaysia and returned to Nepal on Bhadra 5, 2080, thereafter permanently residing in Nepal, he is non-resident for income years 2078/79 and 2079/80 because he stayed in Nepal for less than 183 days in the relevant continuous 365-day periods. For income year 2080/81 he stayed in Nepal for more than 183 days, i.e., 330 days, and is treated as a resident of Nepal for that income year.</w:t>
      </w:r>
    </w:p>
    <w:p>
      <w:pPr>
        <w:pStyle w:val="ListBullet"/>
        <w:spacing w:after="60"/>
      </w:pPr>
      <w:r>
        <w:t>A person posted abroad by the Government of Nepal at any time during the income year is a resident of Nepal.</w:t>
      </w:r>
    </w:p>
    <w:p>
      <w:pPr>
        <w:pStyle w:val="Example"/>
      </w:pPr>
      <w:r>
        <w:rPr>
          <w:b/>
        </w:rPr>
        <w:t xml:space="preserve">Example 2.20: </w:t>
      </w:r>
      <w:r>
        <w:t>If in Example 2.17 Om Bahadur Thapa is not in foreign employment but has been posted by the Government of Nepal to a Nepali embassy abroad and has worked there for the last four years, he is treated as a resident of Nepal.</w:t>
      </w:r>
    </w:p>
    <w:p>
      <w:pPr>
        <w:pStyle w:val="ListBullet"/>
        <w:spacing w:after="60"/>
      </w:pPr>
      <w:r>
        <w:t>A trust established in Nepal, or a trust whose trustee is resident in the relevant income year, or a trust controlled by a resident person or a group including a resident person directly or through one or more interposed entities, is also treated as resident in Nepal.</w:t>
      </w:r>
    </w:p>
    <w:p>
      <w:pPr>
        <w:pStyle w:val="Example"/>
      </w:pPr>
      <w:r>
        <w:rPr>
          <w:b/>
        </w:rPr>
        <w:t xml:space="preserve">Example 2.21: </w:t>
      </w:r>
      <w:r>
        <w:t>Suppose a trust operates in Kolkata, India. If the trust is controlled by residents of Nepal, that trust is also treated as a resident of Nepal.</w:t>
      </w:r>
    </w:p>
    <w:p>
      <w:pPr>
        <w:pStyle w:val="ListBullet"/>
        <w:spacing w:after="60"/>
      </w:pPr>
      <w:r>
        <w:t>A foreign permanent establishment of a non-resident person situated in Nepal is treated as resident in Nepal. For example, an office in Nepal established by a foreign construction company registered abroad for the purpose of carrying out a project in Nepal.</w:t>
      </w:r>
    </w:p>
    <w:p>
      <w:pPr>
        <w:pStyle w:val="Heading2"/>
      </w:pPr>
      <w:r>
        <w:t>(ap) Person</w:t>
      </w:r>
    </w:p>
    <w:p>
      <w:pPr>
        <w:pStyle w:val="Definition"/>
      </w:pPr>
      <w:r>
        <w:t>“Person” means a natural person or an entity.</w:t>
      </w:r>
    </w:p>
    <w:p>
      <w:pPr>
        <w:spacing w:after="120"/>
      </w:pPr>
      <w:r>
        <w:t>The term includes both natural persons, such as Ram, John or Rahim, and artificial or legal persons, such as companies, trusts and corporations.</w:t>
      </w:r>
    </w:p>
    <w:p>
      <w:pPr>
        <w:pStyle w:val="CrossRef"/>
      </w:pPr>
      <w:r>
        <w:t>This is discussed in Chapter 4.</w:t>
      </w:r>
    </w:p>
    <w:p>
      <w:pPr>
        <w:pStyle w:val="Heading2"/>
      </w:pPr>
      <w:r>
        <w:t>(aq) Manager</w:t>
      </w:r>
    </w:p>
    <w:p>
      <w:pPr>
        <w:pStyle w:val="Definition"/>
      </w:pPr>
      <w:r>
        <w:t>“Manager” means a person involved in making managerial decisions of an entity and includes a trustee of a trust and a person having ownership in a foreign permanent establishment.</w:t>
      </w:r>
    </w:p>
    <w:p>
      <w:pPr>
        <w:pStyle w:val="Heading2"/>
      </w:pPr>
      <w:r>
        <w:t>(ar) Business</w:t>
      </w:r>
    </w:p>
    <w:p>
      <w:pPr>
        <w:pStyle w:val="Definition"/>
      </w:pPr>
      <w:r>
        <w:t>“Business” means any industry, trade, profession or similar commercial transaction of any kind, and includes past, present or future businesses of similar kind. It does not include employment.</w:t>
      </w:r>
    </w:p>
    <w:p>
      <w:pPr>
        <w:spacing w:after="120"/>
      </w:pPr>
      <w:r>
        <w:t>Employment generally involves the use of labour. Business and investment involve labour and capital. In investment, the person generally holds property and does not have active engagement in earning income. In business, the person is actively engaged in the income-earning activity. Thus, merely holding property and earning rent without active participation is investment; but if the person actively manages the property and rental income, it is business. In this sense, an entity normally does not have investment income. Business includes industry, that is, producing and selling goods; trade, that is, buying and selling tangible or intangible items; profession; and other similar commercial transactions.</w:t>
      </w:r>
    </w:p>
    <w:p>
      <w:pPr>
        <w:pStyle w:val="Heading2"/>
      </w:pPr>
      <w:r>
        <w:t>(as) Interest</w:t>
      </w:r>
    </w:p>
    <w:p>
      <w:pPr>
        <w:pStyle w:val="Definition"/>
      </w:pPr>
      <w:r>
        <w:t>“Interest” means the following payments or benefits:</w:t>
      </w:r>
    </w:p>
    <w:p>
      <w:pPr>
        <w:pStyle w:val="ListNumber"/>
        <w:spacing w:after="60"/>
      </w:pPr>
      <w:r>
        <w:t>a payment under a debt obligation, other than repayment of principal;</w:t>
      </w:r>
    </w:p>
    <w:p>
      <w:pPr>
        <w:pStyle w:val="ListNumber"/>
        <w:spacing w:after="60"/>
      </w:pPr>
      <w:r>
        <w:t>a benefit obtained through discount, discount under a debt obligation, premium, swap payment or similar payment; and</w:t>
      </w:r>
    </w:p>
    <w:p>
      <w:pPr>
        <w:pStyle w:val="ListNumber"/>
        <w:spacing w:after="60"/>
      </w:pPr>
      <w:r>
        <w:t>amounts treated as interest under Section 32 out of payments made by a person acquiring property under an annuity or instalment sale, or by a person using property under a finance lease.</w:t>
      </w:r>
    </w:p>
    <w:p>
      <w:pPr>
        <w:spacing w:after="120"/>
      </w:pPr>
      <w:r>
        <w:t>Interest generally means the return on capital or investment. Where an investment is returned for more than the capital invested, the excess is treated as interest. Discounts, premiums and swap payments under debt obligations are also interest. In annuities, instalment sales or loans provided by financial institutions on fixed instalments, each instalment includes both principal and interest. The recipient adjusts the principal portion against capital and recognizes the interest portion as income. The payer similarly adjusts the principal portion against liability and claims the interest portion as expense subject to the Act.</w:t>
      </w:r>
    </w:p>
    <w:p>
      <w:pPr>
        <w:pStyle w:val="Example"/>
      </w:pPr>
      <w:r>
        <w:rPr>
          <w:b/>
        </w:rPr>
        <w:t xml:space="preserve">Example 2.22: </w:t>
      </w:r>
      <w:r>
        <w:t>A bank purchases a Rs. 10,000,000 Treasury Bill issued by Nepal Rastra Bank, payable after 90 days, for Rs. 9,850,000. Although the investment is Rs. 9,850,000, the bank receives Rs. 10,000,000 at maturity. The excess Rs. 150,000 is treated as interest.</w:t>
      </w:r>
    </w:p>
    <w:p>
      <w:pPr>
        <w:pStyle w:val="Example"/>
      </w:pPr>
      <w:r>
        <w:rPr>
          <w:b/>
        </w:rPr>
        <w:t xml:space="preserve">Example 2.23: </w:t>
      </w:r>
      <w:r>
        <w:t>A financial institution grants a Rs. 5,000,000 loan repayable in annual fixed instalments of Rs. 1,148,037 at 10 percent interest. The instalments are separated into principal and interest as follows:</w:t>
      </w:r>
    </w:p>
    <w:tbl>
      <w:tblPr>
        <w:tblStyle w:val="TableGrid"/>
        <w:tblW w:type="auto" w:w="0"/>
        <w:jc w:val="center"/>
        <w:tblLook w:firstColumn="1" w:firstRow="1" w:lastColumn="0" w:lastRow="0" w:noHBand="0" w:noVBand="1" w:val="04A0"/>
      </w:tblPr>
      <w:tblGrid>
        <w:gridCol w:w="2465"/>
        <w:gridCol w:w="2465"/>
        <w:gridCol w:w="2465"/>
        <w:gridCol w:w="2465"/>
      </w:tblGrid>
      <w:tr>
        <w:tc>
          <w:tcPr>
            <w:tcW w:type="dxa" w:w="2465"/>
            <w:shd w:fill="D9EAF7"/>
          </w:tcPr>
          <w:p>
            <w:r/>
            <w:r>
              <w:rPr>
                <w:b/>
                <w:sz w:val="18"/>
              </w:rPr>
              <w:t>Principal outstanding (Rs.)</w:t>
            </w:r>
          </w:p>
        </w:tc>
        <w:tc>
          <w:tcPr>
            <w:tcW w:type="dxa" w:w="2465"/>
            <w:shd w:fill="D9EAF7"/>
          </w:tcPr>
          <w:p>
            <w:r/>
            <w:r>
              <w:rPr>
                <w:b/>
                <w:sz w:val="18"/>
              </w:rPr>
              <w:t>Instalment (Rs.)</w:t>
            </w:r>
          </w:p>
        </w:tc>
        <w:tc>
          <w:tcPr>
            <w:tcW w:type="dxa" w:w="2465"/>
            <w:shd w:fill="D9EAF7"/>
          </w:tcPr>
          <w:p>
            <w:r/>
            <w:r>
              <w:rPr>
                <w:b/>
                <w:sz w:val="18"/>
              </w:rPr>
              <w:t>Principal repaid (Rs.)</w:t>
            </w:r>
          </w:p>
        </w:tc>
        <w:tc>
          <w:tcPr>
            <w:tcW w:type="dxa" w:w="2465"/>
            <w:shd w:fill="D9EAF7"/>
          </w:tcPr>
          <w:p>
            <w:r/>
            <w:r>
              <w:rPr>
                <w:b/>
                <w:sz w:val="18"/>
              </w:rPr>
              <w:t>Interest (Rs.)</w:t>
            </w:r>
          </w:p>
        </w:tc>
      </w:tr>
      <w:tr>
        <w:tc>
          <w:tcPr>
            <w:tcW w:type="dxa" w:w="2465"/>
          </w:tcPr>
          <w:p>
            <w:r/>
            <w:r>
              <w:rPr>
                <w:b w:val="0"/>
                <w:sz w:val="18"/>
              </w:rPr>
              <w:t>5,000,000</w:t>
            </w:r>
          </w:p>
        </w:tc>
        <w:tc>
          <w:tcPr>
            <w:tcW w:type="dxa" w:w="2465"/>
          </w:tcPr>
          <w:p>
            <w:r/>
            <w:r>
              <w:rPr>
                <w:b w:val="0"/>
                <w:sz w:val="18"/>
              </w:rPr>
              <w:t>1,148,037</w:t>
            </w:r>
          </w:p>
        </w:tc>
        <w:tc>
          <w:tcPr>
            <w:tcW w:type="dxa" w:w="2465"/>
          </w:tcPr>
          <w:p>
            <w:r/>
            <w:r>
              <w:rPr>
                <w:b w:val="0"/>
                <w:sz w:val="18"/>
              </w:rPr>
              <w:t>648,037</w:t>
            </w:r>
          </w:p>
        </w:tc>
        <w:tc>
          <w:tcPr>
            <w:tcW w:type="dxa" w:w="2465"/>
          </w:tcPr>
          <w:p>
            <w:r/>
            <w:r>
              <w:rPr>
                <w:b w:val="0"/>
                <w:sz w:val="18"/>
              </w:rPr>
              <w:t>500,000</w:t>
            </w:r>
          </w:p>
        </w:tc>
      </w:tr>
      <w:tr>
        <w:tc>
          <w:tcPr>
            <w:tcW w:type="dxa" w:w="2465"/>
          </w:tcPr>
          <w:p>
            <w:r/>
            <w:r>
              <w:rPr>
                <w:b w:val="0"/>
                <w:sz w:val="18"/>
              </w:rPr>
              <w:t>4,351,963</w:t>
            </w:r>
          </w:p>
        </w:tc>
        <w:tc>
          <w:tcPr>
            <w:tcW w:type="dxa" w:w="2465"/>
          </w:tcPr>
          <w:p>
            <w:r/>
            <w:r>
              <w:rPr>
                <w:b w:val="0"/>
                <w:sz w:val="18"/>
              </w:rPr>
              <w:t>1,148,037</w:t>
            </w:r>
          </w:p>
        </w:tc>
        <w:tc>
          <w:tcPr>
            <w:tcW w:type="dxa" w:w="2465"/>
          </w:tcPr>
          <w:p>
            <w:r/>
            <w:r>
              <w:rPr>
                <w:b w:val="0"/>
                <w:sz w:val="18"/>
              </w:rPr>
              <w:t>712,841</w:t>
            </w:r>
          </w:p>
        </w:tc>
        <w:tc>
          <w:tcPr>
            <w:tcW w:type="dxa" w:w="2465"/>
          </w:tcPr>
          <w:p>
            <w:r/>
            <w:r>
              <w:rPr>
                <w:b w:val="0"/>
                <w:sz w:val="18"/>
              </w:rPr>
              <w:t>435,196</w:t>
            </w:r>
          </w:p>
        </w:tc>
      </w:tr>
      <w:tr>
        <w:tc>
          <w:tcPr>
            <w:tcW w:type="dxa" w:w="2465"/>
          </w:tcPr>
          <w:p>
            <w:r/>
            <w:r>
              <w:rPr>
                <w:b w:val="0"/>
                <w:sz w:val="18"/>
              </w:rPr>
              <w:t>3,639,122</w:t>
            </w:r>
          </w:p>
        </w:tc>
        <w:tc>
          <w:tcPr>
            <w:tcW w:type="dxa" w:w="2465"/>
          </w:tcPr>
          <w:p>
            <w:r/>
            <w:r>
              <w:rPr>
                <w:b w:val="0"/>
                <w:sz w:val="18"/>
              </w:rPr>
              <w:t>1,148,037</w:t>
            </w:r>
          </w:p>
        </w:tc>
        <w:tc>
          <w:tcPr>
            <w:tcW w:type="dxa" w:w="2465"/>
          </w:tcPr>
          <w:p>
            <w:r/>
            <w:r>
              <w:rPr>
                <w:b w:val="0"/>
                <w:sz w:val="18"/>
              </w:rPr>
              <w:t>784,125</w:t>
            </w:r>
          </w:p>
        </w:tc>
        <w:tc>
          <w:tcPr>
            <w:tcW w:type="dxa" w:w="2465"/>
          </w:tcPr>
          <w:p>
            <w:r/>
            <w:r>
              <w:rPr>
                <w:b w:val="0"/>
                <w:sz w:val="18"/>
              </w:rPr>
              <w:t>363,912</w:t>
            </w:r>
          </w:p>
        </w:tc>
      </w:tr>
      <w:tr>
        <w:tc>
          <w:tcPr>
            <w:tcW w:type="dxa" w:w="2465"/>
          </w:tcPr>
          <w:p>
            <w:r/>
            <w:r>
              <w:rPr>
                <w:b w:val="0"/>
                <w:sz w:val="18"/>
              </w:rPr>
              <w:t>2,854,997</w:t>
            </w:r>
          </w:p>
        </w:tc>
        <w:tc>
          <w:tcPr>
            <w:tcW w:type="dxa" w:w="2465"/>
          </w:tcPr>
          <w:p>
            <w:r/>
            <w:r>
              <w:rPr>
                <w:b w:val="0"/>
                <w:sz w:val="18"/>
              </w:rPr>
              <w:t>1,148,037</w:t>
            </w:r>
          </w:p>
        </w:tc>
        <w:tc>
          <w:tcPr>
            <w:tcW w:type="dxa" w:w="2465"/>
          </w:tcPr>
          <w:p>
            <w:r/>
            <w:r>
              <w:rPr>
                <w:b w:val="0"/>
                <w:sz w:val="18"/>
              </w:rPr>
              <w:t>862,537</w:t>
            </w:r>
          </w:p>
        </w:tc>
        <w:tc>
          <w:tcPr>
            <w:tcW w:type="dxa" w:w="2465"/>
          </w:tcPr>
          <w:p>
            <w:r/>
            <w:r>
              <w:rPr>
                <w:b w:val="0"/>
                <w:sz w:val="18"/>
              </w:rPr>
              <w:t>285,500</w:t>
            </w:r>
          </w:p>
        </w:tc>
      </w:tr>
      <w:tr>
        <w:tc>
          <w:tcPr>
            <w:tcW w:type="dxa" w:w="2465"/>
          </w:tcPr>
          <w:p>
            <w:r/>
            <w:r>
              <w:rPr>
                <w:b w:val="0"/>
                <w:sz w:val="18"/>
              </w:rPr>
              <w:t>1,992,460</w:t>
            </w:r>
          </w:p>
        </w:tc>
        <w:tc>
          <w:tcPr>
            <w:tcW w:type="dxa" w:w="2465"/>
          </w:tcPr>
          <w:p>
            <w:r/>
            <w:r>
              <w:rPr>
                <w:b w:val="0"/>
                <w:sz w:val="18"/>
              </w:rPr>
              <w:t>1,148,037</w:t>
            </w:r>
          </w:p>
        </w:tc>
        <w:tc>
          <w:tcPr>
            <w:tcW w:type="dxa" w:w="2465"/>
          </w:tcPr>
          <w:p>
            <w:r/>
            <w:r>
              <w:rPr>
                <w:b w:val="0"/>
                <w:sz w:val="18"/>
              </w:rPr>
              <w:t>948,791</w:t>
            </w:r>
          </w:p>
        </w:tc>
        <w:tc>
          <w:tcPr>
            <w:tcW w:type="dxa" w:w="2465"/>
          </w:tcPr>
          <w:p>
            <w:r/>
            <w:r>
              <w:rPr>
                <w:b w:val="0"/>
                <w:sz w:val="18"/>
              </w:rPr>
              <w:t>199,246</w:t>
            </w:r>
          </w:p>
        </w:tc>
      </w:tr>
      <w:tr>
        <w:tc>
          <w:tcPr>
            <w:tcW w:type="dxa" w:w="2465"/>
          </w:tcPr>
          <w:p>
            <w:r/>
            <w:r>
              <w:rPr>
                <w:b w:val="0"/>
                <w:sz w:val="18"/>
              </w:rPr>
              <w:t>1,043,669</w:t>
            </w:r>
          </w:p>
        </w:tc>
        <w:tc>
          <w:tcPr>
            <w:tcW w:type="dxa" w:w="2465"/>
          </w:tcPr>
          <w:p>
            <w:r/>
            <w:r>
              <w:rPr>
                <w:b w:val="0"/>
                <w:sz w:val="18"/>
              </w:rPr>
              <w:t>1,148,037</w:t>
            </w:r>
          </w:p>
        </w:tc>
        <w:tc>
          <w:tcPr>
            <w:tcW w:type="dxa" w:w="2465"/>
          </w:tcPr>
          <w:p>
            <w:r/>
            <w:r>
              <w:rPr>
                <w:b w:val="0"/>
                <w:sz w:val="18"/>
              </w:rPr>
              <w:t>1,043,670</w:t>
            </w:r>
          </w:p>
        </w:tc>
        <w:tc>
          <w:tcPr>
            <w:tcW w:type="dxa" w:w="2465"/>
          </w:tcPr>
          <w:p>
            <w:r/>
            <w:r>
              <w:rPr>
                <w:b w:val="0"/>
                <w:sz w:val="18"/>
              </w:rPr>
              <w:t>104,367</w:t>
            </w:r>
          </w:p>
        </w:tc>
      </w:tr>
      <w:tr>
        <w:tc>
          <w:tcPr>
            <w:tcW w:type="dxa" w:w="2465"/>
          </w:tcPr>
          <w:p>
            <w:r/>
            <w:r>
              <w:rPr>
                <w:b w:val="0"/>
                <w:sz w:val="18"/>
              </w:rPr>
            </w:r>
          </w:p>
        </w:tc>
        <w:tc>
          <w:tcPr>
            <w:tcW w:type="dxa" w:w="2465"/>
          </w:tcPr>
          <w:p>
            <w:r/>
            <w:r>
              <w:rPr>
                <w:b w:val="0"/>
                <w:sz w:val="18"/>
              </w:rPr>
              <w:t>6,888,222</w:t>
            </w:r>
          </w:p>
        </w:tc>
        <w:tc>
          <w:tcPr>
            <w:tcW w:type="dxa" w:w="2465"/>
          </w:tcPr>
          <w:p>
            <w:r/>
            <w:r>
              <w:rPr>
                <w:b w:val="0"/>
                <w:sz w:val="18"/>
              </w:rPr>
              <w:t>5,000,000</w:t>
            </w:r>
          </w:p>
        </w:tc>
        <w:tc>
          <w:tcPr>
            <w:tcW w:type="dxa" w:w="2465"/>
          </w:tcPr>
          <w:p>
            <w:r/>
            <w:r>
              <w:rPr>
                <w:b w:val="0"/>
                <w:sz w:val="18"/>
              </w:rPr>
              <w:t>1,888,222</w:t>
            </w:r>
          </w:p>
        </w:tc>
      </w:tr>
    </w:tbl>
    <w:p>
      <w:pPr>
        <w:pStyle w:val="CrossRef"/>
      </w:pPr>
      <w:r>
        <w:t>Computation of interest and return of capital is discussed in Chapter 7.</w:t>
      </w:r>
    </w:p>
    <w:p>
      <w:pPr>
        <w:pStyle w:val="Heading2"/>
      </w:pPr>
      <w:r>
        <w:t>(at) Stock-in-trade</w:t>
      </w:r>
    </w:p>
    <w:p>
      <w:pPr>
        <w:pStyle w:val="Definition"/>
      </w:pPr>
      <w:r>
        <w:t>“Stock-in-trade” means stock of assets owned by a person that are sold in the ordinary course of the person’s business, assets in work-in-progress, and materials to be incorporated in assets. It does not include foreign currency assets.</w:t>
      </w:r>
    </w:p>
    <w:p>
      <w:pPr>
        <w:spacing w:after="120"/>
      </w:pPr>
      <w:r>
        <w:t>Assets kept directly or indirectly for sale in business are stock-in-trade. The nature of a taxpayer’s business determines whether a particular item is stock-in-trade. For example, furniture is stock-in-trade for a furniture trader, but may be a depreciable property for another person. Work-in-progress in production is also stock-in-trade. If a bank holds foreign currency or travellers’ cheques in stock, those are treated as foreign currency assets, not stock-in-trade.</w:t>
      </w:r>
    </w:p>
    <w:p>
      <w:pPr>
        <w:pStyle w:val="Heading2"/>
      </w:pPr>
      <w:r>
        <w:t>(au) Business asset</w:t>
      </w:r>
    </w:p>
    <w:p>
      <w:pPr>
        <w:pStyle w:val="Definition"/>
      </w:pPr>
      <w:r>
        <w:t>“Business asset” means an asset used in a business. It does not include stock-in-trade or a depreciable property of the business.</w:t>
      </w:r>
    </w:p>
    <w:p>
      <w:pPr>
        <w:spacing w:after="120"/>
      </w:pPr>
      <w:r>
        <w:t>Business assets include assets other than stock-in-trade and depreciable property, such as shares, land, receivables, advances, cash and bank balances. In clear terms, all assets owned by a business other than stock-in-trade and depreciable property are business assets.</w:t>
      </w:r>
    </w:p>
    <w:p>
      <w:pPr>
        <w:pStyle w:val="Heading2"/>
      </w:pPr>
      <w:r>
        <w:t>(av) Distribution</w:t>
      </w:r>
    </w:p>
    <w:p>
      <w:pPr>
        <w:pStyle w:val="Definition"/>
      </w:pPr>
      <w:r>
        <w:t>“Distribution” means a distribution made by an entity as referred to in Section 53.</w:t>
      </w:r>
    </w:p>
    <w:p>
      <w:pPr>
        <w:spacing w:after="120"/>
      </w:pPr>
      <w:r>
        <w:t>Generally, payments other than arm’s length commercial transactions between a beneficiary and an entity are treated as distributions by the entity. Section 53 explains distribution of profit and return of capital by an entity. A distribution generally becomes a distribution of profit or return of capital only where it reduces the value of the entity’s assets and liabilities.</w:t>
      </w:r>
    </w:p>
    <w:p>
      <w:pPr>
        <w:pStyle w:val="CrossRef"/>
      </w:pPr>
      <w:r>
        <w:t>Distributions by entities are further explained in Chapter 13.</w:t>
      </w:r>
    </w:p>
    <w:p>
      <w:pPr>
        <w:pStyle w:val="Heading2"/>
      </w:pPr>
      <w:r>
        <w:t>(av1) Electronic medium</w:t>
      </w:r>
    </w:p>
    <w:p>
      <w:pPr>
        <w:pStyle w:val="Definition"/>
      </w:pPr>
      <w:r>
        <w:t>“Electronic medium” means computer, fax, email, internet, electronic cash machine and fiscal printer, and includes any other approved medium specified by the Department.</w:t>
      </w:r>
    </w:p>
    <w:p>
      <w:pPr>
        <w:pStyle w:val="Heading2"/>
      </w:pPr>
      <w:r>
        <w:t>(aw) Repatriated income</w:t>
      </w:r>
    </w:p>
    <w:p>
      <w:pPr>
        <w:pStyle w:val="Definition"/>
      </w:pPr>
      <w:r>
        <w:t>“Repatriated income” means an amount of income of a foreign permanent establishment of a non-resident person situated in Nepal, as referred to in Section 68, that is required to be sent abroad and is sent abroad through a bank or paid by any other method.</w:t>
      </w:r>
    </w:p>
    <w:p>
      <w:pPr>
        <w:spacing w:after="120"/>
      </w:pPr>
      <w:r>
        <w:t>A non-resident person may have a permanent establishment in Nepal in relation to business or investment. The foreign permanent establishment in Nepal is responsible for depositing tax on its income. Although such establishments may be independent entities under Nepalese law, they cannot independently distribute profit and normally send the profit earned to the parent company, the non-resident. Such amounts are repatriated income. The amount repatriated abroad by a foreign permanent establishment in Nepal in an income year is equal to the dividend distributed by that establishment during that year.</w:t>
      </w:r>
    </w:p>
    <w:p>
      <w:pPr>
        <w:pStyle w:val="Example"/>
      </w:pPr>
      <w:r>
        <w:rPr>
          <w:b/>
        </w:rPr>
        <w:t xml:space="preserve">Example 2.24: </w:t>
      </w:r>
      <w:r>
        <w:t>The Nepal branch office of Global Life Insurance Company, operating with the required licence, is a permanent establishment in Nepal of a non-resident person. If the profit earned from investment insurance business in Nepal cannot be distributed by the branch itself and is remitted to the parent company, the amount is repatriated income. Tax must be withheld at 5 percent on such income sent abroad, and only the balance may be paid.</w:t>
      </w:r>
    </w:p>
    <w:p>
      <w:pPr>
        <w:pStyle w:val="Heading2"/>
      </w:pPr>
      <w:r>
        <w:t>(ax) Foreign income tax</w:t>
      </w:r>
    </w:p>
    <w:p>
      <w:pPr>
        <w:pStyle w:val="Definition"/>
      </w:pPr>
      <w:r>
        <w:t>“Foreign income tax” means foreign income tax referred to in Section 69(8) imposed by a foreign country, and includes final withholding tax imposed by a foreign country.</w:t>
      </w:r>
    </w:p>
    <w:p>
      <w:pPr>
        <w:pStyle w:val="Heading2"/>
      </w:pPr>
      <w:r>
        <w:t>(ay) Foreign permanent establishment</w:t>
      </w:r>
    </w:p>
    <w:p>
      <w:pPr>
        <w:pStyle w:val="Definition"/>
      </w:pPr>
      <w:r>
        <w:t>“Foreign permanent establishment” means an entity under sub-clause (5) of clause (x), namely a permanent establishment not situated in the country of residence. For example, the Nepal branch office of American Life Insurance Company, USA is a foreign permanent establishment.</w:t>
      </w:r>
    </w:p>
    <w:p>
      <w:pPr>
        <w:pStyle w:val="CrossRef"/>
      </w:pPr>
      <w:r>
        <w:t>Foreign permanent establishments are further explained in Chapter 14.</w:t>
      </w:r>
    </w:p>
    <w:p>
      <w:pPr>
        <w:pStyle w:val="Heading2"/>
      </w:pPr>
      <w:r>
        <w:t>(az) Department</w:t>
      </w:r>
    </w:p>
    <w:p>
      <w:pPr>
        <w:pStyle w:val="Definition"/>
      </w:pPr>
      <w:r>
        <w:t>“Department” means the Inland Revenue Department.</w:t>
      </w:r>
    </w:p>
    <w:p>
      <w:pPr>
        <w:spacing w:after="120"/>
      </w:pPr>
      <w:r>
        <w:t>Under Section 72, Large Taxpayer Office, Medium Level Taxpayer Office, Inland Revenue Offices and Taxpayer Service Offices are also treated as arms of the Department, and the term Department includes those offices.</w:t>
      </w:r>
    </w:p>
    <w:p>
      <w:pPr>
        <w:pStyle w:val="Heading2"/>
      </w:pPr>
      <w:r>
        <w:t>(ba) Foreign currency asset</w:t>
      </w:r>
    </w:p>
    <w:p>
      <w:pPr>
        <w:pStyle w:val="Definition"/>
      </w:pPr>
      <w:r>
        <w:t>“Foreign currency asset” means an asset denominated in a currency other than Nepalese rupees.</w:t>
      </w:r>
    </w:p>
    <w:p>
      <w:pPr>
        <w:pStyle w:val="Heading2"/>
      </w:pPr>
      <w:r>
        <w:t>(bb) Permanent establishment</w:t>
      </w:r>
    </w:p>
    <w:p>
      <w:pPr>
        <w:pStyle w:val="Definition"/>
      </w:pPr>
      <w:r>
        <w:t>“Permanent establishment” means a place where a person wholly or partly carries on business, and includes:</w:t>
      </w:r>
    </w:p>
    <w:p>
      <w:pPr>
        <w:pStyle w:val="ListNumber"/>
        <w:spacing w:after="60"/>
      </w:pPr>
      <w:r>
        <w:t>a place where a person wholly or partly carries on business through an agent, other than an ordinary agent acting independently in the ordinary course of business;</w:t>
      </w:r>
    </w:p>
    <w:p>
      <w:pPr>
        <w:pStyle w:val="ListNumber"/>
        <w:spacing w:after="60"/>
      </w:pPr>
      <w:r>
        <w:t>a place where a person’s main equipment or main machinery is situated, used or installed;</w:t>
      </w:r>
    </w:p>
    <w:p>
      <w:pPr>
        <w:pStyle w:val="ListNumber"/>
        <w:spacing w:after="60"/>
      </w:pPr>
      <w:r>
        <w:t>one or more places in a country where a person provides technical, professional or consulting services through employees or otherwise for more than ninety days, whether at one time or repeatedly, in any twelve-month period;</w:t>
      </w:r>
    </w:p>
    <w:p>
      <w:pPr>
        <w:pStyle w:val="ListNumber"/>
        <w:spacing w:after="60"/>
      </w:pPr>
      <w:r>
        <w:t>a place where a person is involved in a construction, installation or establishment project for ninety days or more, and the place where supervisory activities relating to that project are carried out; and</w:t>
      </w:r>
    </w:p>
    <w:p>
      <w:pPr>
        <w:pStyle w:val="ListNumber"/>
        <w:spacing w:after="60"/>
      </w:pPr>
      <w:r>
        <w:t>where a person outside Nepal has significant digital presence in Nepal, the relevant place, or a place outside Nepal where a server is kept and data or service transactions are carried out in Nepal for at least ninety days in the preceding twelve months.</w:t>
      </w:r>
    </w:p>
    <w:p>
      <w:pPr>
        <w:spacing w:after="120"/>
      </w:pPr>
      <w:r>
        <w:t>A fixed place where a person carries on business is called a permanent establishment. For tax treatment, it is viewed as a foreign permanent establishment. For a foreign person, a place of business is treated as a foreign permanent establishment in the following circumstances:</w:t>
      </w:r>
    </w:p>
    <w:p>
      <w:pPr>
        <w:pStyle w:val="ListBullet"/>
        <w:spacing w:after="60"/>
      </w:pPr>
      <w:r>
        <w:t>Fixed place: Any structure established in Nepal by a non-resident to carry on business is a permanent establishment. It may include a branch, factory, workshop, place of management, oil well, mine, gas well, agricultural or plantation farm and similar place. For a fixed-place permanent establishment of a non-resident in Nepal, no duration test is required.</w:t>
      </w:r>
    </w:p>
    <w:p>
      <w:pPr>
        <w:pStyle w:val="Example"/>
      </w:pPr>
      <w:r>
        <w:rPr>
          <w:b/>
        </w:rPr>
        <w:t xml:space="preserve">Example 2.25: </w:t>
      </w:r>
      <w:r>
        <w:t>American Sport Inc. opens a branch office at Durbar Marg to sell and distribute its goods in Nepal. Although the Income Tax Act taxes entities or natural persons, even a branch of a non-resident is taxed as a permanent establishment. Where location is decisive, it is not necessary to count how many days the structure was effective in Nepal.</w:t>
      </w:r>
    </w:p>
    <w:p>
      <w:pPr>
        <w:pStyle w:val="ListBullet"/>
        <w:spacing w:after="60"/>
      </w:pPr>
      <w:r>
        <w:t>Agency permanent establishment: Except for an ordinary agent acting independently in the ordinary course of business, where the place through which an agent wholly or partly carries on the business of a person is in Nepal, the place of the agent’s activity is a permanent establishment. Work by an independent agent is not treated as a permanent establishment. Where a local agent has authority to conclude contracts in the name of the principal and habitually exercises that authority, the agent is treated as a dependent agent.</w:t>
      </w:r>
    </w:p>
    <w:p>
      <w:pPr>
        <w:pStyle w:val="Example"/>
      </w:pPr>
      <w:r>
        <w:rPr>
          <w:b/>
        </w:rPr>
        <w:t xml:space="preserve">Example 2.26: </w:t>
      </w:r>
      <w:r>
        <w:t>American Sport Inc. appoints Amco Sports Pvt. Ltd., a resident of Nepal, as distributor to sell and distribute its goods in Nepal. Amco imports the goods from the American company and sells them at prices it determines on its own risk and price analysis. The American company has no ownership of the goods imported for sale in Nepal and no restriction or special assistance concerning sale price or prospective customers; it only sends goods to Nepal through Amco. Although Amco’s business shows support from the American company, Amco is fully independent in operating its business and is only an ordinary importer. In this situation, Amco is not the Nepal permanent establishment of the American company. However, if American Sport Inc. sets the sales price and bears the profit or loss of sales made by Amco, the agency is a dependent agent and is treated as a permanent establishment. In determining dependent agent status, conduct prevails over declarations or documents. A dependent agent must file separate income returns for the permanent establishment transactions of the principal and for its own transactions, including commission or other consideration received.</w:t>
      </w:r>
    </w:p>
    <w:p>
      <w:pPr>
        <w:pStyle w:val="ListBullet"/>
        <w:spacing w:after="60"/>
      </w:pPr>
      <w:r>
        <w:t>Service permanent establishment: Where a non-resident provides services in Nepal by sending employees or through other representatives for technical, professional, consulting or similar services, and their aggregate presence reaches 90 days in the preceding 12-month moving period, the person providing the service is treated as having a permanent establishment.</w:t>
      </w:r>
    </w:p>
    <w:p>
      <w:pPr>
        <w:pStyle w:val="Example"/>
      </w:pPr>
      <w:r>
        <w:rPr>
          <w:b/>
        </w:rPr>
        <w:t xml:space="preserve">Example 2.27: </w:t>
      </w:r>
      <w:r>
        <w:t>American Sport Inc. receives a research assignment on international sports opportunities in Nepal. It sends two employees who work in Nepal for 35 days from January 1. To complete the remaining work, two employees again work in Nepal for 30 days in July and 60 days in December. Because the employees’ stay in Nepal for completion of the work reaches 90 days in the preceding 12-month moving period, American Sport Inc. is treated as having a permanent establishment.</w:t>
      </w:r>
    </w:p>
    <w:p>
      <w:pPr>
        <w:pStyle w:val="ListBullet"/>
        <w:spacing w:after="60"/>
      </w:pPr>
      <w:r>
        <w:t>Construction or installation permanent establishment: Where a non-resident carries out construction, installation or establishment work in Nepal, or provides related ancillary services, and its presence at that place is continuous for 90 days or more, the construction, installation or establishment site itself is the permanent establishment.</w:t>
      </w:r>
    </w:p>
    <w:p>
      <w:pPr>
        <w:pStyle w:val="Example"/>
      </w:pPr>
      <w:r>
        <w:rPr>
          <w:b/>
        </w:rPr>
        <w:t xml:space="preserve">Example 2.28: </w:t>
      </w:r>
      <w:r>
        <w:t>Singapore Construction Company receives a 100-day work order for drying tunnel sludge in the Melamchi project. It sends five employees and they complete the assigned work within 95 days. Because Singapore Construction Company performs the work while being involved in Nepal for more than 90 continuous days, it is treated as having a permanent establishment.</w:t>
      </w:r>
    </w:p>
    <w:p>
      <w:pPr>
        <w:pStyle w:val="Heading2"/>
      </w:pPr>
      <w:r>
        <w:t>(bc) Property</w:t>
      </w:r>
    </w:p>
    <w:p>
      <w:pPr>
        <w:pStyle w:val="Definition"/>
      </w:pPr>
      <w:r>
        <w:t>“Property” means tangible or intangible property of any kind and includes currency, goodwill, technological knowledge, estate, ownership or interest in a foreign branch of a person, the right to earn income or to receive income in the future, and any part of such property.</w:t>
      </w:r>
    </w:p>
    <w:p>
      <w:pPr>
        <w:spacing w:after="120"/>
      </w:pPr>
      <w:r>
        <w:t>For income-tax purposes, the status of assets, their ordinary treatment and their treatment on disposal may be summarized as follows:</w:t>
      </w:r>
    </w:p>
    <w:tbl>
      <w:tblPr>
        <w:tblStyle w:val="TableGrid"/>
        <w:tblW w:type="auto" w:w="0"/>
        <w:jc w:val="center"/>
        <w:tblLook w:firstColumn="1" w:firstRow="1" w:lastColumn="0" w:lastRow="0" w:noHBand="0" w:noVBand="1" w:val="04A0"/>
      </w:tblPr>
      <w:tblGrid>
        <w:gridCol w:w="4929"/>
        <w:gridCol w:w="4929"/>
      </w:tblGrid>
      <w:tr>
        <w:tc>
          <w:tcPr>
            <w:tcW w:type="dxa" w:w="4929"/>
            <w:shd w:fill="D9EAF7"/>
          </w:tcPr>
          <w:p>
            <w:r/>
            <w:r>
              <w:rPr>
                <w:b/>
                <w:sz w:val="18"/>
              </w:rPr>
              <w:t>Category of property</w:t>
            </w:r>
          </w:p>
        </w:tc>
        <w:tc>
          <w:tcPr>
            <w:tcW w:type="dxa" w:w="4929"/>
            <w:shd w:fill="D9EAF7"/>
          </w:tcPr>
          <w:p>
            <w:r/>
            <w:r>
              <w:rPr>
                <w:b/>
                <w:sz w:val="18"/>
              </w:rPr>
              <w:t>General income-tax treatment</w:t>
            </w:r>
          </w:p>
        </w:tc>
      </w:tr>
      <w:tr>
        <w:tc>
          <w:tcPr>
            <w:tcW w:type="dxa" w:w="4929"/>
          </w:tcPr>
          <w:p>
            <w:r>
              <w:t>Stock-in-trade</w:t>
            </w:r>
            <w:r>
              <w:rPr>
                <w:b w:val="0"/>
                <w:sz w:val="18"/>
              </w:rPr>
            </w:r>
          </w:p>
        </w:tc>
        <w:tc>
          <w:tcPr>
            <w:tcW w:type="dxa" w:w="4929"/>
          </w:tcPr>
          <w:p>
            <w:r/>
            <w:r>
              <w:rPr>
                <w:b w:val="0"/>
                <w:sz w:val="18"/>
              </w:rPr>
              <w:t>Amounts received are included in income under Section 7(2)(b); cost is deductible under Section 15 on disposal.</w:t>
            </w:r>
          </w:p>
        </w:tc>
      </w:tr>
      <w:tr>
        <w:tc>
          <w:tcPr>
            <w:tcW w:type="dxa" w:w="4929"/>
          </w:tcPr>
          <w:p>
            <w:r>
              <w:t>Depreciable property</w:t>
            </w:r>
            <w:r>
              <w:rPr>
                <w:b w:val="0"/>
                <w:sz w:val="18"/>
              </w:rPr>
            </w:r>
          </w:p>
        </w:tc>
        <w:tc>
          <w:tcPr>
            <w:tcW w:type="dxa" w:w="4929"/>
          </w:tcPr>
          <w:p>
            <w:r/>
            <w:r>
              <w:rPr>
                <w:b w:val="0"/>
                <w:sz w:val="18"/>
              </w:rPr>
              <w:t>Depreciation is allowed under Section 19 and Schedule 2; excess over depreciation basis is included in income under Sections 7(2)(d), 9(2)(c) and Schedule 2.</w:t>
            </w:r>
          </w:p>
        </w:tc>
      </w:tr>
      <w:tr>
        <w:tc>
          <w:tcPr>
            <w:tcW w:type="dxa" w:w="4929"/>
          </w:tcPr>
          <w:p>
            <w:r/>
            <w:r>
              <w:rPr>
                <w:b w:val="0"/>
                <w:sz w:val="18"/>
              </w:rPr>
              <w:t>Business asset</w:t>
            </w:r>
          </w:p>
        </w:tc>
        <w:tc>
          <w:tcPr>
            <w:tcW w:type="dxa" w:w="4929"/>
          </w:tcPr>
          <w:p>
            <w:r/>
            <w:r>
              <w:rPr>
                <w:b w:val="0"/>
                <w:sz w:val="18"/>
              </w:rPr>
              <w:t>Net gain is treated as income under Section 7(2)(c); net loss is not deductible on disposal unless provided by the Act.</w:t>
            </w:r>
          </w:p>
        </w:tc>
      </w:tr>
      <w:tr>
        <w:tc>
          <w:tcPr>
            <w:tcW w:type="dxa" w:w="4929"/>
          </w:tcPr>
          <w:p>
            <w:r>
              <w:t>Non-business taxable asset</w:t>
            </w:r>
            <w:r>
              <w:rPr>
                <w:b w:val="0"/>
                <w:sz w:val="18"/>
              </w:rPr>
            </w:r>
          </w:p>
        </w:tc>
        <w:tc>
          <w:tcPr>
            <w:tcW w:type="dxa" w:w="4929"/>
          </w:tcPr>
          <w:p>
            <w:r/>
            <w:r>
              <w:rPr>
                <w:b w:val="0"/>
                <w:sz w:val="18"/>
              </w:rPr>
              <w:t>Net gain is treated as income under Section 9(2)(b); net loss is not deductible.</w:t>
            </w:r>
          </w:p>
        </w:tc>
      </w:tr>
      <w:tr>
        <w:tc>
          <w:tcPr>
            <w:tcW w:type="dxa" w:w="4929"/>
          </w:tcPr>
          <w:p>
            <w:r/>
            <w:r>
              <w:rPr>
                <w:b w:val="0"/>
                <w:sz w:val="18"/>
              </w:rPr>
              <w:t>Other property</w:t>
            </w:r>
          </w:p>
        </w:tc>
        <w:tc>
          <w:tcPr>
            <w:tcW w:type="dxa" w:w="4929"/>
          </w:tcPr>
          <w:p>
            <w:r/>
            <w:r>
              <w:rPr>
                <w:b w:val="0"/>
                <w:sz w:val="18"/>
              </w:rPr>
              <w:t>Ordinarily has no effect for income-tax purposes.</w:t>
            </w:r>
          </w:p>
        </w:tc>
      </w:tr>
    </w:tbl>
    <w:p>
      <w:pPr>
        <w:pStyle w:val="Heading2"/>
      </w:pPr>
      <w:r>
        <w:t>(bd) Associated person</w:t>
      </w:r>
    </w:p>
    <w:p>
      <w:pPr>
        <w:pStyle w:val="Definition"/>
      </w:pPr>
      <w:r>
        <w:t>“Associated person” means one or more persons, or a group of persons, who act according to the intention of another person, and includes:</w:t>
      </w:r>
    </w:p>
    <w:p>
      <w:pPr>
        <w:pStyle w:val="ListNumber"/>
        <w:spacing w:after="60"/>
      </w:pPr>
      <w:r>
        <w:t>a natural person and a relative of that person, or a person and that person’s partner;</w:t>
      </w:r>
    </w:p>
    <w:p>
      <w:pPr>
        <w:pStyle w:val="ListNumber"/>
        <w:spacing w:after="60"/>
      </w:pPr>
      <w:r>
        <w:t>a foreign permanent establishment and the person having ownership in that establishment; and</w:t>
      </w:r>
    </w:p>
    <w:p>
      <w:pPr>
        <w:pStyle w:val="ListNumber"/>
        <w:spacing w:after="60"/>
      </w:pPr>
      <w:r>
        <w:t>an entity that alone, or together with an associated person or an associate entity or a person or entity associated with such associate entity, controls or benefits from fifty percent or more of the income, capital or voting rights of another entity.</w:t>
      </w:r>
    </w:p>
    <w:p>
      <w:pPr>
        <w:spacing w:after="120"/>
      </w:pPr>
      <w:r>
        <w:t>However, an employee and any person whom the Department determines not to be an associated person are not associated persons.</w:t>
      </w:r>
    </w:p>
    <w:p>
      <w:pPr>
        <w:spacing w:after="120"/>
      </w:pPr>
      <w:r>
        <w:t>Where an arrangement exists under which one person conducts, or is deemed to conduct, transactions according to the intention of another, the persons are associated persons. For income-tax purposes, if a payment required to be made to a person is made to that person’s associated person, the payment is treated as made to the first person. The following are associated persons:</w:t>
      </w:r>
    </w:p>
    <w:p>
      <w:pPr>
        <w:pStyle w:val="ListBullet"/>
        <w:spacing w:after="60"/>
      </w:pPr>
      <w:r>
        <w:t>Relatives: all relatives are associated persons for that natural person.</w:t>
      </w:r>
    </w:p>
    <w:p>
      <w:pPr>
        <w:pStyle w:val="ListBullet"/>
        <w:spacing w:after="60"/>
      </w:pPr>
      <w:r>
        <w:t>Partners: a partnership firm and its partners are associated with each other.</w:t>
      </w:r>
    </w:p>
    <w:p>
      <w:pPr>
        <w:pStyle w:val="Example"/>
      </w:pPr>
      <w:r>
        <w:rPr>
          <w:b/>
        </w:rPr>
        <w:t xml:space="preserve">Example 2.29: </w:t>
      </w:r>
      <w:r>
        <w:t>Ram and Binod are partners in Rambinod Partnership Firm. Even if they have no other relationship, both are associated persons for the partnership because of the partnership, and Ram and Binod are also associated with each other.</w:t>
      </w:r>
    </w:p>
    <w:p>
      <w:pPr>
        <w:pStyle w:val="ListBullet"/>
        <w:spacing w:after="60"/>
      </w:pPr>
      <w:r>
        <w:t>Permanent establishment: a foreign permanent establishment and the non-resident person owning it are associated persons of each other.</w:t>
      </w:r>
    </w:p>
    <w:p>
      <w:pPr>
        <w:pStyle w:val="ListBullet"/>
        <w:spacing w:after="60"/>
      </w:pPr>
      <w:r>
        <w:t>Inter-related controllers: an entity that, alone or together with associated persons or associate entities, controls or benefits from fifty percent or more of the income, capital or voting rights of another entity.</w:t>
      </w:r>
    </w:p>
    <w:p>
      <w:pPr>
        <w:pStyle w:val="Example"/>
      </w:pPr>
      <w:r>
        <w:rPr>
          <w:b/>
        </w:rPr>
        <w:t xml:space="preserve">Example 2.30: </w:t>
      </w:r>
      <w:r>
        <w:t>Ram and Binod are partners of Ram Binod Partnership Firm. Apart from that partnership, each holds 35 percent shares in Nepal Company Limited. Even if there is no other relationship, for Nepal Company Limited both Ram and Binod are associated persons, and even if neither controls the partnership or the company alone, Ram and Binod are associated with each other.</w:t>
      </w:r>
    </w:p>
    <w:p>
      <w:pPr>
        <w:pStyle w:val="Example"/>
      </w:pPr>
      <w:r>
        <w:rPr>
          <w:b/>
        </w:rPr>
        <w:t xml:space="preserve">Example 2.31: </w:t>
      </w:r>
      <w:r>
        <w:t>In Nepal Company, Ram, Ram’s wife, Ram’s nephew, Binod and Binod’s grandson each hold 15 percent shares. Ram and Binod are partners of one firm and are therefore associated persons. The other persons are associated with either Ram or Binod through family relationship. Since associated persons hold 75 percent controlling shares of Nepal Company, each of them is treated as an associated person.</w:t>
      </w:r>
    </w:p>
    <w:p>
      <w:pPr>
        <w:pStyle w:val="Example"/>
      </w:pPr>
      <w:r>
        <w:rPr>
          <w:b/>
        </w:rPr>
        <w:t xml:space="preserve">Example 2.32: </w:t>
      </w:r>
      <w:r>
        <w:t>Kathmandu Company holds 60 percent and Bhaktapur Company holds 40 percent shares in Purbi Upatyaka Company. Because of share control, Kathmandu Company and Purbi Upatyaka Company are associated. If Upatyaka Company is held 40 percent by Purbi Upatyaka Company, 40 percent by Lalitpur Company and 20 percent by Kathmandu Company, Upatyaka Company, Purbi Upatyaka Company and Kathmandu Company are associated with one another.</w:t>
      </w:r>
    </w:p>
    <w:p>
      <w:pPr>
        <w:pStyle w:val="Example"/>
      </w:pPr>
      <w:r>
        <w:rPr>
          <w:b/>
        </w:rPr>
        <w:t xml:space="preserve">Example 2.33: </w:t>
      </w:r>
      <w:r>
        <w:t>A Limited has two subsidiaries: B Ltd. with 52 percent ownership and C Ltd. with 60 percent ownership. C Ltd. purchases 52 percent shares of T Ltd. B Ltd., C Ltd. and T Ltd. each purchase 18 percent shares of P Ltd. In this case all companies are treated as associated persons. The share structure gives the following control analysis:</w:t>
      </w:r>
    </w:p>
    <w:tbl>
      <w:tblPr>
        <w:tblStyle w:val="TableGrid"/>
        <w:tblW w:type="auto" w:w="0"/>
        <w:jc w:val="center"/>
        <w:tblLook w:firstColumn="1" w:firstRow="1" w:lastColumn="0" w:lastRow="0" w:noHBand="0" w:noVBand="1" w:val="04A0"/>
      </w:tblPr>
      <w:tblGrid>
        <w:gridCol w:w="2465"/>
        <w:gridCol w:w="2465"/>
        <w:gridCol w:w="2465"/>
        <w:gridCol w:w="2465"/>
      </w:tblGrid>
      <w:tr>
        <w:tc>
          <w:tcPr>
            <w:tcW w:type="dxa" w:w="2465"/>
            <w:shd w:fill="D9EAF7"/>
          </w:tcPr>
          <w:p>
            <w:r/>
            <w:r>
              <w:rPr>
                <w:b/>
                <w:sz w:val="18"/>
              </w:rPr>
              <w:t>Controlled company</w:t>
            </w:r>
          </w:p>
        </w:tc>
        <w:tc>
          <w:tcPr>
            <w:tcW w:type="dxa" w:w="2465"/>
            <w:shd w:fill="D9EAF7"/>
          </w:tcPr>
          <w:p>
            <w:r/>
            <w:r>
              <w:rPr>
                <w:b/>
                <w:sz w:val="18"/>
              </w:rPr>
              <w:t>Direct control</w:t>
            </w:r>
          </w:p>
        </w:tc>
        <w:tc>
          <w:tcPr>
            <w:tcW w:type="dxa" w:w="2465"/>
            <w:shd w:fill="D9EAF7"/>
          </w:tcPr>
          <w:p>
            <w:r/>
            <w:r>
              <w:rPr>
                <w:b/>
                <w:sz w:val="18"/>
              </w:rPr>
              <w:t>Associated persons</w:t>
            </w:r>
          </w:p>
        </w:tc>
        <w:tc>
          <w:tcPr>
            <w:tcW w:type="dxa" w:w="2465"/>
            <w:shd w:fill="D9EAF7"/>
          </w:tcPr>
          <w:p>
            <w:r/>
            <w:r>
              <w:rPr>
                <w:b/>
                <w:sz w:val="18"/>
              </w:rPr>
              <w:t>Effective control of A group</w:t>
            </w:r>
          </w:p>
        </w:tc>
      </w:tr>
      <w:tr>
        <w:tc>
          <w:tcPr>
            <w:tcW w:type="dxa" w:w="2465"/>
          </w:tcPr>
          <w:p>
            <w:r/>
            <w:r>
              <w:rPr>
                <w:b w:val="0"/>
                <w:sz w:val="18"/>
              </w:rPr>
              <w:t>B Ltd.</w:t>
            </w:r>
          </w:p>
        </w:tc>
        <w:tc>
          <w:tcPr>
            <w:tcW w:type="dxa" w:w="2465"/>
          </w:tcPr>
          <w:p>
            <w:r/>
            <w:r>
              <w:rPr>
                <w:b w:val="0"/>
                <w:sz w:val="18"/>
              </w:rPr>
              <w:t>52%</w:t>
            </w:r>
          </w:p>
        </w:tc>
        <w:tc>
          <w:tcPr>
            <w:tcW w:type="dxa" w:w="2465"/>
          </w:tcPr>
          <w:p>
            <w:r/>
            <w:r>
              <w:rPr>
                <w:b w:val="0"/>
                <w:sz w:val="18"/>
              </w:rPr>
              <w:t>A, B, C, T, P (all associated persons)</w:t>
            </w:r>
          </w:p>
        </w:tc>
        <w:tc>
          <w:tcPr>
            <w:tcW w:type="dxa" w:w="2465"/>
          </w:tcPr>
          <w:p>
            <w:r/>
            <w:r>
              <w:rPr>
                <w:b w:val="0"/>
                <w:sz w:val="18"/>
              </w:rPr>
              <w:t>52%</w:t>
            </w:r>
          </w:p>
        </w:tc>
      </w:tr>
      <w:tr>
        <w:tc>
          <w:tcPr>
            <w:tcW w:type="dxa" w:w="2465"/>
          </w:tcPr>
          <w:p>
            <w:r/>
            <w:r>
              <w:rPr>
                <w:b w:val="0"/>
                <w:sz w:val="18"/>
              </w:rPr>
              <w:t>C Ltd.</w:t>
            </w:r>
          </w:p>
        </w:tc>
        <w:tc>
          <w:tcPr>
            <w:tcW w:type="dxa" w:w="2465"/>
          </w:tcPr>
          <w:p>
            <w:r/>
            <w:r>
              <w:rPr>
                <w:b w:val="0"/>
                <w:sz w:val="18"/>
              </w:rPr>
              <w:t>60%</w:t>
            </w:r>
          </w:p>
        </w:tc>
        <w:tc>
          <w:tcPr>
            <w:tcW w:type="dxa" w:w="2465"/>
          </w:tcPr>
          <w:p>
            <w:r/>
            <w:r>
              <w:rPr>
                <w:b w:val="0"/>
                <w:sz w:val="18"/>
              </w:rPr>
              <w:t>A, B, C, T, P (all associated persons)</w:t>
            </w:r>
          </w:p>
        </w:tc>
        <w:tc>
          <w:tcPr>
            <w:tcW w:type="dxa" w:w="2465"/>
          </w:tcPr>
          <w:p>
            <w:r/>
            <w:r>
              <w:rPr>
                <w:b w:val="0"/>
                <w:sz w:val="18"/>
              </w:rPr>
              <w:t>60%</w:t>
            </w:r>
          </w:p>
        </w:tc>
      </w:tr>
      <w:tr>
        <w:tc>
          <w:tcPr>
            <w:tcW w:type="dxa" w:w="2465"/>
          </w:tcPr>
          <w:p>
            <w:r/>
            <w:r>
              <w:rPr>
                <w:b w:val="0"/>
                <w:sz w:val="18"/>
              </w:rPr>
              <w:t>T Ltd.</w:t>
            </w:r>
          </w:p>
        </w:tc>
        <w:tc>
          <w:tcPr>
            <w:tcW w:type="dxa" w:w="2465"/>
          </w:tcPr>
          <w:p>
            <w:r/>
            <w:r>
              <w:rPr>
                <w:b w:val="0"/>
                <w:sz w:val="18"/>
              </w:rPr>
              <w:t>52%</w:t>
            </w:r>
          </w:p>
        </w:tc>
        <w:tc>
          <w:tcPr>
            <w:tcW w:type="dxa" w:w="2465"/>
          </w:tcPr>
          <w:p>
            <w:r/>
            <w:r>
              <w:rPr>
                <w:b w:val="0"/>
                <w:sz w:val="18"/>
              </w:rPr>
              <w:t>A, B, C, T, P (all associated persons)</w:t>
            </w:r>
          </w:p>
        </w:tc>
        <w:tc>
          <w:tcPr>
            <w:tcW w:type="dxa" w:w="2465"/>
          </w:tcPr>
          <w:p>
            <w:r/>
            <w:r>
              <w:rPr>
                <w:b w:val="0"/>
                <w:sz w:val="18"/>
              </w:rPr>
              <w:t>31%</w:t>
            </w:r>
          </w:p>
        </w:tc>
      </w:tr>
      <w:tr>
        <w:tc>
          <w:tcPr>
            <w:tcW w:type="dxa" w:w="2465"/>
          </w:tcPr>
          <w:p>
            <w:r/>
            <w:r>
              <w:rPr>
                <w:b w:val="0"/>
                <w:sz w:val="18"/>
              </w:rPr>
              <w:t>P Ltd.</w:t>
            </w:r>
          </w:p>
        </w:tc>
        <w:tc>
          <w:tcPr>
            <w:tcW w:type="dxa" w:w="2465"/>
          </w:tcPr>
          <w:p>
            <w:r/>
            <w:r>
              <w:rPr>
                <w:b w:val="0"/>
                <w:sz w:val="18"/>
              </w:rPr>
              <w:t>54%</w:t>
            </w:r>
          </w:p>
        </w:tc>
        <w:tc>
          <w:tcPr>
            <w:tcW w:type="dxa" w:w="2465"/>
          </w:tcPr>
          <w:p>
            <w:r/>
            <w:r>
              <w:rPr>
                <w:b w:val="0"/>
                <w:sz w:val="18"/>
              </w:rPr>
              <w:t>A, B, C, T, P (all associated persons)</w:t>
            </w:r>
          </w:p>
        </w:tc>
        <w:tc>
          <w:tcPr>
            <w:tcW w:type="dxa" w:w="2465"/>
          </w:tcPr>
          <w:p>
            <w:r/>
            <w:r>
              <w:rPr>
                <w:b w:val="0"/>
                <w:sz w:val="18"/>
              </w:rPr>
              <w:t>30%</w:t>
            </w:r>
          </w:p>
        </w:tc>
      </w:tr>
    </w:tbl>
    <w:p>
      <w:pPr>
        <w:pStyle w:val="Heading2"/>
      </w:pPr>
      <w:r>
        <w:t>(bd1) Adjusted taxable income</w:t>
      </w:r>
    </w:p>
    <w:p>
      <w:pPr>
        <w:pStyle w:val="Definition"/>
      </w:pPr>
      <w:r>
        <w:t>“Adjusted taxable income” means the taxable income of a person for an income year computed without reducing any amount under Sections 12, 12A, 12B and 12C, and without deducting amounts under Section 14(2), Section 17 or Section 18.</w:t>
      </w:r>
    </w:p>
    <w:p>
      <w:pPr>
        <w:spacing w:after="120"/>
      </w:pPr>
      <w:r>
        <w:t>In computing taxable income from business and investment, the Act permits deduction of expenses and claim of donation relief. In computing remuneration income, donation relief may also be claimed. Taxable income computed without reducing amounts under Sections 12, 12A, 12B and 12C, without claiming deduction of interest under Section 14(2), pollution control expenditure under Section 17, or research and development expenditure under Section 18, and without claiming donation expense relief under Section 12, is adjusted taxable income.</w:t>
      </w:r>
    </w:p>
    <w:p>
      <w:pPr>
        <w:pStyle w:val="ListBullet"/>
        <w:spacing w:after="60"/>
      </w:pPr>
      <w:r>
        <w:t>For computing the donation limit: taxable income before deducting the donation amount, but after allowing deductions under Sections 14(2), 17 and 18 without applying their limits.</w:t>
      </w:r>
    </w:p>
    <w:p>
      <w:pPr>
        <w:pStyle w:val="ListBullet"/>
        <w:spacing w:after="60"/>
      </w:pPr>
      <w:r>
        <w:t>For computing the interest limit: taxable income before deducting donation and the amount under Section 14(2), but after allowing Sections 17 and 18 without applying their limits.</w:t>
      </w:r>
    </w:p>
    <w:p>
      <w:pPr>
        <w:pStyle w:val="ListBullet"/>
        <w:spacing w:after="60"/>
      </w:pPr>
      <w:r>
        <w:t>For computing the pollution control expenditure limit: taxable income before deducting donation and the amount under Section 17(2), but after allowing Sections 14(2) and 18 without applying their limits.</w:t>
      </w:r>
    </w:p>
    <w:p>
      <w:pPr>
        <w:pStyle w:val="ListBullet"/>
        <w:spacing w:after="60"/>
      </w:pPr>
      <w:r>
        <w:t>For computing the research and development expenditure limit: taxable income before deducting donation and the amount under Section 18(2), but after allowing Sections 14(2) and 17 without applying their limits.</w:t>
      </w:r>
    </w:p>
    <w:p>
      <w:pPr>
        <w:pStyle w:val="CrossRef"/>
      </w:pPr>
      <w:r>
        <w:t>An example of computation of adjusted taxable income is given in Chapter 18.</w:t>
      </w:r>
    </w:p>
    <w:p>
      <w:pPr>
        <w:pStyle w:val="Heading2"/>
      </w:pPr>
      <w:r>
        <w:t>(be) Partnership</w:t>
      </w:r>
    </w:p>
    <w:p>
      <w:pPr>
        <w:pStyle w:val="Definition"/>
      </w:pPr>
      <w:r>
        <w:t>“Partnership” means a firm, registered or unregistered under the prevailing law, having fewer than twenty partners. It does not include a registered or unregistered proprietorship firm or a joint venture.</w:t>
      </w:r>
    </w:p>
    <w:p>
      <w:pPr>
        <w:spacing w:after="120"/>
      </w:pPr>
      <w:r>
        <w:t>A partnership firm may have up to 19 partners whether registered or not. If the number of partners is higher, the partnership firm is treated as a company for tax purposes.</w:t>
      </w:r>
    </w:p>
    <w:p>
      <w:pPr>
        <w:pStyle w:val="Heading2"/>
      </w:pPr>
      <w:r>
        <w:t>(bf) Normal interest rate</w:t>
      </w:r>
    </w:p>
    <w:p>
      <w:pPr>
        <w:pStyle w:val="Definition"/>
      </w:pPr>
      <w:r>
        <w:t>“Normal interest rate” means an annual interest rate of fifteen percent.</w:t>
      </w:r>
    </w:p>
    <w:p>
      <w:pPr>
        <w:pStyle w:val="Heading2"/>
      </w:pPr>
      <w:r>
        <w:t>(bg) Approved retirement fund</w:t>
      </w:r>
    </w:p>
    <w:p>
      <w:pPr>
        <w:pStyle w:val="Definition"/>
      </w:pPr>
      <w:r>
        <w:t>“Approved retirement fund” means a retirement fund approved by the Department under Section 63(1).</w:t>
      </w:r>
    </w:p>
    <w:p>
      <w:pPr>
        <w:spacing w:after="120"/>
      </w:pPr>
      <w:r>
        <w:t>Retirement funds approved by the Department, and retirement funds operated by the Employees Provident Fund, Citizen Investment Trust, Social Security Fund and pension funds, are approved retirement funds. A retirement fund operated without approval of the Department is an unapproved or non-approved retirement fund.</w:t>
      </w:r>
    </w:p>
    <w:p>
      <w:pPr>
        <w:pStyle w:val="CrossRef"/>
      </w:pPr>
      <w:r>
        <w:t>Approved retirement funds are explained in Chapter 12.</w:t>
      </w:r>
    </w:p>
    <w:p>
      <w:pPr>
        <w:pStyle w:val="Heading2"/>
      </w:pPr>
      <w:r>
        <w:t>(bh) Service charge</w:t>
      </w:r>
    </w:p>
    <w:p>
      <w:pPr>
        <w:pStyle w:val="Definition"/>
      </w:pPr>
      <w:r>
        <w:t>“Service charge” means any fee paid at market value to a person for services provided by that person and includes meeting allowance, management fee or technical service charge.</w:t>
      </w:r>
    </w:p>
    <w:p>
      <w:pPr>
        <w:spacing w:after="120"/>
      </w:pPr>
      <w:r>
        <w:t>Examples include consultancy fees paid to a consultant for services and remuneration paid to an auditor for audit services. However, where an internal auditor is an employee, the salary paid is remuneration, not a service charge.</w:t>
      </w:r>
    </w:p>
    <w:p>
      <w:pPr>
        <w:pStyle w:val="Heading2"/>
      </w:pPr>
      <w:r>
        <w:t>(bi) Shareholder</w:t>
      </w:r>
    </w:p>
    <w:p>
      <w:pPr>
        <w:pStyle w:val="Definition"/>
      </w:pPr>
      <w:r>
        <w:t>“Shareholder” means a person who is a beneficiary of a company.</w:t>
      </w:r>
    </w:p>
    <w:p>
      <w:pPr>
        <w:pStyle w:val="Heading2"/>
      </w:pPr>
      <w:r>
        <w:t>(bj) Depreciable property</w:t>
      </w:r>
    </w:p>
    <w:p>
      <w:pPr>
        <w:pStyle w:val="Definition"/>
      </w:pPr>
      <w:r>
        <w:t>“Depreciable property” means an asset used for earning income from business or investment whose value decreases because of wear and tear, obsolescence or passage of time. It does not include stock-in-trade.</w:t>
      </w:r>
    </w:p>
    <w:p>
      <w:pPr>
        <w:spacing w:after="120"/>
      </w:pPr>
      <w:r>
        <w:t>Assets that are consumed or suffer wear and tear over time and through use are depreciable property. Depending on the nature of the person’s business, an item may have different character. Furniture is stock-in-trade for a furniture trader, but if used in another business or investment, it is a depreciable property. Generally, where an asset whose value decreases through time and use is used to earn income, it is a depreciable property.</w:t>
      </w:r>
    </w:p>
    <w:p>
      <w:pPr>
        <w:pStyle w:val="Heading2"/>
      </w:pPr>
      <w:r>
        <w:t>(bk) Beneficiary</w:t>
      </w:r>
    </w:p>
    <w:p>
      <w:pPr>
        <w:pStyle w:val="Definition"/>
      </w:pPr>
      <w:r>
        <w:t>“Beneficiary” means a person who has an interest in an entity under clause (y).</w:t>
      </w:r>
    </w:p>
    <w:p>
      <w:pPr>
        <w:spacing w:after="120"/>
      </w:pPr>
      <w:r>
        <w:t>Under clause (y), an interest in an entity means a right, including a contingent right, to receive income or capital of an entity. For example, beneficiaries include a partner in a partnership firm, a shareholder in a limited liability company, an investor in a retirement fund, a partner in a joint venture, and a person having ownership in a permanent establishment.</w:t>
      </w:r>
    </w:p>
    <w:p>
      <w:pPr>
        <w:pStyle w:val="Heading2"/>
      </w:pPr>
      <w:r>
        <w:t>(bl) Prescribed or as prescribed</w:t>
      </w:r>
    </w:p>
    <w:p>
      <w:pPr>
        <w:pStyle w:val="Definition"/>
      </w:pPr>
      <w:r>
        <w:t>“Prescribed” or “as prescribed” means prescribed or as prescribed in the rules made under the Act.</w:t>
      </w:r>
    </w:p>
    <w:p>
      <w:pPr>
        <w:spacing w:after="120"/>
      </w:pPr>
      <w:r>
        <w:t>Where the Act uses the words “prescribed” or “as prescribed,” the Government of Nepal must prescribe the matter by rules. Accordingly, the Government of Nepal has issued the Income Tax Rules, 2059, and the matters to be prescribed are set out in those Rules. Matters prescribed in the Rules are treated as part of the Act.</w:t>
      </w:r>
    </w:p>
    <w:p>
      <w:r>
        <w:br w:type="page"/>
      </w:r>
    </w:p>
    <w:p>
      <w:pPr>
        <w:spacing w:after="200"/>
        <w:jc w:val="center"/>
      </w:pPr>
      <w:r>
        <w:rPr>
          <w:b/>
          <w:sz w:val="40"/>
        </w:rPr>
        <w:t>Income Tax Directive, 2066</w:t>
      </w:r>
    </w:p>
    <w:p>
      <w:pPr>
        <w:jc w:val="center"/>
      </w:pPr>
      <w:r>
        <w:rPr>
          <w:i/>
          <w:sz w:val="28"/>
        </w:rPr>
        <w:t>(Fifth Amendment, 2081)</w:t>
      </w:r>
    </w:p>
    <w:p>
      <w:pPr>
        <w:spacing w:before="480"/>
        <w:jc w:val="center"/>
      </w:pPr>
      <w:r>
        <w:rPr>
          <w:b/>
          <w:sz w:val="36"/>
        </w:rPr>
        <w:t>English Translation - Part 3</w:t>
      </w:r>
    </w:p>
    <w:p>
      <w:pPr>
        <w:jc w:val="center"/>
      </w:pPr>
      <w:r>
        <w:rPr>
          <w:b/>
          <w:sz w:val="28"/>
        </w:rPr>
        <w:t>Chapter 3: Source of Income, Loss, Gain and Payment</w:t>
      </w:r>
    </w:p>
    <w:p>
      <w:pPr>
        <w:spacing w:before="480"/>
        <w:jc w:val="center"/>
      </w:pPr>
      <w:r>
        <w:rPr>
          <w:i/>
          <w:sz w:val="20"/>
        </w:rPr>
        <w:t>Translated from the uploaded Nepali PDF while preserving the structure, numbering, examples, and legal meaning as far as practicable.</w:t>
      </w:r>
    </w:p>
    <w:p>
      <w:r>
        <w:br w:type="page"/>
      </w:r>
    </w:p>
    <w:p>
      <w:pPr>
        <w:jc w:val="center"/>
      </w:pPr>
      <w:r>
        <w:rPr>
          <w:b/>
          <w:sz w:val="32"/>
        </w:rPr>
        <w:t>Chapter 3</w:t>
      </w:r>
    </w:p>
    <w:p>
      <w:pPr>
        <w:jc w:val="center"/>
      </w:pPr>
      <w:r>
        <w:rPr>
          <w:b/>
          <w:sz w:val="30"/>
        </w:rPr>
        <w:t>Source of Income, Loss, Gain and Payment</w:t>
      </w:r>
    </w:p>
    <w:p>
      <w:pPr>
        <w:jc w:val="center"/>
      </w:pPr>
      <w:r>
        <w:rPr>
          <w:i/>
          <w:sz w:val="22"/>
        </w:rPr>
        <w:t>(Source of Income, Loss, Gain and Payment)</w:t>
      </w:r>
    </w:p>
    <w:p>
      <w:pPr>
        <w:pStyle w:val="Heading2"/>
        <w:spacing w:before="160" w:after="120"/>
      </w:pPr>
      <w:r>
        <w:t>3.1 General introduction</w:t>
      </w:r>
    </w:p>
    <w:p>
      <w:pPr>
        <w:spacing w:after="120" w:line="259" w:lineRule="auto"/>
      </w:pPr>
      <w:r>
        <w:t>The Income Tax Act, 2058 provides that income tax shall be imposed on a person who earns income. For the purpose of levying tax, residential status and the source of income are regarded as the principal bases. A resident person is required to pay income tax in Nepal on income earned anywhere in the world. A non-resident person is required to pay tax only on income earned in Nepal or on income treated as having a source in Nepal. If a resident person has foreign-source income, tax is imposed in Nepal on the income earned from such foreign country, whether or not tax is imposed in that foreign country. The main objective of this Chapter is to clarify what kinds of income or expenses are treated as having a source in Nepal and what kinds of income or expenses are treated as having a foreign source for the purpose of computing income earned in Nepal and abroad.</w:t>
      </w:r>
    </w:p>
    <w:p>
      <w:pPr>
        <w:pStyle w:val="Heading2"/>
        <w:spacing w:before="160" w:after="120"/>
      </w:pPr>
      <w:r>
        <w:t>3.2 Basis for taxation in Nepal</w:t>
      </w:r>
    </w:p>
    <w:p>
      <w:pPr>
        <w:spacing w:after="120" w:line="259" w:lineRule="auto"/>
      </w:pPr>
      <w:r>
        <w:t>The Income Tax Act, 2058 provides that a resident person of Nepal is taxable in Nepal on worldwide income. In the case of a non-resident, however, tax is imposed only on income having a source in Nepal. Section 3 of the Act provides, under the basis of tax, that tax shall be imposed and recovered from the following persons:</w:t>
      </w:r>
    </w:p>
    <w:tbl>
      <w:tblPr>
        <w:tblW w:type="auto" w:w="0"/>
        <w:jc w:val="center"/>
        <w:tblLayout w:type="autofit"/>
        <w:tblLook w:firstColumn="1" w:firstRow="1" w:lastColumn="0" w:lastRow="0" w:noHBand="0" w:noVBand="1" w:val="04A0"/>
      </w:tblPr>
      <w:tblGrid>
        <w:gridCol w:w="9638"/>
      </w:tblGrid>
      <w:tr>
        <w:tc>
          <w:tcPr>
            <w:tcW w:type="dxa" w:w="9638"/>
            <w:vAlign w:val="top"/>
            <w:shd w:fill="F2F2F2"/>
            <w:tcBorders>
              <w:top w:sz="6" w:val="single" w:color="B7B7B7" w:space="0"/>
              <w:left w:sz="6" w:val="single" w:color="B7B7B7" w:space="0"/>
              <w:bottom w:sz="6" w:val="single" w:color="B7B7B7" w:space="0"/>
              <w:right w:sz="6" w:val="single" w:color="B7B7B7" w:space="0"/>
            </w:tcBorders>
          </w:tcPr>
          <w:p>
            <w:pPr>
              <w:spacing w:after="80"/>
              <w:ind w:left="72" w:right="72"/>
            </w:pPr>
            <w:r>
              <w:rPr>
                <w:sz w:val="20"/>
              </w:rPr>
              <w:t>3. Tax shall be imposed and recovered, in accordance with this Act, from each of the following persons for each income year:</w:t>
            </w:r>
          </w:p>
          <w:p>
            <w:pPr>
              <w:spacing w:after="80"/>
              <w:ind w:left="72" w:right="72"/>
            </w:pPr>
            <w:r>
              <w:rPr>
                <w:sz w:val="20"/>
              </w:rPr>
              <w:t>(a) a person who has taxable income in any income year;</w:t>
            </w:r>
          </w:p>
          <w:p>
            <w:pPr>
              <w:spacing w:after="80"/>
              <w:ind w:left="72" w:right="72"/>
            </w:pPr>
            <w:r>
              <w:rPr>
                <w:sz w:val="20"/>
              </w:rPr>
              <w:t>(b) a foreign permanent establishment situated in Nepal of a non-resident person who repatriates income of any income year under subsections (3) and (4) of section 68; and</w:t>
            </w:r>
          </w:p>
          <w:p>
            <w:pPr>
              <w:spacing w:after="80"/>
              <w:ind w:left="72" w:right="72"/>
            </w:pPr>
            <w:r>
              <w:rPr>
                <w:sz w:val="20"/>
              </w:rPr>
              <w:t>(c) a person who receives a payment in any income year from which tax has been withheld as a final withholding tax.</w:t>
            </w:r>
          </w:p>
        </w:tc>
      </w:tr>
    </w:tbl>
    <w:p>
      <w:pPr>
        <w:spacing w:after="40"/>
      </w:pPr>
    </w:p>
    <w:p>
      <w:pPr>
        <w:spacing w:after="120" w:line="259" w:lineRule="auto"/>
      </w:pPr>
      <w:r>
        <w:t>Accordingly, in the case of a resident person, tax is imposed in Nepal on the income referred to in clause (a) irrespective of whether such income is sourced in Nepal or in any other country, and on the income referred to in clauses (b) and (c). However, in the case of a non-resident person, tax is imposed in Nepal only on income sourced in Nepal.</w:t>
      </w:r>
    </w:p>
    <w:p>
      <w:pPr>
        <w:spacing w:after="120" w:line="259" w:lineRule="auto"/>
      </w:pPr>
      <w:r>
        <w:t>Where a resident person of Nepal earns income in a foreign country, that income may be taxed in the country in which it is earned and may also be taxed in Nepal. To avoid double taxation in such a situation, section 71 provides for foreign tax adjustment. That section allows a resident person of Nepal to credit the tax paid in that foreign country against the tax liability arising in Nepal when the foreign income is included in income in Nepal. Therefore, relief from double taxation is available even where a person has foreign income.</w:t>
      </w:r>
    </w:p>
    <w:p>
      <w:pPr>
        <w:pStyle w:val="Heading2"/>
        <w:spacing w:before="160" w:after="120"/>
      </w:pPr>
      <w:r>
        <w:t>3.3 Circumstances in which the source of income, loss, gain and payment is treated as Nepal</w:t>
      </w:r>
    </w:p>
    <w:p>
      <w:pPr>
        <w:spacing w:after="120" w:line="259" w:lineRule="auto"/>
      </w:pPr>
      <w:r>
        <w:t>The Income Tax Act, 2058 provides that income earned by a resident person, whether in Nepal or abroad, is taxable in Nepal. Similarly, where a non-resident person earns income in Nepal or has income treated as having a source in Nepal, such income is taxable in Nepal. Section 67 of the Act explains the circumstances in which the source of income, loss, gain and payment is treated as being in Nepal.</w:t>
      </w:r>
    </w:p>
    <w:p>
      <w:pPr>
        <w:pStyle w:val="Heading3"/>
        <w:spacing w:before="160" w:after="120"/>
      </w:pPr>
      <w:r>
        <w:t>3.3.1 Source of income</w:t>
      </w:r>
    </w:p>
    <w:p>
      <w:pPr>
        <w:spacing w:after="120" w:line="259" w:lineRule="auto"/>
      </w:pPr>
      <w:r>
        <w:t>Subsection (1) of section 67 of the Act provides as follows in relation to the source of a person's income:</w:t>
      </w:r>
    </w:p>
    <w:tbl>
      <w:tblPr>
        <w:tblW w:type="auto" w:w="0"/>
        <w:jc w:val="center"/>
        <w:tblLayout w:type="autofit"/>
        <w:tblLook w:firstColumn="1" w:firstRow="1" w:lastColumn="0" w:lastRow="0" w:noHBand="0" w:noVBand="1" w:val="04A0"/>
      </w:tblPr>
      <w:tblGrid>
        <w:gridCol w:w="9638"/>
      </w:tblGrid>
      <w:tr>
        <w:tc>
          <w:tcPr>
            <w:tcW w:type="dxa" w:w="9638"/>
            <w:vAlign w:val="top"/>
            <w:shd w:fill="F2F2F2"/>
            <w:tcBorders>
              <w:top w:sz="6" w:val="single" w:color="B7B7B7" w:space="0"/>
              <w:left w:sz="6" w:val="single" w:color="B7B7B7" w:space="0"/>
              <w:bottom w:sz="6" w:val="single" w:color="B7B7B7" w:space="0"/>
              <w:right w:sz="6" w:val="single" w:color="B7B7B7" w:space="0"/>
            </w:tcBorders>
          </w:tcPr>
          <w:p>
            <w:pPr>
              <w:spacing w:after="80"/>
              <w:ind w:left="72" w:right="72"/>
            </w:pPr>
            <w:r>
              <w:rPr>
                <w:sz w:val="20"/>
              </w:rPr>
              <w:t>67(1) Income derived by a person from any employment, business or investment shall be treated as having a source in Nepal to the extent that the amount referred to in clause (a) exceeds the amount referred to in clause (b):</w:t>
            </w:r>
          </w:p>
          <w:p>
            <w:pPr>
              <w:spacing w:after="80"/>
              <w:ind w:left="72" w:right="72"/>
            </w:pPr>
            <w:r>
              <w:rPr>
                <w:sz w:val="20"/>
              </w:rPr>
              <w:t>(a) amounts having a source in Nepal that are included in computing that income;</w:t>
            </w:r>
          </w:p>
          <w:p>
            <w:pPr>
              <w:spacing w:after="80"/>
              <w:ind w:left="72" w:right="72"/>
            </w:pPr>
            <w:r>
              <w:rPr>
                <w:sz w:val="20"/>
              </w:rPr>
              <w:t>(b) amounts having a source in Nepal that are deducted in computing that income.</w:t>
            </w:r>
          </w:p>
        </w:tc>
      </w:tr>
    </w:tbl>
    <w:p>
      <w:pPr>
        <w:spacing w:after="40"/>
      </w:pPr>
    </w:p>
    <w:p>
      <w:pPr>
        <w:spacing w:after="120" w:line="259" w:lineRule="auto"/>
      </w:pPr>
      <w:r>
        <w:t>A person must include in income, under clause (a), Nepal-source amounts received while being engaged in work related to employment, business or investment. To earn the income under clause (a), various Nepal-source expenses are claimed under clause (b). To the extent that the amount included in income exceeds the expenses incurred in earning that income, the excess is treated as income having a source in Nepal.</w:t>
      </w:r>
    </w:p>
    <w:p>
      <w:pPr>
        <w:spacing w:after="120" w:line="259" w:lineRule="auto"/>
      </w:pPr>
      <w:r>
        <w:t>The following example clarifies this provision.</w:t>
      </w:r>
    </w:p>
    <w:tbl>
      <w:tblPr>
        <w:tblW w:type="auto" w:w="0"/>
        <w:jc w:val="center"/>
        <w:tblLayout w:type="autofit"/>
        <w:tblLook w:firstColumn="1" w:firstRow="1" w:lastColumn="0" w:lastRow="0" w:noHBand="0" w:noVBand="1" w:val="04A0"/>
      </w:tblPr>
      <w:tblGrid>
        <w:gridCol w:w="9638"/>
      </w:tblGrid>
      <w:tr>
        <w:tc>
          <w:tcPr>
            <w:tcW w:type="dxa" w:w="9638"/>
            <w:vAlign w:val="top"/>
            <w:shd w:fill="F8F8F8"/>
            <w:tcBorders>
              <w:top w:sz="6" w:val="single" w:color="A6A6A6" w:space="0"/>
              <w:left w:sz="6" w:val="single" w:color="A6A6A6" w:space="0"/>
              <w:bottom w:sz="6" w:val="single" w:color="A6A6A6" w:space="0"/>
              <w:right w:sz="6" w:val="single" w:color="A6A6A6" w:space="0"/>
            </w:tcBorders>
          </w:tcPr>
          <w:p>
            <w:pPr>
              <w:spacing w:after="100"/>
            </w:pPr>
            <w:r>
              <w:rPr>
                <w:b/>
                <w:sz w:val="21"/>
              </w:rPr>
              <w:t>Example 3.3.1</w:t>
            </w:r>
          </w:p>
          <w:p>
            <w:pPr>
              <w:spacing w:after="80" w:line="252" w:lineRule="auto"/>
            </w:pPr>
            <w:r>
              <w:t>Assume that a non-resident person named Ram Preet Singh took a stall on rent and carried on the business of selling spices at the Dashain Fair organised at Bhrikutimandap during income year 2080/81. He sold spices worth Rs. 1,000,000 at the fair. He incurred Rs. 700,000 to purchase the spices sold and Rs. 100,000 as stall rent, for total expenses of Rs. 800,000. In this situation, the amount to be included in Ram Preet Singh's income is Rs. 1,000,000 and the expense incurred to earn that income, Rs. 800,000, is deductible. Since the amount to be included in Ram Preet Singh's income, Rs. 1,000,000, exceeds the deductible expense of Rs. 800,000 by Rs. 200,000, the amount of Rs. 200,000 is treated as his income having a source in Nepal.</w:t>
            </w:r>
          </w:p>
        </w:tc>
      </w:tr>
    </w:tbl>
    <w:p>
      <w:pPr>
        <w:spacing w:after="40"/>
      </w:pPr>
    </w:p>
    <w:p>
      <w:pPr>
        <w:pStyle w:val="Heading3"/>
        <w:spacing w:before="160" w:after="120"/>
      </w:pPr>
      <w:r>
        <w:t>3.3.2 Source of loss</w:t>
      </w:r>
    </w:p>
    <w:p>
      <w:pPr>
        <w:spacing w:after="120" w:line="259" w:lineRule="auto"/>
      </w:pPr>
      <w:r>
        <w:t>Subsection (1) of section 67 deals with the source of a person's income, while subsection (2) deals with the source of a loss. Subsection (2) of section 67 provides as follows in relation to the source of a loss:</w:t>
      </w:r>
    </w:p>
    <w:tbl>
      <w:tblPr>
        <w:tblW w:type="auto" w:w="0"/>
        <w:jc w:val="center"/>
        <w:tblLayout w:type="autofit"/>
        <w:tblLook w:firstColumn="1" w:firstRow="1" w:lastColumn="0" w:lastRow="0" w:noHBand="0" w:noVBand="1" w:val="04A0"/>
      </w:tblPr>
      <w:tblGrid>
        <w:gridCol w:w="9638"/>
      </w:tblGrid>
      <w:tr>
        <w:tc>
          <w:tcPr>
            <w:tcW w:type="dxa" w:w="9638"/>
            <w:vAlign w:val="top"/>
            <w:shd w:fill="F2F2F2"/>
            <w:tcBorders>
              <w:top w:sz="6" w:val="single" w:color="B7B7B7" w:space="0"/>
              <w:left w:sz="6" w:val="single" w:color="B7B7B7" w:space="0"/>
              <w:bottom w:sz="6" w:val="single" w:color="B7B7B7" w:space="0"/>
              <w:right w:sz="6" w:val="single" w:color="B7B7B7" w:space="0"/>
            </w:tcBorders>
          </w:tcPr>
          <w:p>
            <w:pPr>
              <w:spacing w:after="80"/>
              <w:ind w:left="72" w:right="72"/>
            </w:pPr>
            <w:r>
              <w:rPr>
                <w:sz w:val="20"/>
              </w:rPr>
              <w:t>67(2) A loss incurred by a person from any business or investment shall be treated as having a source in Nepal to the extent that the amount referred to in clause (a) exceeds the amount referred to in clause (b):</w:t>
            </w:r>
          </w:p>
          <w:p>
            <w:pPr>
              <w:spacing w:after="80"/>
              <w:ind w:left="72" w:right="72"/>
            </w:pPr>
            <w:r>
              <w:rPr>
                <w:sz w:val="20"/>
              </w:rPr>
              <w:t>(a) amounts having a source in Nepal that are deducted in computing the income from that business or investment;</w:t>
            </w:r>
          </w:p>
          <w:p>
            <w:pPr>
              <w:spacing w:after="80"/>
              <w:ind w:left="72" w:right="72"/>
            </w:pPr>
            <w:r>
              <w:rPr>
                <w:sz w:val="20"/>
              </w:rPr>
              <w:t>(b) amounts having a source in Nepal that are included in computing that income.</w:t>
            </w:r>
          </w:p>
        </w:tc>
      </w:tr>
    </w:tbl>
    <w:p>
      <w:pPr>
        <w:spacing w:after="40"/>
      </w:pPr>
    </w:p>
    <w:p>
      <w:pPr>
        <w:spacing w:after="120" w:line="259" w:lineRule="auto"/>
      </w:pPr>
      <w:r>
        <w:t>If, in an income year, a person is engaged in a business or investment activity and, because Nepal-source amounts deductible as expenses for earning that income exceed the income arising from the inclusion of Nepal-source amounts in that income year, a loss arises, the source of that loss is treated as Nepal.</w:t>
      </w:r>
    </w:p>
    <w:tbl>
      <w:tblPr>
        <w:tblW w:type="auto" w:w="0"/>
        <w:jc w:val="center"/>
        <w:tblLayout w:type="autofit"/>
        <w:tblLook w:firstColumn="1" w:firstRow="1" w:lastColumn="0" w:lastRow="0" w:noHBand="0" w:noVBand="1" w:val="04A0"/>
      </w:tblPr>
      <w:tblGrid>
        <w:gridCol w:w="9638"/>
      </w:tblGrid>
      <w:tr>
        <w:tc>
          <w:tcPr>
            <w:tcW w:type="dxa" w:w="9638"/>
            <w:vAlign w:val="top"/>
            <w:shd w:fill="F8F8F8"/>
            <w:tcBorders>
              <w:top w:sz="6" w:val="single" w:color="A6A6A6" w:space="0"/>
              <w:left w:sz="6" w:val="single" w:color="A6A6A6" w:space="0"/>
              <w:bottom w:sz="6" w:val="single" w:color="A6A6A6" w:space="0"/>
              <w:right w:sz="6" w:val="single" w:color="A6A6A6" w:space="0"/>
            </w:tcBorders>
          </w:tcPr>
          <w:p>
            <w:pPr>
              <w:spacing w:after="100"/>
            </w:pPr>
            <w:r>
              <w:rPr>
                <w:b/>
                <w:sz w:val="21"/>
              </w:rPr>
              <w:t>Example 3.3.2</w:t>
            </w:r>
          </w:p>
          <w:p>
            <w:pPr>
              <w:spacing w:after="80" w:line="252" w:lineRule="auto"/>
            </w:pPr>
            <w:r>
              <w:t>Assume that Mohammad Hussein, a resident of Lucknow, India, took a stall to sell goats at the Dashain Fair organised at Bhrikutimandap during income year 2080/81. He incurred Rs. 500,000 for 100 goats brought for sale at that stall. Mohammad Hussein paid Rs. 50,000 as rent to the organiser of the Dashain Fair for the goat stall. He brought the goats from Lucknow for sale, but because the climate of Lucknow and Kathmandu was different, 20 of the goats brought for sale died before they could be sold. During the Dashain Fair, Mohammad Hussein received income of Rs. 400,000 by selling the remaining 80 goats. In this situation, the amount included in his income is Rs. 400,000, while the deductible expenses consisting of the cost of goats and stall rent are Rs. 550,000. Since the deductible amount exceeds the amount included in income by Rs. 150,000, a loss arises. The source of the loss of Rs. 150,000 is treated as Nepal.</w:t>
            </w:r>
          </w:p>
        </w:tc>
      </w:tr>
    </w:tbl>
    <w:p>
      <w:pPr>
        <w:spacing w:after="40"/>
      </w:pPr>
    </w:p>
    <w:p>
      <w:pPr>
        <w:pStyle w:val="Heading3"/>
        <w:spacing w:before="160" w:after="120"/>
      </w:pPr>
      <w:r>
        <w:t>3.3.3 Source of gain</w:t>
      </w:r>
    </w:p>
    <w:p>
      <w:pPr>
        <w:spacing w:after="120" w:line="259" w:lineRule="auto"/>
      </w:pPr>
      <w:r>
        <w:t>Subsection (3) contains the following provision in relation to the source of gain computed on the disposal of an asset or liability situated in Nepal:</w:t>
      </w:r>
    </w:p>
    <w:tbl>
      <w:tblPr>
        <w:tblW w:type="auto" w:w="0"/>
        <w:jc w:val="center"/>
        <w:tblLayout w:type="autofit"/>
        <w:tblLook w:firstColumn="1" w:firstRow="1" w:lastColumn="0" w:lastRow="0" w:noHBand="0" w:noVBand="1" w:val="04A0"/>
      </w:tblPr>
      <w:tblGrid>
        <w:gridCol w:w="9638"/>
      </w:tblGrid>
      <w:tr>
        <w:tc>
          <w:tcPr>
            <w:tcW w:type="dxa" w:w="9638"/>
            <w:vAlign w:val="top"/>
            <w:shd w:fill="F2F2F2"/>
            <w:tcBorders>
              <w:top w:sz="6" w:val="single" w:color="B7B7B7" w:space="0"/>
              <w:left w:sz="6" w:val="single" w:color="B7B7B7" w:space="0"/>
              <w:bottom w:sz="6" w:val="single" w:color="B7B7B7" w:space="0"/>
              <w:right w:sz="6" w:val="single" w:color="B7B7B7" w:space="0"/>
            </w:tcBorders>
          </w:tcPr>
          <w:p>
            <w:pPr>
              <w:spacing w:after="80"/>
              <w:ind w:left="72" w:right="72"/>
            </w:pPr>
            <w:r>
              <w:rPr>
                <w:sz w:val="20"/>
              </w:rPr>
              <w:t>67(3) An amount included in computing income shall be treated as having a source in Nepal in the following circumstances:</w:t>
            </w:r>
          </w:p>
          <w:p>
            <w:pPr>
              <w:spacing w:after="80"/>
              <w:ind w:left="72" w:right="72"/>
            </w:pPr>
            <w:r>
              <w:rPr>
                <w:sz w:val="20"/>
              </w:rPr>
              <w:t>67(3)(a) net gains under clause (c) of subsection (2) of section 7 or clause (b) of subsection (2) of section 9, calculated by deducting losses from the disposal of assets or liabilities having a source in Nepal from gains derived from the disposal of assets or liabilities having a source in Nepal.</w:t>
            </w:r>
          </w:p>
        </w:tc>
      </w:tr>
    </w:tbl>
    <w:p>
      <w:pPr>
        <w:spacing w:after="40"/>
      </w:pPr>
    </w:p>
    <w:p>
      <w:pPr>
        <w:spacing w:after="120" w:line="259" w:lineRule="auto"/>
      </w:pPr>
      <w:r>
        <w:t>Subsection (3) refers to the source of gain arising from the disposal of depreciable property used to earn income in relation to a person's business and investment, and from the disposal of a person's non-business taxable assets. It provides that income arising from the disposal of an asset or liability having a source in Nepal shall be treated as income having a source in Nepal.</w:t>
      </w:r>
    </w:p>
    <w:tbl>
      <w:tblPr>
        <w:tblW w:type="auto" w:w="0"/>
        <w:jc w:val="center"/>
        <w:tblLayout w:type="autofit"/>
        <w:tblLook w:firstColumn="1" w:firstRow="1" w:lastColumn="0" w:lastRow="0" w:noHBand="0" w:noVBand="1" w:val="04A0"/>
      </w:tblPr>
      <w:tblGrid>
        <w:gridCol w:w="9638"/>
      </w:tblGrid>
      <w:tr>
        <w:tc>
          <w:tcPr>
            <w:tcW w:type="dxa" w:w="9638"/>
            <w:vAlign w:val="top"/>
            <w:shd w:fill="F8F8F8"/>
            <w:tcBorders>
              <w:top w:sz="6" w:val="single" w:color="A6A6A6" w:space="0"/>
              <w:left w:sz="6" w:val="single" w:color="A6A6A6" w:space="0"/>
              <w:bottom w:sz="6" w:val="single" w:color="A6A6A6" w:space="0"/>
              <w:right w:sz="6" w:val="single" w:color="A6A6A6" w:space="0"/>
            </w:tcBorders>
          </w:tcPr>
          <w:p>
            <w:pPr>
              <w:spacing w:after="100"/>
            </w:pPr>
            <w:r>
              <w:rPr>
                <w:b/>
                <w:sz w:val="21"/>
              </w:rPr>
              <w:t>Example 3.3.3</w:t>
            </w:r>
          </w:p>
          <w:p>
            <w:pPr>
              <w:spacing w:after="80" w:line="252" w:lineRule="auto"/>
            </w:pPr>
            <w:r>
              <w:t>Assume that Brazil Drill Ltd. is a tunnel-construction company of Brazil. It obtained a contract from a Nepalese company generating hydroelectricity in the Trishuli River to construct a tunnel. To complete the tunnel-construction work, Brazil Drill Ltd. purchased 10 bighas of land at Mugling for Rs. 100 million for the purpose of storing construction equipment and construction materials. The company borrowed USD 500,000 from GHI Bank of the United Kingdom to purchase machinery and tools to be used in the construction work.</w:t>
            </w:r>
          </w:p>
          <w:p>
            <w:pPr>
              <w:spacing w:after="80" w:line="252" w:lineRule="auto"/>
            </w:pPr>
            <w:r>
              <w:t>The company completed the tunnel-construction work in income year 2080/81 and repaid, in the same income year, the USD 500,000 outstanding loan owed to the British bank. When Brazil Drill Ltd. borrowed the loan, the exchange rate in Nepal was Rs. 60 per US dollar; but when the loan amount was repaid in income year 2080/81, the exchange rate was Rs. 70 per US dollar. Because the construction work was completed and the business purpose for which the land had been purchased for storing construction equipment and materials had ended, the company sold the land in income year 2080/81. The company received Rs. 150 million on sale of the land. In this situation, Brazil Drill Ltd. has a gain from the sale of land/business property, and a loss on disposal of the loan liability taken in foreign currency for business purposes.</w:t>
            </w:r>
          </w:p>
          <w:p>
            <w:pPr>
              <w:spacing w:after="80" w:line="252" w:lineRule="auto"/>
            </w:pPr>
            <w:r>
              <w:t>In the above example, Brazil Drill Ltd. earns a gain of Rs. 50 million from disposal of the land. On disposal of the loan liability taken in foreign currency, because of currency depreciation it must pay Rs. 35 million in Nepalese currency for USD 500,000, whereas when the loan liability arose the liability was recorded at only Rs. 30 million in Nepalese currency. Therefore, a loss of Rs. 5 million arises on disposal of the liability. Under section 67(3), after deducting the loss of Rs. 5 million on disposal of the loan/business liability from the gain of Rs. 50 million on disposal of the land/business asset, the net gain is Rs. 45 million. The source of the gain of Rs. 45 million is treated as Nepal.</w:t>
            </w:r>
          </w:p>
        </w:tc>
      </w:tr>
    </w:tbl>
    <w:p>
      <w:pPr>
        <w:spacing w:after="40"/>
      </w:pPr>
    </w:p>
    <w:tbl>
      <w:tblPr>
        <w:tblW w:type="auto" w:w="0"/>
        <w:jc w:val="center"/>
        <w:tblLayout w:type="autofit"/>
        <w:tblLook w:firstColumn="1" w:firstRow="1" w:lastColumn="0" w:lastRow="0" w:noHBand="0" w:noVBand="1" w:val="04A0"/>
      </w:tblPr>
      <w:tblGrid>
        <w:gridCol w:w="9638"/>
      </w:tblGrid>
      <w:tr>
        <w:tc>
          <w:tcPr>
            <w:tcW w:type="dxa" w:w="9638"/>
            <w:vAlign w:val="top"/>
            <w:shd w:fill="F8F8F8"/>
            <w:tcBorders>
              <w:top w:sz="6" w:val="single" w:color="A6A6A6" w:space="0"/>
              <w:left w:sz="6" w:val="single" w:color="A6A6A6" w:space="0"/>
              <w:bottom w:sz="6" w:val="single" w:color="A6A6A6" w:space="0"/>
              <w:right w:sz="6" w:val="single" w:color="A6A6A6" w:space="0"/>
            </w:tcBorders>
          </w:tcPr>
          <w:p>
            <w:pPr>
              <w:spacing w:after="100"/>
            </w:pPr>
            <w:r>
              <w:rPr>
                <w:b/>
                <w:sz w:val="21"/>
              </w:rPr>
              <w:t>Example 3.3.4</w:t>
            </w:r>
          </w:p>
          <w:p>
            <w:pPr>
              <w:spacing w:after="80" w:line="252" w:lineRule="auto"/>
            </w:pPr>
            <w:r>
              <w:t>Assume that Mr. Ricky is a resident person of the Netherlands. He developed software useful for the banking business. He allowed Exim Bank of Nepal to use that software in return for annual royalty of Rs. 10 million. Out of the amount received as royalty, he purchased shares of the same bank worth Rs. 10 million in income year 2079/80. Mr. Ricky sold and disposed of those shares in income year 2080/81 for Rs. 15 million and earned a gain of Rs. 5 million. Since Mr. Ricky is an individual, the gain received from disposal of shares is income under clause (b) of subsection (2) of section 9, namely gain from disposal of a non-business taxable asset. The gain received from disposal of the shares is treated as income having a source in Nepal.</w:t>
            </w:r>
          </w:p>
        </w:tc>
      </w:tr>
    </w:tbl>
    <w:p>
      <w:pPr>
        <w:spacing w:after="40"/>
      </w:pPr>
    </w:p>
    <w:p>
      <w:pPr>
        <w:spacing w:after="120" w:line="259" w:lineRule="auto"/>
      </w:pPr>
      <w:r>
        <w:t>A person engaged in business and investment activities in Nepal holds different assets and assumes different liabilities for the purpose of earning income. In the course of the business or investment, such assets and liabilities may be disposed of. Gain arising in the course of such disposal of assets and liabilities shall be treated as having a source in Nepal. Clause (b) of subsection (3) of section 67 contains the following provision in relation to depreciable property:</w:t>
      </w:r>
    </w:p>
    <w:tbl>
      <w:tblPr>
        <w:tblW w:type="auto" w:w="0"/>
        <w:jc w:val="center"/>
        <w:tblLayout w:type="autofit"/>
        <w:tblLook w:firstColumn="1" w:firstRow="1" w:lastColumn="0" w:lastRow="0" w:noHBand="0" w:noVBand="1" w:val="04A0"/>
      </w:tblPr>
      <w:tblGrid>
        <w:gridCol w:w="9638"/>
      </w:tblGrid>
      <w:tr>
        <w:tc>
          <w:tcPr>
            <w:tcW w:type="dxa" w:w="9638"/>
            <w:vAlign w:val="top"/>
            <w:shd w:fill="F2F2F2"/>
            <w:tcBorders>
              <w:top w:sz="6" w:val="single" w:color="B7B7B7" w:space="0"/>
              <w:left w:sz="6" w:val="single" w:color="B7B7B7" w:space="0"/>
              <w:bottom w:sz="6" w:val="single" w:color="B7B7B7" w:space="0"/>
              <w:right w:sz="6" w:val="single" w:color="B7B7B7" w:space="0"/>
            </w:tcBorders>
          </w:tcPr>
          <w:p>
            <w:pPr>
              <w:spacing w:after="80"/>
              <w:ind w:left="72" w:right="72"/>
            </w:pPr>
            <w:r>
              <w:rPr>
                <w:sz w:val="20"/>
              </w:rPr>
              <w:t>67(3)(b) where assets situated in Nepal or liabilities to be borne in Nepal are involved, gains and amounts included in computing income as mentioned in clause (d) of subsection (2) of section 7 or clause (c) of subsection (2) of section 9.</w:t>
            </w:r>
          </w:p>
        </w:tc>
      </w:tr>
    </w:tbl>
    <w:p>
      <w:pPr>
        <w:spacing w:after="40"/>
      </w:pPr>
    </w:p>
    <w:p>
      <w:pPr>
        <w:spacing w:after="120" w:line="259" w:lineRule="auto"/>
      </w:pPr>
      <w:r>
        <w:t>In relation to depreciable property, where any or all depreciable property of a pool are disposed of and there is a net gain from the pool, Schedule 2, section 4 provides that such gain is included in the profits and gains of business. As stated above, where the depreciable property is situated in Nepal, the source of the income or expense related to it is treated as Nepal.</w:t>
      </w:r>
    </w:p>
    <w:p>
      <w:pPr>
        <w:spacing w:after="120" w:line="259" w:lineRule="auto"/>
      </w:pPr>
      <w:r>
        <w:t>In the case of depreciable property, if at year-end the pool no longer exists but a depreciation basis remains, the remaining amount is deductible as depreciation expense, namely terminal depreciation, under section 4(2) of Schedule 2. Whether or not the pool continues to exist at the end of the year, if there is a negative depreciation basis, because income in excess of the cost of the pool has been received, the negative amount, known as a balancing charge, is computed under section 4(2) of Schedule 2 and included in the profits and gains of the business under section 7(2)(d).</w:t>
      </w:r>
    </w:p>
    <w:p>
      <w:pPr>
        <w:spacing w:after="120" w:line="259" w:lineRule="auto"/>
      </w:pPr>
      <w:r>
        <w:t>The following example further clarifies the above provisions.</w:t>
      </w:r>
    </w:p>
    <w:tbl>
      <w:tblPr>
        <w:tblW w:type="auto" w:w="0"/>
        <w:jc w:val="center"/>
        <w:tblLayout w:type="autofit"/>
        <w:tblLook w:firstColumn="1" w:firstRow="1" w:lastColumn="0" w:lastRow="0" w:noHBand="0" w:noVBand="1" w:val="04A0"/>
      </w:tblPr>
      <w:tblGrid>
        <w:gridCol w:w="9638"/>
      </w:tblGrid>
      <w:tr>
        <w:tc>
          <w:tcPr>
            <w:tcW w:type="dxa" w:w="9638"/>
            <w:vAlign w:val="top"/>
            <w:shd w:fill="F8F8F8"/>
            <w:tcBorders>
              <w:top w:sz="6" w:val="single" w:color="A6A6A6" w:space="0"/>
              <w:left w:sz="6" w:val="single" w:color="A6A6A6" w:space="0"/>
              <w:bottom w:sz="6" w:val="single" w:color="A6A6A6" w:space="0"/>
              <w:right w:sz="6" w:val="single" w:color="A6A6A6" w:space="0"/>
            </w:tcBorders>
          </w:tcPr>
          <w:p>
            <w:pPr>
              <w:spacing w:after="100"/>
            </w:pPr>
            <w:r>
              <w:rPr>
                <w:b/>
                <w:sz w:val="21"/>
              </w:rPr>
              <w:t>Example 3.3.5</w:t>
            </w:r>
          </w:p>
          <w:p>
            <w:pPr>
              <w:spacing w:after="80" w:line="252" w:lineRule="auto"/>
            </w:pPr>
            <w:r>
              <w:t>Assume that Brazil Drill Ltd. obtained a contract from a Nepalese company generating hydroelectricity in the Trishuli River to construct a tunnel. The tunnel-construction work was completed in income year 2080/81. After completion of the tunnel-construction work, the company sold all machinery and tools used for tunnel construction in the local market for Rs. 60 million. The machinery and tools used in tunnel construction were classified under clause (d) of section 1 of Schedule 2 of the Act, and the opening depreciation basis of that pool for income year 2080/81 was Rs. 50 million. In this situation, a gain of Rs. 10 million, being a balancing charge, arises from disposal of the depreciable property of that pool. Such gain from disposal of assets, being a balancing charge, is treated as a gain to be included in the company's income having a source in Nepal.</w:t>
            </w:r>
          </w:p>
          <w:p>
            <w:pPr>
              <w:spacing w:after="80" w:line="252" w:lineRule="auto"/>
            </w:pPr>
            <w:r>
              <w:t>Similarly, if the above company, after completion of the tunnel-construction work, received only Rs. 40 million on sale of all machinery and tools used for the tunnel construction, a loss of Rs. 10 million would arise from disposal of the depreciable property of that pool. In such a case, because the pool is terminated, the company is entitled to deduct the loss of Rs. 10 million arising from disposal of the assets of the pool as an expense in that income year.</w:t>
            </w:r>
          </w:p>
        </w:tc>
      </w:tr>
    </w:tbl>
    <w:p>
      <w:pPr>
        <w:spacing w:after="40"/>
      </w:pPr>
    </w:p>
    <w:tbl>
      <w:tblPr>
        <w:tblW w:type="auto" w:w="0"/>
        <w:jc w:val="center"/>
        <w:tblLayout w:type="autofit"/>
        <w:tblLook w:firstColumn="1" w:firstRow="1" w:lastColumn="0" w:lastRow="0" w:noHBand="0" w:noVBand="1" w:val="04A0"/>
      </w:tblPr>
      <w:tblGrid>
        <w:gridCol w:w="9638"/>
      </w:tblGrid>
      <w:tr>
        <w:tc>
          <w:tcPr>
            <w:tcW w:type="dxa" w:w="9638"/>
            <w:vAlign w:val="top"/>
            <w:shd w:fill="F2F2F2"/>
            <w:tcBorders>
              <w:top w:sz="6" w:val="single" w:color="B7B7B7" w:space="0"/>
              <w:left w:sz="6" w:val="single" w:color="B7B7B7" w:space="0"/>
              <w:bottom w:sz="6" w:val="single" w:color="B7B7B7" w:space="0"/>
              <w:right w:sz="6" w:val="single" w:color="B7B7B7" w:space="0"/>
            </w:tcBorders>
          </w:tcPr>
          <w:p>
            <w:pPr>
              <w:spacing w:after="80"/>
              <w:ind w:left="72" w:right="72"/>
            </w:pPr>
            <w:r>
              <w:rPr>
                <w:sz w:val="20"/>
              </w:rPr>
              <w:t>67(3)(c) subject to clauses (a) and (b), payments received that have a source in Nepal.</w:t>
            </w:r>
          </w:p>
        </w:tc>
      </w:tr>
    </w:tbl>
    <w:p>
      <w:pPr>
        <w:spacing w:after="40"/>
      </w:pPr>
    </w:p>
    <w:p>
      <w:pPr>
        <w:spacing w:after="120" w:line="259" w:lineRule="auto"/>
      </w:pPr>
      <w:r>
        <w:t>Other payments received in connection with amounts included in Nepal-source income as stated in clauses (a) and (b) of subsection (3) of section 67 are also treated as amounts to be included in income having a source in Nepal. The following example further clarifies this provision.</w:t>
      </w:r>
    </w:p>
    <w:tbl>
      <w:tblPr>
        <w:tblW w:type="auto" w:w="0"/>
        <w:jc w:val="center"/>
        <w:tblLayout w:type="autofit"/>
        <w:tblLook w:firstColumn="1" w:firstRow="1" w:lastColumn="0" w:lastRow="0" w:noHBand="0" w:noVBand="1" w:val="04A0"/>
      </w:tblPr>
      <w:tblGrid>
        <w:gridCol w:w="9638"/>
      </w:tblGrid>
      <w:tr>
        <w:tc>
          <w:tcPr>
            <w:tcW w:type="dxa" w:w="9638"/>
            <w:vAlign w:val="top"/>
            <w:shd w:fill="F8F8F8"/>
            <w:tcBorders>
              <w:top w:sz="6" w:val="single" w:color="A6A6A6" w:space="0"/>
              <w:left w:sz="6" w:val="single" w:color="A6A6A6" w:space="0"/>
              <w:bottom w:sz="6" w:val="single" w:color="A6A6A6" w:space="0"/>
              <w:right w:sz="6" w:val="single" w:color="A6A6A6" w:space="0"/>
            </w:tcBorders>
          </w:tcPr>
          <w:p>
            <w:pPr>
              <w:spacing w:after="100"/>
            </w:pPr>
            <w:r>
              <w:rPr>
                <w:b/>
                <w:sz w:val="21"/>
              </w:rPr>
              <w:t>Example 3.3.6</w:t>
            </w:r>
          </w:p>
          <w:p>
            <w:pPr>
              <w:spacing w:after="80" w:line="252" w:lineRule="auto"/>
            </w:pPr>
            <w:r>
              <w:t>Assume that Brazil Drill Ltd. obtained a contract from a Nepalese company generating hydroelectricity in the Trishuli River to construct a tunnel. The company insured, with an insurance company situated in Brazil, the machinery to be used in the tunnel-construction work. In the course of tunnel construction, a machine valued at Rs. 10 million was damaged in an accident so as to become unusable, and the Brazilian insurance company paid compensation for that damage. The amount received as compensation from the Brazilian insurance company for the risk situated in Nepal is treated as having a source in Nepal.</w:t>
            </w:r>
          </w:p>
        </w:tc>
      </w:tr>
    </w:tbl>
    <w:p>
      <w:pPr>
        <w:spacing w:after="40"/>
      </w:pPr>
    </w:p>
    <w:tbl>
      <w:tblPr>
        <w:tblW w:type="auto" w:w="0"/>
        <w:jc w:val="center"/>
        <w:tblLayout w:type="autofit"/>
        <w:tblLook w:firstColumn="1" w:firstRow="1" w:lastColumn="0" w:lastRow="0" w:noHBand="0" w:noVBand="1" w:val="04A0"/>
      </w:tblPr>
      <w:tblGrid>
        <w:gridCol w:w="9638"/>
      </w:tblGrid>
      <w:tr>
        <w:tc>
          <w:tcPr>
            <w:tcW w:type="dxa" w:w="9638"/>
            <w:vAlign w:val="top"/>
            <w:shd w:fill="F2F2F2"/>
            <w:tcBorders>
              <w:top w:sz="6" w:val="single" w:color="B7B7B7" w:space="0"/>
              <w:left w:sz="6" w:val="single" w:color="B7B7B7" w:space="0"/>
              <w:bottom w:sz="6" w:val="single" w:color="B7B7B7" w:space="0"/>
              <w:right w:sz="6" w:val="single" w:color="B7B7B7" w:space="0"/>
            </w:tcBorders>
          </w:tcPr>
          <w:p>
            <w:pPr>
              <w:spacing w:after="80"/>
              <w:ind w:left="72" w:right="72"/>
            </w:pPr>
            <w:r>
              <w:rPr>
                <w:sz w:val="20"/>
              </w:rPr>
              <w:t>67(4) Where an asset situated in Nepal or a liability to be borne in Nepal is involved, the gain or loss arising from disposal of that asset or liability shall be treated as having a source in Nepal.</w:t>
            </w:r>
          </w:p>
        </w:tc>
      </w:tr>
    </w:tbl>
    <w:p>
      <w:pPr>
        <w:spacing w:after="40"/>
      </w:pPr>
    </w:p>
    <w:p>
      <w:pPr>
        <w:spacing w:after="120" w:line="259" w:lineRule="auto"/>
      </w:pPr>
      <w:r>
        <w:t>The following example further clarifies this provision.</w:t>
      </w:r>
    </w:p>
    <w:tbl>
      <w:tblPr>
        <w:tblW w:type="auto" w:w="0"/>
        <w:jc w:val="center"/>
        <w:tblLayout w:type="autofit"/>
        <w:tblLook w:firstColumn="1" w:firstRow="1" w:lastColumn="0" w:lastRow="0" w:noHBand="0" w:noVBand="1" w:val="04A0"/>
      </w:tblPr>
      <w:tblGrid>
        <w:gridCol w:w="9638"/>
      </w:tblGrid>
      <w:tr>
        <w:tc>
          <w:tcPr>
            <w:tcW w:type="dxa" w:w="9638"/>
            <w:vAlign w:val="top"/>
            <w:shd w:fill="F8F8F8"/>
            <w:tcBorders>
              <w:top w:sz="6" w:val="single" w:color="A6A6A6" w:space="0"/>
              <w:left w:sz="6" w:val="single" w:color="A6A6A6" w:space="0"/>
              <w:bottom w:sz="6" w:val="single" w:color="A6A6A6" w:space="0"/>
              <w:right w:sz="6" w:val="single" w:color="A6A6A6" w:space="0"/>
            </w:tcBorders>
          </w:tcPr>
          <w:p>
            <w:pPr>
              <w:spacing w:after="100"/>
            </w:pPr>
            <w:r>
              <w:rPr>
                <w:b/>
                <w:sz w:val="21"/>
              </w:rPr>
              <w:t>Example 3.3.7</w:t>
            </w:r>
          </w:p>
          <w:p>
            <w:pPr>
              <w:spacing w:after="80" w:line="252" w:lineRule="auto"/>
            </w:pPr>
            <w:r>
              <w:t>Assume that Kalp Lab Pvt. Ltd. is a company manufacturing medicine in Nepal. Mr. Lee of Singapore provided a loan of Rs. 10 million to that company in income year 2079/80, carrying annual interest at the rate of 10 percent. The loan given to the Nepalese company is treated as an asset of Mr. Lee having a source in Nepal. In income year 2080/81, because the financial condition of Kalp Lab Pvt. Ltd. weakened and it decided that it could not continue its medicine-manufacturing activity, it resolved to send the company into liquidation and appointed a liquidator to sell and realise assets and liabilities and carry out the liquidation process. The liquidator sold all assets, but the proceeds were insufficient to pay all liabilities of the company. On payment pari passu according to payment priority, Mr. Lee received only Rs. 5 million out of the Rs. 10 million loan he had provided. After receiving payment of Rs. 5 million in respect of the loan invested in Nepal, Mr. Lee's asset having a source in Nepal, namely the loan investment, is disposed of. The loss of Rs. 5 million under section 37 arising on disposal of the loan investment asset is treated as a loss having a source in Nepal.</w:t>
            </w:r>
          </w:p>
        </w:tc>
      </w:tr>
    </w:tbl>
    <w:p>
      <w:pPr>
        <w:spacing w:after="40"/>
      </w:pPr>
    </w:p>
    <w:p>
      <w:pPr>
        <w:spacing w:after="120" w:line="259" w:lineRule="auto"/>
      </w:pPr>
      <w:r>
        <w:t>When a person earns income by carrying on business in Nepal, various expenses must be incurred to earn that income. Whether the business is carried on through a head office, branch, factory, sales outlet, by being engaged for more than 90 days in construction, assembly or installation work, or for any other reason, the source of amounts expended for carrying on the business is treated as being in Nepal. Subsection (5) of section 67 contains the following provision so that amounts deducted as expenses in this type of business have a source in Nepal:</w:t>
      </w:r>
    </w:p>
    <w:tbl>
      <w:tblPr>
        <w:tblW w:type="auto" w:w="0"/>
        <w:jc w:val="center"/>
        <w:tblLayout w:type="autofit"/>
        <w:tblLook w:firstColumn="1" w:firstRow="1" w:lastColumn="0" w:lastRow="0" w:noHBand="0" w:noVBand="1" w:val="04A0"/>
      </w:tblPr>
      <w:tblGrid>
        <w:gridCol w:w="9638"/>
      </w:tblGrid>
      <w:tr>
        <w:tc>
          <w:tcPr>
            <w:tcW w:type="dxa" w:w="9638"/>
            <w:vAlign w:val="top"/>
            <w:shd w:fill="F2F2F2"/>
            <w:tcBorders>
              <w:top w:sz="6" w:val="single" w:color="B7B7B7" w:space="0"/>
              <w:left w:sz="6" w:val="single" w:color="B7B7B7" w:space="0"/>
              <w:bottom w:sz="6" w:val="single" w:color="B7B7B7" w:space="0"/>
              <w:right w:sz="6" w:val="single" w:color="B7B7B7" w:space="0"/>
            </w:tcBorders>
          </w:tcPr>
          <w:p>
            <w:pPr>
              <w:spacing w:after="80"/>
              <w:ind w:left="72" w:right="72"/>
            </w:pPr>
            <w:r>
              <w:rPr>
                <w:sz w:val="20"/>
              </w:rPr>
              <w:t>67(5) Where amounts deducted in determining income include the following amounts, the source of such amounts shall be treated as Nepal:</w:t>
            </w:r>
          </w:p>
          <w:p>
            <w:pPr>
              <w:spacing w:after="80"/>
              <w:ind w:left="72" w:right="72"/>
            </w:pPr>
            <w:r>
              <w:rPr>
                <w:sz w:val="20"/>
              </w:rPr>
              <w:t>(a) amounts deductible as cost under subsection (1) of section 15 in relation to assets situated in Nepal;</w:t>
            </w:r>
          </w:p>
          <w:p>
            <w:pPr>
              <w:spacing w:after="80"/>
              <w:ind w:left="72" w:right="72"/>
            </w:pPr>
            <w:r>
              <w:rPr>
                <w:sz w:val="20"/>
              </w:rPr>
              <w:t>(b) expenses under subsection (1) of section 16 in relation to assets situated in Nepal and expenses deductible to the extent allowed under section 19; and</w:t>
            </w:r>
          </w:p>
          <w:p>
            <w:pPr>
              <w:spacing w:after="80"/>
              <w:ind w:left="72" w:right="72"/>
            </w:pPr>
            <w:r>
              <w:rPr>
                <w:sz w:val="20"/>
              </w:rPr>
              <w:t>(c) subject to clauses (a) and (b), payments having a source in Nepal.</w:t>
            </w:r>
          </w:p>
        </w:tc>
      </w:tr>
    </w:tbl>
    <w:p>
      <w:pPr>
        <w:spacing w:after="40"/>
      </w:pPr>
    </w:p>
    <w:p>
      <w:pPr>
        <w:spacing w:after="120" w:line="259" w:lineRule="auto"/>
      </w:pPr>
      <w:r>
        <w:t>The following example further clarifies the above provision.</w:t>
      </w:r>
    </w:p>
    <w:tbl>
      <w:tblPr>
        <w:tblW w:type="auto" w:w="0"/>
        <w:jc w:val="center"/>
        <w:tblLayout w:type="autofit"/>
        <w:tblLook w:firstColumn="1" w:firstRow="1" w:lastColumn="0" w:lastRow="0" w:noHBand="0" w:noVBand="1" w:val="04A0"/>
      </w:tblPr>
      <w:tblGrid>
        <w:gridCol w:w="9638"/>
      </w:tblGrid>
      <w:tr>
        <w:tc>
          <w:tcPr>
            <w:tcW w:type="dxa" w:w="9638"/>
            <w:vAlign w:val="top"/>
            <w:shd w:fill="F8F8F8"/>
            <w:tcBorders>
              <w:top w:sz="6" w:val="single" w:color="A6A6A6" w:space="0"/>
              <w:left w:sz="6" w:val="single" w:color="A6A6A6" w:space="0"/>
              <w:bottom w:sz="6" w:val="single" w:color="A6A6A6" w:space="0"/>
              <w:right w:sz="6" w:val="single" w:color="A6A6A6" w:space="0"/>
            </w:tcBorders>
          </w:tcPr>
          <w:p>
            <w:pPr>
              <w:spacing w:after="100"/>
            </w:pPr>
            <w:r>
              <w:rPr>
                <w:b/>
                <w:sz w:val="21"/>
              </w:rPr>
              <w:t>Example 3.3.8</w:t>
            </w:r>
          </w:p>
          <w:p>
            <w:pPr>
              <w:spacing w:after="80" w:line="252" w:lineRule="auto"/>
            </w:pPr>
            <w:r>
              <w:t>Assume that Brazil's Brazil Drill Ltd. is engaged in the work of constructing a tunnel for a hydropower project to be built on the Trishuli River. The company incurred Rs. 100 million in income year 2080/81 for construction materials used in the tunnel construction. Similarly, depreciation expense on machinery and tools used in the construction work was Rs. 10 million. In addition, Rs. 5 million was incurred for repair and improvement of machinery and tools. The source of the expenses, namely Rs. 100 million for consumption of construction materials, Rs. 10 million for depreciation expense, and Rs. 5 million for repair and improvement, is treated as Nepal.</w:t>
            </w:r>
          </w:p>
        </w:tc>
      </w:tr>
    </w:tbl>
    <w:p>
      <w:pPr>
        <w:spacing w:after="40"/>
      </w:pPr>
    </w:p>
    <w:p>
      <w:pPr>
        <w:pStyle w:val="Heading3"/>
        <w:spacing w:before="160" w:after="120"/>
      </w:pPr>
      <w:r>
        <w:t>3.3.4 Source of payment</w:t>
      </w:r>
    </w:p>
    <w:p>
      <w:pPr>
        <w:spacing w:after="120" w:line="259" w:lineRule="auto"/>
      </w:pPr>
      <w:r>
        <w:t>Under the preceding points, subsection (1) of section 67 provides that if the amounts included in income and the source of deductible expenses are in Nepal, the source of income, whether from business, investment or employment, is treated as Nepal. For income or expenses arising from an asset or liability to be treated as having a source in Nepal, the place where the asset or liability is situated at the time of disposal must be Nepal, as stated in subsections (3), (4) and (5) of section 67. In relation to transactions other than disposal of assets and liabilities, subsection (6) of section 67 determines the source country on the basis of the place of payment and includes detailed descriptions of different payments whose source is treated as Nepal. Subsection (6) of section 67 adopts two bases for treating Nepal as the source country of a payment:</w:t>
      </w:r>
    </w:p>
    <w:p>
      <w:pPr>
        <w:spacing w:after="120" w:line="259" w:lineRule="auto"/>
      </w:pPr>
      <w:r>
        <w:t>Basis 1: Payments made by residents (residency-based payments): interest, dividends, annuity, gains from investment insurance, retirement payments and government service.</w:t>
      </w:r>
    </w:p>
    <w:p>
      <w:pPr>
        <w:spacing w:after="120" w:line="259" w:lineRule="auto"/>
      </w:pPr>
      <w:r>
        <w:t>Basis 2: Except for disposal of assets and liabilities, payments based on the location of what the payment relates to (location-of-payment basis): all types of income or expenses determined by payments, other than those determined on the basis of residence, under sections 7, 8, 9 and 13.</w:t>
      </w:r>
    </w:p>
    <w:p>
      <w:pPr>
        <w:spacing w:after="120" w:line="259" w:lineRule="auto"/>
      </w:pPr>
      <w:r>
        <w:t>Under subsection (6) of section 67 of the Act, the following payments are treated as having a source in Nepal:</w:t>
      </w:r>
    </w:p>
    <w:tbl>
      <w:tblPr>
        <w:tblW w:type="auto" w:w="0"/>
        <w:jc w:val="center"/>
        <w:tblLayout w:type="autofit"/>
        <w:tblLook w:firstColumn="1" w:firstRow="1" w:lastColumn="0" w:lastRow="0" w:noHBand="0" w:noVBand="1" w:val="04A0"/>
      </w:tblPr>
      <w:tblGrid>
        <w:gridCol w:w="9638"/>
      </w:tblGrid>
      <w:tr>
        <w:tc>
          <w:tcPr>
            <w:tcW w:type="dxa" w:w="9638"/>
            <w:vAlign w:val="top"/>
            <w:shd w:fill="F2F2F2"/>
            <w:tcBorders>
              <w:top w:sz="6" w:val="single" w:color="B7B7B7" w:space="0"/>
              <w:left w:sz="6" w:val="single" w:color="B7B7B7" w:space="0"/>
              <w:bottom w:sz="6" w:val="single" w:color="B7B7B7" w:space="0"/>
              <w:right w:sz="6" w:val="single" w:color="B7B7B7" w:space="0"/>
            </w:tcBorders>
          </w:tcPr>
          <w:p>
            <w:pPr>
              <w:spacing w:after="80"/>
              <w:ind w:left="72" w:right="72"/>
            </w:pPr>
            <w:r>
              <w:rPr>
                <w:sz w:val="20"/>
              </w:rPr>
              <w:t>67(6)(a) dividends paid by a resident entity.</w:t>
            </w:r>
          </w:p>
        </w:tc>
      </w:tr>
    </w:tbl>
    <w:p>
      <w:pPr>
        <w:spacing w:after="40"/>
      </w:pPr>
    </w:p>
    <w:p>
      <w:pPr>
        <w:spacing w:after="120" w:line="259" w:lineRule="auto"/>
      </w:pPr>
      <w:r>
        <w:t>The source of dividends paid by a resident company or partnership firm of Nepal is treated as being in Nepal, whether the recipient shareholder or partner is a resident or a non-resident. Advance tax must be withheld on such payment and tax must be deposited in Nepal whether the payment is received by a resident or a non-resident.</w:t>
      </w:r>
    </w:p>
    <w:tbl>
      <w:tblPr>
        <w:tblW w:type="auto" w:w="0"/>
        <w:jc w:val="center"/>
        <w:tblLayout w:type="autofit"/>
        <w:tblLook w:firstColumn="1" w:firstRow="1" w:lastColumn="0" w:lastRow="0" w:noHBand="0" w:noVBand="1" w:val="04A0"/>
      </w:tblPr>
      <w:tblGrid>
        <w:gridCol w:w="9638"/>
      </w:tblGrid>
      <w:tr>
        <w:tc>
          <w:tcPr>
            <w:tcW w:type="dxa" w:w="9638"/>
            <w:vAlign w:val="top"/>
            <w:shd w:fill="F2F2F2"/>
            <w:tcBorders>
              <w:top w:sz="6" w:val="single" w:color="B7B7B7" w:space="0"/>
              <w:left w:sz="6" w:val="single" w:color="B7B7B7" w:space="0"/>
              <w:bottom w:sz="6" w:val="single" w:color="B7B7B7" w:space="0"/>
              <w:right w:sz="6" w:val="single" w:color="B7B7B7" w:space="0"/>
            </w:tcBorders>
          </w:tcPr>
          <w:p>
            <w:pPr>
              <w:spacing w:after="80"/>
              <w:ind w:left="72" w:right="72"/>
            </w:pPr>
            <w:r>
              <w:rPr>
                <w:sz w:val="20"/>
              </w:rPr>
              <w:t>67(6)(b) interest paid by a resident person.</w:t>
            </w:r>
          </w:p>
        </w:tc>
      </w:tr>
    </w:tbl>
    <w:p>
      <w:pPr>
        <w:spacing w:after="40"/>
      </w:pPr>
    </w:p>
    <w:p>
      <w:pPr>
        <w:spacing w:after="120" w:line="259" w:lineRule="auto"/>
      </w:pPr>
      <w:r>
        <w:t>The source of payment of interest on a loan or similar amount paid by a resident person is treated as being in Nepal. Tax must be deposited in Nepal whether such payment is received by a resident or a non-resident.</w:t>
      </w:r>
    </w:p>
    <w:tbl>
      <w:tblPr>
        <w:tblW w:type="auto" w:w="0"/>
        <w:jc w:val="center"/>
        <w:tblLayout w:type="autofit"/>
        <w:tblLook w:firstColumn="1" w:firstRow="1" w:lastColumn="0" w:lastRow="0" w:noHBand="0" w:noVBand="1" w:val="04A0"/>
      </w:tblPr>
      <w:tblGrid>
        <w:gridCol w:w="9638"/>
      </w:tblGrid>
      <w:tr>
        <w:tc>
          <w:tcPr>
            <w:tcW w:type="dxa" w:w="9638"/>
            <w:vAlign w:val="top"/>
            <w:shd w:fill="F2F2F2"/>
            <w:tcBorders>
              <w:top w:sz="6" w:val="single" w:color="B7B7B7" w:space="0"/>
              <w:left w:sz="6" w:val="single" w:color="B7B7B7" w:space="0"/>
              <w:bottom w:sz="6" w:val="single" w:color="B7B7B7" w:space="0"/>
              <w:right w:sz="6" w:val="single" w:color="B7B7B7" w:space="0"/>
            </w:tcBorders>
          </w:tcPr>
          <w:p>
            <w:pPr>
              <w:spacing w:after="80"/>
              <w:ind w:left="72" w:right="72"/>
            </w:pPr>
            <w:r>
              <w:rPr>
                <w:sz w:val="20"/>
              </w:rPr>
              <w:t>67(6)(c) a natural-resource payment made in respect of, or calculated by reference to, a natural resource obtained from land situated in Nepal.</w:t>
            </w:r>
          </w:p>
        </w:tc>
      </w:tr>
    </w:tbl>
    <w:p>
      <w:pPr>
        <w:spacing w:after="40"/>
      </w:pPr>
    </w:p>
    <w:p>
      <w:pPr>
        <w:spacing w:after="120" w:line="259" w:lineRule="auto"/>
      </w:pPr>
      <w:r>
        <w:t>The source of payments, including royalties, received for the use of land or a similar natural resource situated in Nepal is treated as being in Nepal. Tax must be deposited in Nepal whether such payment is received by a resident or a non-resident.</w:t>
      </w:r>
    </w:p>
    <w:tbl>
      <w:tblPr>
        <w:tblW w:type="auto" w:w="0"/>
        <w:jc w:val="center"/>
        <w:tblLayout w:type="autofit"/>
        <w:tblLook w:firstColumn="1" w:firstRow="1" w:lastColumn="0" w:lastRow="0" w:noHBand="0" w:noVBand="1" w:val="04A0"/>
      </w:tblPr>
      <w:tblGrid>
        <w:gridCol w:w="9638"/>
      </w:tblGrid>
      <w:tr>
        <w:tc>
          <w:tcPr>
            <w:tcW w:type="dxa" w:w="9638"/>
            <w:vAlign w:val="top"/>
            <w:shd w:fill="F2F2F2"/>
            <w:tcBorders>
              <w:top w:sz="6" w:val="single" w:color="B7B7B7" w:space="0"/>
              <w:left w:sz="6" w:val="single" w:color="B7B7B7" w:space="0"/>
              <w:bottom w:sz="6" w:val="single" w:color="B7B7B7" w:space="0"/>
              <w:right w:sz="6" w:val="single" w:color="B7B7B7" w:space="0"/>
            </w:tcBorders>
          </w:tcPr>
          <w:p>
            <w:pPr>
              <w:spacing w:after="80"/>
              <w:ind w:left="72" w:right="72"/>
            </w:pPr>
            <w:r>
              <w:rPr>
                <w:sz w:val="20"/>
              </w:rPr>
              <w:t>67(6)(d) rent paid for the use of property situated in Nepal.</w:t>
            </w:r>
          </w:p>
        </w:tc>
      </w:tr>
    </w:tbl>
    <w:p>
      <w:pPr>
        <w:spacing w:after="40"/>
      </w:pPr>
    </w:p>
    <w:p>
      <w:pPr>
        <w:spacing w:after="120" w:line="259" w:lineRule="auto"/>
      </w:pPr>
      <w:r>
        <w:t>The source of income received as rent for houses or land situated in Nepal, or rent of property installed in Nepal, is treated as being in Nepal. Tax must be deposited in Nepal whether such payment is received by a resident or a non-resident.</w:t>
      </w:r>
    </w:p>
    <w:tbl>
      <w:tblPr>
        <w:tblW w:type="auto" w:w="0"/>
        <w:jc w:val="center"/>
        <w:tblLayout w:type="autofit"/>
        <w:tblLook w:firstColumn="1" w:firstRow="1" w:lastColumn="0" w:lastRow="0" w:noHBand="0" w:noVBand="1" w:val="04A0"/>
      </w:tblPr>
      <w:tblGrid>
        <w:gridCol w:w="9638"/>
      </w:tblGrid>
      <w:tr>
        <w:tc>
          <w:tcPr>
            <w:tcW w:type="dxa" w:w="9638"/>
            <w:vAlign w:val="top"/>
            <w:shd w:fill="F2F2F2"/>
            <w:tcBorders>
              <w:top w:sz="6" w:val="single" w:color="B7B7B7" w:space="0"/>
              <w:left w:sz="6" w:val="single" w:color="B7B7B7" w:space="0"/>
              <w:bottom w:sz="6" w:val="single" w:color="B7B7B7" w:space="0"/>
              <w:right w:sz="6" w:val="single" w:color="B7B7B7" w:space="0"/>
            </w:tcBorders>
          </w:tcPr>
          <w:p>
            <w:pPr>
              <w:spacing w:after="80"/>
              <w:ind w:left="72" w:right="72"/>
            </w:pPr>
            <w:r>
              <w:rPr>
                <w:sz w:val="20"/>
              </w:rPr>
              <w:t>67(6)(e) royalty received by any person for allowing another person to use property situated in Nepal, for granting a right to use such property, or for accepting a restriction not to use such property.</w:t>
            </w:r>
          </w:p>
        </w:tc>
      </w:tr>
    </w:tbl>
    <w:p>
      <w:pPr>
        <w:spacing w:after="40"/>
      </w:pPr>
    </w:p>
    <w:p>
      <w:pPr>
        <w:spacing w:after="120" w:line="259" w:lineRule="auto"/>
      </w:pPr>
      <w:r>
        <w:t>Where a person permits another person to use tangible or intangible property situated in Nepal, including patents, brands or formulae, the source of the royalty payment received in return is treated as Nepal. Similarly, if any person, whether resident or non-resident, enters into an agreement with another person and receives an amount for not using property situated in Nepal, the source of the payment received for that also is Nepal. The following examples further clarify the above provision.</w:t>
      </w:r>
    </w:p>
    <w:tbl>
      <w:tblPr>
        <w:tblW w:type="auto" w:w="0"/>
        <w:jc w:val="center"/>
        <w:tblLayout w:type="autofit"/>
        <w:tblLook w:firstColumn="1" w:firstRow="1" w:lastColumn="0" w:lastRow="0" w:noHBand="0" w:noVBand="1" w:val="04A0"/>
      </w:tblPr>
      <w:tblGrid>
        <w:gridCol w:w="9638"/>
      </w:tblGrid>
      <w:tr>
        <w:tc>
          <w:tcPr>
            <w:tcW w:type="dxa" w:w="9638"/>
            <w:vAlign w:val="top"/>
            <w:shd w:fill="F8F8F8"/>
            <w:tcBorders>
              <w:top w:sz="6" w:val="single" w:color="A6A6A6" w:space="0"/>
              <w:left w:sz="6" w:val="single" w:color="A6A6A6" w:space="0"/>
              <w:bottom w:sz="6" w:val="single" w:color="A6A6A6" w:space="0"/>
              <w:right w:sz="6" w:val="single" w:color="A6A6A6" w:space="0"/>
            </w:tcBorders>
          </w:tcPr>
          <w:p>
            <w:pPr>
              <w:spacing w:after="100"/>
            </w:pPr>
            <w:r>
              <w:rPr>
                <w:b/>
                <w:sz w:val="21"/>
              </w:rPr>
              <w:t>Example 3.3.9</w:t>
            </w:r>
          </w:p>
          <w:p>
            <w:pPr>
              <w:spacing w:after="80" w:line="252" w:lineRule="auto"/>
            </w:pPr>
            <w:r>
              <w:t>Assume that a Nepali film producer grants a person the right to exhibit a film produced in Nepal. The source of the royalty received by the producer for granting that right is treated as Nepal.</w:t>
            </w:r>
          </w:p>
        </w:tc>
      </w:tr>
    </w:tbl>
    <w:p>
      <w:pPr>
        <w:spacing w:after="40"/>
      </w:pPr>
    </w:p>
    <w:tbl>
      <w:tblPr>
        <w:tblW w:type="auto" w:w="0"/>
        <w:jc w:val="center"/>
        <w:tblLayout w:type="autofit"/>
        <w:tblLook w:firstColumn="1" w:firstRow="1" w:lastColumn="0" w:lastRow="0" w:noHBand="0" w:noVBand="1" w:val="04A0"/>
      </w:tblPr>
      <w:tblGrid>
        <w:gridCol w:w="9638"/>
      </w:tblGrid>
      <w:tr>
        <w:tc>
          <w:tcPr>
            <w:tcW w:type="dxa" w:w="9638"/>
            <w:vAlign w:val="top"/>
            <w:shd w:fill="F8F8F8"/>
            <w:tcBorders>
              <w:top w:sz="6" w:val="single" w:color="A6A6A6" w:space="0"/>
              <w:left w:sz="6" w:val="single" w:color="A6A6A6" w:space="0"/>
              <w:bottom w:sz="6" w:val="single" w:color="A6A6A6" w:space="0"/>
              <w:right w:sz="6" w:val="single" w:color="A6A6A6" w:space="0"/>
            </w:tcBorders>
          </w:tcPr>
          <w:p>
            <w:pPr>
              <w:spacing w:after="100"/>
            </w:pPr>
            <w:r>
              <w:rPr>
                <w:b/>
                <w:sz w:val="21"/>
              </w:rPr>
              <w:t>Example 3.3.10</w:t>
            </w:r>
          </w:p>
          <w:p>
            <w:pPr>
              <w:spacing w:after="80" w:line="252" w:lineRule="auto"/>
            </w:pPr>
            <w:r>
              <w:t>Assume that the producer in Example 3.3.9 receives a payment from that person on the condition that the producer will not allow anyone else to exhibit the film. The source of such payment is treated as Nepal.</w:t>
            </w:r>
          </w:p>
        </w:tc>
      </w:tr>
    </w:tbl>
    <w:p>
      <w:pPr>
        <w:spacing w:after="40"/>
      </w:pPr>
    </w:p>
    <w:tbl>
      <w:tblPr>
        <w:tblW w:type="auto" w:w="0"/>
        <w:jc w:val="center"/>
        <w:tblLayout w:type="autofit"/>
        <w:tblLook w:firstColumn="1" w:firstRow="1" w:lastColumn="0" w:lastRow="0" w:noHBand="0" w:noVBand="1" w:val="04A0"/>
      </w:tblPr>
      <w:tblGrid>
        <w:gridCol w:w="9638"/>
      </w:tblGrid>
      <w:tr>
        <w:tc>
          <w:tcPr>
            <w:tcW w:type="dxa" w:w="9638"/>
            <w:vAlign w:val="top"/>
            <w:shd w:fill="F2F2F2"/>
            <w:tcBorders>
              <w:top w:sz="6" w:val="single" w:color="B7B7B7" w:space="0"/>
              <w:left w:sz="6" w:val="single" w:color="B7B7B7" w:space="0"/>
              <w:bottom w:sz="6" w:val="single" w:color="B7B7B7" w:space="0"/>
              <w:right w:sz="6" w:val="single" w:color="B7B7B7" w:space="0"/>
            </w:tcBorders>
          </w:tcPr>
          <w:p>
            <w:pPr>
              <w:spacing w:after="80"/>
              <w:ind w:left="72" w:right="72"/>
            </w:pPr>
            <w:r>
              <w:rPr>
                <w:sz w:val="20"/>
              </w:rPr>
              <w:t>67(6)(f) amounts paid by any person in respect of general insurance relating to a risk situated in Nepal and premiums paid to that person for general insurance.</w:t>
            </w:r>
          </w:p>
        </w:tc>
      </w:tr>
    </w:tbl>
    <w:p>
      <w:pPr>
        <w:spacing w:after="40"/>
      </w:pPr>
    </w:p>
    <w:p>
      <w:pPr>
        <w:spacing w:after="120" w:line="259" w:lineRule="auto"/>
      </w:pPr>
      <w:r>
        <w:t>The following example clarifies the above provision.</w:t>
      </w:r>
    </w:p>
    <w:tbl>
      <w:tblPr>
        <w:tblW w:type="auto" w:w="0"/>
        <w:jc w:val="center"/>
        <w:tblLayout w:type="autofit"/>
        <w:tblLook w:firstColumn="1" w:firstRow="1" w:lastColumn="0" w:lastRow="0" w:noHBand="0" w:noVBand="1" w:val="04A0"/>
      </w:tblPr>
      <w:tblGrid>
        <w:gridCol w:w="9638"/>
      </w:tblGrid>
      <w:tr>
        <w:tc>
          <w:tcPr>
            <w:tcW w:type="dxa" w:w="9638"/>
            <w:vAlign w:val="top"/>
            <w:shd w:fill="F8F8F8"/>
            <w:tcBorders>
              <w:top w:sz="6" w:val="single" w:color="A6A6A6" w:space="0"/>
              <w:left w:sz="6" w:val="single" w:color="A6A6A6" w:space="0"/>
              <w:bottom w:sz="6" w:val="single" w:color="A6A6A6" w:space="0"/>
              <w:right w:sz="6" w:val="single" w:color="A6A6A6" w:space="0"/>
            </w:tcBorders>
          </w:tcPr>
          <w:p>
            <w:pPr>
              <w:spacing w:after="100"/>
            </w:pPr>
            <w:r>
              <w:rPr>
                <w:b/>
                <w:sz w:val="21"/>
              </w:rPr>
              <w:t>Example 3.3.11</w:t>
            </w:r>
          </w:p>
          <w:p>
            <w:pPr>
              <w:spacing w:after="80" w:line="252" w:lineRule="auto"/>
            </w:pPr>
            <w:r>
              <w:t>Assume that an insurance company of India insured the risk of a factory situated in Nepal. The source of the insurance premium paid by that factory to the Indian insurance company is treated as Nepal.</w:t>
            </w:r>
          </w:p>
        </w:tc>
      </w:tr>
    </w:tbl>
    <w:p>
      <w:pPr>
        <w:spacing w:after="40"/>
      </w:pPr>
    </w:p>
    <w:tbl>
      <w:tblPr>
        <w:tblW w:type="auto" w:w="0"/>
        <w:jc w:val="center"/>
        <w:tblLayout w:type="autofit"/>
        <w:tblLook w:firstColumn="1" w:firstRow="1" w:lastColumn="0" w:lastRow="0" w:noHBand="0" w:noVBand="1" w:val="04A0"/>
      </w:tblPr>
      <w:tblGrid>
        <w:gridCol w:w="9638"/>
      </w:tblGrid>
      <w:tr>
        <w:tc>
          <w:tcPr>
            <w:tcW w:type="dxa" w:w="9638"/>
            <w:vAlign w:val="top"/>
            <w:shd w:fill="F2F2F2"/>
            <w:tcBorders>
              <w:top w:sz="6" w:val="single" w:color="B7B7B7" w:space="0"/>
              <w:left w:sz="6" w:val="single" w:color="B7B7B7" w:space="0"/>
              <w:bottom w:sz="6" w:val="single" w:color="B7B7B7" w:space="0"/>
              <w:right w:sz="6" w:val="single" w:color="B7B7B7" w:space="0"/>
            </w:tcBorders>
          </w:tcPr>
          <w:p>
            <w:pPr>
              <w:spacing w:after="80"/>
              <w:ind w:left="72" w:right="72"/>
            </w:pPr>
            <w:r>
              <w:rPr>
                <w:sz w:val="20"/>
              </w:rPr>
              <w:t>67(6)(g) payments, other than as a result of trans-shipment, received by a person carrying on a land, sea or air transport or charter service business in Nepal in respect of:</w:t>
            </w:r>
          </w:p>
          <w:p>
            <w:pPr>
              <w:spacing w:after="80"/>
              <w:ind w:left="72" w:right="72"/>
            </w:pPr>
            <w:r>
              <w:rPr>
                <w:sz w:val="20"/>
              </w:rPr>
              <w:t>(1) the carriage of passengers departing from Nepal; or</w:t>
            </w:r>
          </w:p>
          <w:p>
            <w:pPr>
              <w:spacing w:after="80"/>
              <w:ind w:left="72" w:right="72"/>
            </w:pPr>
            <w:r>
              <w:rPr>
                <w:sz w:val="20"/>
              </w:rPr>
              <w:t>(2) the transport of mail, livestock or other tangible movable property.</w:t>
            </w:r>
          </w:p>
        </w:tc>
      </w:tr>
    </w:tbl>
    <w:p>
      <w:pPr>
        <w:spacing w:after="40"/>
      </w:pPr>
    </w:p>
    <w:p>
      <w:pPr>
        <w:spacing w:after="120" w:line="259" w:lineRule="auto"/>
      </w:pPr>
      <w:r>
        <w:t>If a person operates air service in Nepal and transports passengers and goods, the source of the amount paid to the airline for air travel by passengers whose departure begins from Nepal is treated as Nepal. Similarly, the source of the payment received by an airline for transporting goods sent out of Nepal by any person is also treated as Nepal. If, in exporting goods from Nepal, a Nepalese export company transports the goods by land up to the country of export, namely the final destination, the source of the payment received for that transport is Nepal. If a shipping company receives payment to send goods exported from Nepal by sea route, carrying them from Nepal by land through a port and then by sea route up to the country of export, the source of that payment is treated as being in Nepal.</w:t>
      </w:r>
    </w:p>
    <w:tbl>
      <w:tblPr>
        <w:tblW w:type="auto" w:w="0"/>
        <w:jc w:val="center"/>
        <w:tblLayout w:type="autofit"/>
        <w:tblLook w:firstColumn="1" w:firstRow="1" w:lastColumn="0" w:lastRow="0" w:noHBand="0" w:noVBand="1" w:val="04A0"/>
      </w:tblPr>
      <w:tblGrid>
        <w:gridCol w:w="9638"/>
      </w:tblGrid>
      <w:tr>
        <w:tc>
          <w:tcPr>
            <w:tcW w:type="dxa" w:w="9638"/>
            <w:vAlign w:val="top"/>
            <w:shd w:fill="F2F2F2"/>
            <w:tcBorders>
              <w:top w:sz="6" w:val="single" w:color="B7B7B7" w:space="0"/>
              <w:left w:sz="6" w:val="single" w:color="B7B7B7" w:space="0"/>
              <w:bottom w:sz="6" w:val="single" w:color="B7B7B7" w:space="0"/>
              <w:right w:sz="6" w:val="single" w:color="B7B7B7" w:space="0"/>
            </w:tcBorders>
          </w:tcPr>
          <w:p>
            <w:pPr>
              <w:spacing w:after="80"/>
              <w:ind w:left="72" w:right="72"/>
            </w:pPr>
            <w:r>
              <w:rPr>
                <w:sz w:val="20"/>
              </w:rPr>
              <w:t>67(6)(h) payments received by a person carrying on a business of transmitting news or information by means of communications such as cable, radio, optical fibre or satellite in respect of transmission of such news or information through equipment installed in Nepal, whether or not such news or information originated in Nepal.</w:t>
            </w:r>
          </w:p>
        </w:tc>
      </w:tr>
    </w:tbl>
    <w:p>
      <w:pPr>
        <w:spacing w:after="40"/>
      </w:pPr>
    </w:p>
    <w:p>
      <w:pPr>
        <w:spacing w:after="120" w:line="259" w:lineRule="auto"/>
      </w:pPr>
      <w:r>
        <w:t>This clause is particularly related to the transmission of information and news. It is difficult to identify the point of origin of information or news and the person transmitting it. The transmission of such information and news is not carried out by the transmitter alone; other persons may also be involved in the middle. In such a case, difficulty remains in determining the place of transmission of the information and news. Taking this difficulty into account, the Act provides that if news or information is transmitted through equipment located in Nepal and payment is made for that information or news, the source of such payment is treated as Nepal. The following example clarifies the above provision.</w:t>
      </w:r>
    </w:p>
    <w:tbl>
      <w:tblPr>
        <w:tblW w:type="auto" w:w="0"/>
        <w:jc w:val="center"/>
        <w:tblLayout w:type="autofit"/>
        <w:tblLook w:firstColumn="1" w:firstRow="1" w:lastColumn="0" w:lastRow="0" w:noHBand="0" w:noVBand="1" w:val="04A0"/>
      </w:tblPr>
      <w:tblGrid>
        <w:gridCol w:w="9638"/>
      </w:tblGrid>
      <w:tr>
        <w:tc>
          <w:tcPr>
            <w:tcW w:type="dxa" w:w="9638"/>
            <w:vAlign w:val="top"/>
            <w:shd w:fill="F8F8F8"/>
            <w:tcBorders>
              <w:top w:sz="6" w:val="single" w:color="A6A6A6" w:space="0"/>
              <w:left w:sz="6" w:val="single" w:color="A6A6A6" w:space="0"/>
              <w:bottom w:sz="6" w:val="single" w:color="A6A6A6" w:space="0"/>
              <w:right w:sz="6" w:val="single" w:color="A6A6A6" w:space="0"/>
            </w:tcBorders>
          </w:tcPr>
          <w:p>
            <w:pPr>
              <w:spacing w:after="100"/>
            </w:pPr>
            <w:r>
              <w:rPr>
                <w:b/>
                <w:sz w:val="21"/>
              </w:rPr>
              <w:t>Example 3.3.12</w:t>
            </w:r>
          </w:p>
          <w:p>
            <w:pPr>
              <w:spacing w:after="80" w:line="252" w:lineRule="auto"/>
            </w:pPr>
            <w:r>
              <w:t>Assume that the live broadcast of a cricket match held in South Africa is made by Star Africa Channel of that country. Star Africa Channel granted Fly Cable TV of Nepal the right to rebroadcast the live cricket broadcast to Nepali viewers. Fly Cable TV provides the service to its customers. The source of the payment made by Fly Cable TV to Star Africa Channel, which has the right to make the live cricket broadcast, for broadcasting through equipment installed in Nepal is treated as Nepal.</w:t>
            </w:r>
          </w:p>
        </w:tc>
      </w:tr>
    </w:tbl>
    <w:p>
      <w:pPr>
        <w:spacing w:after="40"/>
      </w:pPr>
    </w:p>
    <w:tbl>
      <w:tblPr>
        <w:tblW w:type="auto" w:w="0"/>
        <w:jc w:val="center"/>
        <w:tblLayout w:type="autofit"/>
        <w:tblLook w:firstColumn="1" w:firstRow="1" w:lastColumn="0" w:lastRow="0" w:noHBand="0" w:noVBand="1" w:val="04A0"/>
      </w:tblPr>
      <w:tblGrid>
        <w:gridCol w:w="9638"/>
      </w:tblGrid>
      <w:tr>
        <w:tc>
          <w:tcPr>
            <w:tcW w:type="dxa" w:w="9638"/>
            <w:vAlign w:val="top"/>
            <w:shd w:fill="F2F2F2"/>
            <w:tcBorders>
              <w:top w:sz="6" w:val="single" w:color="B7B7B7" w:space="0"/>
              <w:left w:sz="6" w:val="single" w:color="B7B7B7" w:space="0"/>
              <w:bottom w:sz="6" w:val="single" w:color="B7B7B7" w:space="0"/>
              <w:right w:sz="6" w:val="single" w:color="B7B7B7" w:space="0"/>
            </w:tcBorders>
          </w:tcPr>
          <w:p>
            <w:pPr>
              <w:spacing w:after="80"/>
              <w:ind w:left="72" w:right="72"/>
            </w:pPr>
            <w:r>
              <w:rPr>
                <w:sz w:val="20"/>
              </w:rPr>
              <w:t>67(6)(i) payments, including service charges, of types not mentioned in clauses (g) or (h), made for employment, for providing services, or for agreeing to a restriction on such activities, in the following circumstances:</w:t>
            </w:r>
          </w:p>
          <w:p>
            <w:pPr>
              <w:spacing w:after="80"/>
              <w:ind w:left="72" w:right="72"/>
            </w:pPr>
            <w:r>
              <w:rPr>
                <w:sz w:val="20"/>
              </w:rPr>
              <w:t>(1) where those activities are carried out in Nepal, irrespective of the place of payment; or</w:t>
            </w:r>
          </w:p>
          <w:p>
            <w:pPr>
              <w:spacing w:after="80"/>
              <w:ind w:left="72" w:right="72"/>
            </w:pPr>
            <w:r>
              <w:rPr>
                <w:sz w:val="20"/>
              </w:rPr>
              <w:t>(2) where the Government of Nepal makes the payment, irrespective of the place of employment.</w:t>
            </w:r>
          </w:p>
        </w:tc>
      </w:tr>
    </w:tbl>
    <w:p>
      <w:pPr>
        <w:spacing w:after="40"/>
      </w:pPr>
    </w:p>
    <w:p>
      <w:pPr>
        <w:spacing w:after="120" w:line="259" w:lineRule="auto"/>
      </w:pPr>
      <w:r>
        <w:t>Under this provision, where a person receives a payment for employment or for providing services and the income arises because the employment or service was performed in Nepal, the source of such payment is treated as Nepal irrespective of the place of payment. Similarly, if the Government of Nepal makes a payment for employment, the source of such payment is treated as Nepal even if the employment is performed outside Nepal. The following examples clarify the above provision.</w:t>
      </w:r>
    </w:p>
    <w:tbl>
      <w:tblPr>
        <w:tblW w:type="auto" w:w="0"/>
        <w:jc w:val="center"/>
        <w:tblLayout w:type="autofit"/>
        <w:tblLook w:firstColumn="1" w:firstRow="1" w:lastColumn="0" w:lastRow="0" w:noHBand="0" w:noVBand="1" w:val="04A0"/>
      </w:tblPr>
      <w:tblGrid>
        <w:gridCol w:w="9638"/>
      </w:tblGrid>
      <w:tr>
        <w:tc>
          <w:tcPr>
            <w:tcW w:type="dxa" w:w="9638"/>
            <w:vAlign w:val="top"/>
            <w:shd w:fill="F8F8F8"/>
            <w:tcBorders>
              <w:top w:sz="6" w:val="single" w:color="A6A6A6" w:space="0"/>
              <w:left w:sz="6" w:val="single" w:color="A6A6A6" w:space="0"/>
              <w:bottom w:sz="6" w:val="single" w:color="A6A6A6" w:space="0"/>
              <w:right w:sz="6" w:val="single" w:color="A6A6A6" w:space="0"/>
            </w:tcBorders>
          </w:tcPr>
          <w:p>
            <w:pPr>
              <w:spacing w:after="100"/>
            </w:pPr>
            <w:r>
              <w:rPr>
                <w:b/>
                <w:sz w:val="21"/>
              </w:rPr>
              <w:t>Example 3.3.13</w:t>
            </w:r>
          </w:p>
          <w:p>
            <w:pPr>
              <w:spacing w:after="80" w:line="252" w:lineRule="auto"/>
            </w:pPr>
            <w:r>
              <w:t>Assume that IMGD of the Netherlands operates a training programme to enhance the capacity of employees working in Nepal's revenue administration. The programme is financially supported by the Danish Government. The company provides training to the employees in Nepal, and the arrangement is that the service charge for providing the training is paid in the Netherlands. In this situation, because the training activity is conducted in Nepal, the source of the payment received by IMGD as service charge is treated as Nepal.</w:t>
            </w:r>
          </w:p>
        </w:tc>
      </w:tr>
    </w:tbl>
    <w:p>
      <w:pPr>
        <w:spacing w:after="40"/>
      </w:pPr>
    </w:p>
    <w:tbl>
      <w:tblPr>
        <w:tblW w:type="auto" w:w="0"/>
        <w:jc w:val="center"/>
        <w:tblLayout w:type="autofit"/>
        <w:tblLook w:firstColumn="1" w:firstRow="1" w:lastColumn="0" w:lastRow="0" w:noHBand="0" w:noVBand="1" w:val="04A0"/>
      </w:tblPr>
      <w:tblGrid>
        <w:gridCol w:w="9638"/>
      </w:tblGrid>
      <w:tr>
        <w:tc>
          <w:tcPr>
            <w:tcW w:type="dxa" w:w="9638"/>
            <w:vAlign w:val="top"/>
            <w:shd w:fill="F8F8F8"/>
            <w:tcBorders>
              <w:top w:sz="6" w:val="single" w:color="A6A6A6" w:space="0"/>
              <w:left w:sz="6" w:val="single" w:color="A6A6A6" w:space="0"/>
              <w:bottom w:sz="6" w:val="single" w:color="A6A6A6" w:space="0"/>
              <w:right w:sz="6" w:val="single" w:color="A6A6A6" w:space="0"/>
            </w:tcBorders>
          </w:tcPr>
          <w:p>
            <w:pPr>
              <w:spacing w:after="100"/>
            </w:pPr>
            <w:r>
              <w:rPr>
                <w:b/>
                <w:sz w:val="21"/>
              </w:rPr>
              <w:t>Example 3.3.14</w:t>
            </w:r>
          </w:p>
          <w:p>
            <w:pPr>
              <w:spacing w:after="80" w:line="252" w:lineRule="auto"/>
            </w:pPr>
            <w:r>
              <w:t>Assume that the Government of Nepal has opened a residential embassy in France. The Government of Nepal pays remuneration for employment to the persons employed at that embassy. Although they work at the embassy situated in France, because the payment for such employment is made by the Government of Nepal, the source of that payment is treated as Nepal.</w:t>
            </w:r>
          </w:p>
        </w:tc>
      </w:tr>
    </w:tbl>
    <w:p>
      <w:pPr>
        <w:spacing w:after="40"/>
      </w:pPr>
    </w:p>
    <w:tbl>
      <w:tblPr>
        <w:tblW w:type="auto" w:w="0"/>
        <w:jc w:val="center"/>
        <w:tblLayout w:type="autofit"/>
        <w:tblLook w:firstColumn="1" w:firstRow="1" w:lastColumn="0" w:lastRow="0" w:noHBand="0" w:noVBand="1" w:val="04A0"/>
      </w:tblPr>
      <w:tblGrid>
        <w:gridCol w:w="9638"/>
      </w:tblGrid>
      <w:tr>
        <w:tc>
          <w:tcPr>
            <w:tcW w:type="dxa" w:w="9638"/>
            <w:vAlign w:val="top"/>
            <w:shd w:fill="F2F2F2"/>
            <w:tcBorders>
              <w:top w:sz="6" w:val="single" w:color="B7B7B7" w:space="0"/>
              <w:left w:sz="6" w:val="single" w:color="B7B7B7" w:space="0"/>
              <w:bottom w:sz="6" w:val="single" w:color="B7B7B7" w:space="0"/>
              <w:right w:sz="6" w:val="single" w:color="B7B7B7" w:space="0"/>
            </w:tcBorders>
          </w:tcPr>
          <w:p>
            <w:pPr>
              <w:spacing w:after="80"/>
              <w:ind w:left="72" w:right="72"/>
            </w:pPr>
            <w:r>
              <w:rPr>
                <w:sz w:val="20"/>
              </w:rPr>
              <w:t>67(6)(j) annuity amounts, investment insurance amounts and retirement payment amounts paid by a resident person that do not fall within clause (i), and any premium or other payment made to a resident person to secure such amounts.</w:t>
            </w:r>
          </w:p>
        </w:tc>
      </w:tr>
    </w:tbl>
    <w:p>
      <w:pPr>
        <w:spacing w:after="40"/>
      </w:pPr>
    </w:p>
    <w:p>
      <w:pPr>
        <w:spacing w:after="120" w:line="259" w:lineRule="auto"/>
      </w:pPr>
      <w:r>
        <w:t>Amounts of annuity, payments from investment insurance and retirement payments made by a resident person are treated as Nepal-source payments. The following example clarifies the above provision.</w:t>
      </w:r>
    </w:p>
    <w:tbl>
      <w:tblPr>
        <w:tblW w:type="auto" w:w="0"/>
        <w:jc w:val="center"/>
        <w:tblLayout w:type="autofit"/>
        <w:tblLook w:firstColumn="1" w:firstRow="1" w:lastColumn="0" w:lastRow="0" w:noHBand="0" w:noVBand="1" w:val="04A0"/>
      </w:tblPr>
      <w:tblGrid>
        <w:gridCol w:w="9638"/>
      </w:tblGrid>
      <w:tr>
        <w:tc>
          <w:tcPr>
            <w:tcW w:type="dxa" w:w="9638"/>
            <w:vAlign w:val="top"/>
            <w:shd w:fill="F8F8F8"/>
            <w:tcBorders>
              <w:top w:sz="6" w:val="single" w:color="A6A6A6" w:space="0"/>
              <w:left w:sz="6" w:val="single" w:color="A6A6A6" w:space="0"/>
              <w:bottom w:sz="6" w:val="single" w:color="A6A6A6" w:space="0"/>
              <w:right w:sz="6" w:val="single" w:color="A6A6A6" w:space="0"/>
            </w:tcBorders>
          </w:tcPr>
          <w:p>
            <w:pPr>
              <w:spacing w:after="100"/>
            </w:pPr>
            <w:r>
              <w:rPr>
                <w:b/>
                <w:sz w:val="21"/>
              </w:rPr>
              <w:t>Example 3.3.15</w:t>
            </w:r>
          </w:p>
          <w:p>
            <w:pPr>
              <w:spacing w:after="80" w:line="252" w:lineRule="auto"/>
            </w:pPr>
            <w:r>
              <w:t>Assume that a person has retired from employment. During employment, he had made contributions to the Citizen Investment Trust, a resident person. After retirement from employment, the Citizen Investment Trust made a retirement payment to him. In this situation, the source of the retirement payment made by the Citizen Investment Trust is treated as Nepal. In addition, the source of the retirement contribution made by the employer to the Citizen Investment Trust, a resident person, during the employment period to secure the retirement payment is also treated as Nepal.</w:t>
            </w:r>
          </w:p>
        </w:tc>
      </w:tr>
    </w:tbl>
    <w:p>
      <w:pPr>
        <w:spacing w:after="40"/>
      </w:pPr>
    </w:p>
    <w:tbl>
      <w:tblPr>
        <w:tblW w:type="auto" w:w="0"/>
        <w:jc w:val="center"/>
        <w:tblLayout w:type="autofit"/>
        <w:tblLook w:firstColumn="1" w:firstRow="1" w:lastColumn="0" w:lastRow="0" w:noHBand="0" w:noVBand="1" w:val="04A0"/>
      </w:tblPr>
      <w:tblGrid>
        <w:gridCol w:w="9638"/>
      </w:tblGrid>
      <w:tr>
        <w:tc>
          <w:tcPr>
            <w:tcW w:type="dxa" w:w="9638"/>
            <w:vAlign w:val="top"/>
            <w:shd w:fill="F2F2F2"/>
            <w:tcBorders>
              <w:top w:sz="6" w:val="single" w:color="B7B7B7" w:space="0"/>
              <w:left w:sz="6" w:val="single" w:color="B7B7B7" w:space="0"/>
              <w:bottom w:sz="6" w:val="single" w:color="B7B7B7" w:space="0"/>
              <w:right w:sz="6" w:val="single" w:color="B7B7B7" w:space="0"/>
            </w:tcBorders>
          </w:tcPr>
          <w:p>
            <w:pPr>
              <w:spacing w:after="80"/>
              <w:ind w:left="72" w:right="72"/>
            </w:pPr>
            <w:r>
              <w:rPr>
                <w:sz w:val="20"/>
              </w:rPr>
              <w:t>67(6)(k) gifts received in relation to a business or investment operated from property situated in Nepal.</w:t>
            </w:r>
          </w:p>
        </w:tc>
      </w:tr>
    </w:tbl>
    <w:p>
      <w:pPr>
        <w:spacing w:after="40"/>
      </w:pPr>
    </w:p>
    <w:p>
      <w:pPr>
        <w:spacing w:after="120" w:line="259" w:lineRule="auto"/>
      </w:pPr>
      <w:r>
        <w:t>Gifts received in relation to a business or investment operated from property situated in Nepal are treated as having a source in Nepal, wherever such gifts are received. The following example further clarifies the above provision.</w:t>
      </w:r>
    </w:p>
    <w:tbl>
      <w:tblPr>
        <w:tblW w:type="auto" w:w="0"/>
        <w:jc w:val="center"/>
        <w:tblLayout w:type="autofit"/>
        <w:tblLook w:firstColumn="1" w:firstRow="1" w:lastColumn="0" w:lastRow="0" w:noHBand="0" w:noVBand="1" w:val="04A0"/>
      </w:tblPr>
      <w:tblGrid>
        <w:gridCol w:w="9638"/>
      </w:tblGrid>
      <w:tr>
        <w:tc>
          <w:tcPr>
            <w:tcW w:type="dxa" w:w="9638"/>
            <w:vAlign w:val="top"/>
            <w:shd w:fill="F8F8F8"/>
            <w:tcBorders>
              <w:top w:sz="6" w:val="single" w:color="A6A6A6" w:space="0"/>
              <w:left w:sz="6" w:val="single" w:color="A6A6A6" w:space="0"/>
              <w:bottom w:sz="6" w:val="single" w:color="A6A6A6" w:space="0"/>
              <w:right w:sz="6" w:val="single" w:color="A6A6A6" w:space="0"/>
            </w:tcBorders>
          </w:tcPr>
          <w:p>
            <w:pPr>
              <w:spacing w:after="100"/>
            </w:pPr>
            <w:r>
              <w:rPr>
                <w:b/>
                <w:sz w:val="21"/>
              </w:rPr>
              <w:t>Example 3.3.16</w:t>
            </w:r>
          </w:p>
          <w:p>
            <w:pPr>
              <w:spacing w:after="80" w:line="252" w:lineRule="auto"/>
            </w:pPr>
            <w:r>
              <w:t>Assume that a Japanese company named Fukuda &amp; Co. has an investment in a flower garden in Kathmandu. Various types of research relating to plants are also conducted in that flower garden. Fukuda &amp; Co. receives a gift of 1 million Japanese yen in Japan from the Botanical Association of Japan for making a significant contribution to plant-related research in Nepal. The source of the gift received in relation to the company's business situated in Nepal is treated as Nepal.</w:t>
            </w:r>
          </w:p>
        </w:tc>
      </w:tr>
    </w:tbl>
    <w:p>
      <w:pPr>
        <w:spacing w:after="40"/>
      </w:pPr>
    </w:p>
    <w:tbl>
      <w:tblPr>
        <w:tblW w:type="auto" w:w="0"/>
        <w:jc w:val="center"/>
        <w:tblLayout w:type="autofit"/>
        <w:tblLook w:firstColumn="1" w:firstRow="1" w:lastColumn="0" w:lastRow="0" w:noHBand="0" w:noVBand="1" w:val="04A0"/>
      </w:tblPr>
      <w:tblGrid>
        <w:gridCol w:w="9638"/>
      </w:tblGrid>
      <w:tr>
        <w:tc>
          <w:tcPr>
            <w:tcW w:type="dxa" w:w="9638"/>
            <w:vAlign w:val="top"/>
            <w:shd w:fill="F2F2F2"/>
            <w:tcBorders>
              <w:top w:sz="6" w:val="single" w:color="B7B7B7" w:space="0"/>
              <w:left w:sz="6" w:val="single" w:color="B7B7B7" w:space="0"/>
              <w:bottom w:sz="6" w:val="single" w:color="B7B7B7" w:space="0"/>
              <w:right w:sz="6" w:val="single" w:color="B7B7B7" w:space="0"/>
            </w:tcBorders>
          </w:tcPr>
          <w:p>
            <w:pPr>
              <w:spacing w:after="80"/>
              <w:ind w:left="72" w:right="72"/>
            </w:pPr>
            <w:r>
              <w:rPr>
                <w:sz w:val="20"/>
              </w:rPr>
              <w:t>67(6)(l) the following payments other than those mentioned above in clauses (a), (b), (c), (d), (e), (f), (g), (h), (i), (j) and (k):</w:t>
            </w:r>
          </w:p>
          <w:p>
            <w:pPr>
              <w:spacing w:after="80"/>
              <w:ind w:left="72" w:right="72"/>
            </w:pPr>
            <w:r>
              <w:rPr>
                <w:sz w:val="20"/>
              </w:rPr>
              <w:t>(1) payments made in relation to disposal of property situated in Nepal or in relation to the acquisition of a liability to be borne in Nepal; or</w:t>
            </w:r>
          </w:p>
          <w:p>
            <w:pPr>
              <w:spacing w:after="80"/>
              <w:ind w:left="72" w:right="72"/>
            </w:pPr>
            <w:r>
              <w:rPr>
                <w:sz w:val="20"/>
              </w:rPr>
              <w:t>(2) payments made in relation to activities conducted in Nepal.</w:t>
            </w:r>
          </w:p>
        </w:tc>
      </w:tr>
    </w:tbl>
    <w:p>
      <w:pPr>
        <w:spacing w:after="40"/>
      </w:pPr>
    </w:p>
    <w:p>
      <w:pPr>
        <w:spacing w:after="120" w:line="259" w:lineRule="auto"/>
      </w:pPr>
      <w:r>
        <w:t>Clauses (a) to (k) of subsection (6) of section 67 of the Act describe the sources of various types of payments. In addition to the source of the above payments, the source of payments relating to all activities conducted in Nepal, whether business or investment activities, is also treated as Nepal. Similarly, the source of payments made upon disposal of any property situated in Nepal or upon acquisition of any liability is also treated as Nepal. The following example further clarifies the above provision.</w:t>
      </w:r>
    </w:p>
    <w:tbl>
      <w:tblPr>
        <w:tblW w:type="auto" w:w="0"/>
        <w:jc w:val="center"/>
        <w:tblLayout w:type="autofit"/>
        <w:tblLook w:firstColumn="1" w:firstRow="1" w:lastColumn="0" w:lastRow="0" w:noHBand="0" w:noVBand="1" w:val="04A0"/>
      </w:tblPr>
      <w:tblGrid>
        <w:gridCol w:w="9638"/>
      </w:tblGrid>
      <w:tr>
        <w:tc>
          <w:tcPr>
            <w:tcW w:type="dxa" w:w="9638"/>
            <w:vAlign w:val="top"/>
            <w:shd w:fill="F8F8F8"/>
            <w:tcBorders>
              <w:top w:sz="6" w:val="single" w:color="A6A6A6" w:space="0"/>
              <w:left w:sz="6" w:val="single" w:color="A6A6A6" w:space="0"/>
              <w:bottom w:sz="6" w:val="single" w:color="A6A6A6" w:space="0"/>
              <w:right w:sz="6" w:val="single" w:color="A6A6A6" w:space="0"/>
            </w:tcBorders>
          </w:tcPr>
          <w:p>
            <w:pPr>
              <w:spacing w:after="100"/>
            </w:pPr>
            <w:r>
              <w:rPr>
                <w:b/>
                <w:sz w:val="21"/>
              </w:rPr>
              <w:t>Example 3.3.17</w:t>
            </w:r>
          </w:p>
          <w:p>
            <w:pPr>
              <w:spacing w:after="80" w:line="252" w:lineRule="auto"/>
            </w:pPr>
            <w:r>
              <w:t>Assume that Fukuda &amp; Co., mentioned in Example 3.3.16, sold its share investment in the flower garden to another Japanese company. The source of the shares sold by Fukuda &amp; Co. is treated as Nepal, and the source of the income from that sale computed under section 36 is treated as Nepal.</w:t>
            </w:r>
          </w:p>
        </w:tc>
      </w:tr>
    </w:tbl>
    <w:p>
      <w:pPr>
        <w:spacing w:after="40"/>
      </w:pPr>
    </w:p>
    <w:p>
      <w:pPr>
        <w:pStyle w:val="Heading2"/>
        <w:spacing w:before="160" w:after="120"/>
      </w:pPr>
      <w:r>
        <w:t>3.4 Income whose source is not treated as Nepal</w:t>
      </w:r>
    </w:p>
    <w:p>
      <w:pPr>
        <w:spacing w:after="120" w:line="259" w:lineRule="auto"/>
      </w:pPr>
      <w:r>
        <w:t>Subsections (1) to (6) of section 67 of the Act describe the source in Nepal of a person's income, loss, amount, gain and payment. Income, loss, amount, gain and payment other than those mentioned in subsections (1) to (6) are treated as having a foreign source. Amounts treated as foreign-source in this way are treated as having a source in the relevant country on the same basis on which, in similar circumstances, the source is treated as Nepal. For example, income received from property situated in Nepal is treated as having a source in Nepal; similarly, income received from property situated in Japan is treated as having a source in Japan. Subsection (7) contains the following provision in this regard:</w:t>
      </w:r>
    </w:p>
    <w:tbl>
      <w:tblPr>
        <w:tblW w:type="auto" w:w="0"/>
        <w:jc w:val="center"/>
        <w:tblLayout w:type="autofit"/>
        <w:tblLook w:firstColumn="1" w:firstRow="1" w:lastColumn="0" w:lastRow="0" w:noHBand="0" w:noVBand="1" w:val="04A0"/>
      </w:tblPr>
      <w:tblGrid>
        <w:gridCol w:w="9638"/>
      </w:tblGrid>
      <w:tr>
        <w:tc>
          <w:tcPr>
            <w:tcW w:type="dxa" w:w="9638"/>
            <w:vAlign w:val="top"/>
            <w:shd w:fill="F2F2F2"/>
            <w:tcBorders>
              <w:top w:sz="6" w:val="single" w:color="B7B7B7" w:space="0"/>
              <w:left w:sz="6" w:val="single" w:color="B7B7B7" w:space="0"/>
              <w:bottom w:sz="6" w:val="single" w:color="B7B7B7" w:space="0"/>
              <w:right w:sz="6" w:val="single" w:color="B7B7B7" w:space="0"/>
            </w:tcBorders>
          </w:tcPr>
          <w:p>
            <w:pPr>
              <w:spacing w:after="80"/>
              <w:ind w:left="72" w:right="72"/>
            </w:pPr>
            <w:r>
              <w:rPr>
                <w:sz w:val="20"/>
              </w:rPr>
              <w:t>67(7) Except as treated as having a source in Nepal under the above subsections, any income, loss, amount, gain or payment shall be treated as having a foreign source; and for the purpose of determining the foreign country in which the source of such income, loss, amount, gain or payment is situated, references in this Act to Nepal shall apply as if they were references to a particular foreign country.</w:t>
            </w:r>
          </w:p>
        </w:tc>
      </w:tr>
    </w:tbl>
    <w:p>
      <w:pPr>
        <w:spacing w:after="40"/>
      </w:pPr>
    </w:p>
    <w:p>
      <w:pPr>
        <w:spacing w:after="120" w:line="259" w:lineRule="auto"/>
      </w:pPr>
      <w:r>
        <w:t>Section 67, subsections (1) to (6), provide the circumstances in which the source is treated as Nepal. In other circumstances, the source is treated as being in another country. The following example further clarifies this matter.</w:t>
      </w:r>
    </w:p>
    <w:tbl>
      <w:tblPr>
        <w:tblW w:type="auto" w:w="0"/>
        <w:jc w:val="center"/>
        <w:tblLayout w:type="autofit"/>
        <w:tblLook w:firstColumn="1" w:firstRow="1" w:lastColumn="0" w:lastRow="0" w:noHBand="0" w:noVBand="1" w:val="04A0"/>
      </w:tblPr>
      <w:tblGrid>
        <w:gridCol w:w="9638"/>
      </w:tblGrid>
      <w:tr>
        <w:tc>
          <w:tcPr>
            <w:tcW w:type="dxa" w:w="9638"/>
            <w:vAlign w:val="top"/>
            <w:shd w:fill="F8F8F8"/>
            <w:tcBorders>
              <w:top w:sz="6" w:val="single" w:color="A6A6A6" w:space="0"/>
              <w:left w:sz="6" w:val="single" w:color="A6A6A6" w:space="0"/>
              <w:bottom w:sz="6" w:val="single" w:color="A6A6A6" w:space="0"/>
              <w:right w:sz="6" w:val="single" w:color="A6A6A6" w:space="0"/>
            </w:tcBorders>
          </w:tcPr>
          <w:p>
            <w:pPr>
              <w:spacing w:after="100"/>
            </w:pPr>
            <w:r>
              <w:rPr>
                <w:b/>
                <w:sz w:val="21"/>
              </w:rPr>
              <w:t>Example 3.4.1</w:t>
            </w:r>
          </w:p>
          <w:p>
            <w:pPr>
              <w:spacing w:after="80" w:line="252" w:lineRule="auto"/>
            </w:pPr>
            <w:r>
              <w:t>Assume that a Nepali citizen named Diwakar Thapa is a resident of Canada and carries on business there. If he carries on transactions and earns income in Canada and other countries other than Nepal, the source of such income is not treated as Nepal.</w:t>
            </w:r>
          </w:p>
        </w:tc>
      </w:tr>
    </w:tbl>
    <w:p>
      <w:pPr>
        <w:spacing w:after="40"/>
      </w:pPr>
    </w:p>
    <w:p>
      <w:pPr>
        <w:spacing w:after="120" w:line="259" w:lineRule="auto"/>
      </w:pPr>
      <w:r>
        <w:t>For the purposes of section 67 of the Act, the following explanations have been provided regarding property situated in Nepal and liabilities to be borne in Nepal:</w:t>
      </w:r>
    </w:p>
    <w:tbl>
      <w:tblPr>
        <w:tblW w:type="auto" w:w="0"/>
        <w:jc w:val="center"/>
        <w:tblLayout w:type="autofit"/>
        <w:tblLook w:firstColumn="1" w:firstRow="1" w:lastColumn="0" w:lastRow="0" w:noHBand="0" w:noVBand="1" w:val="04A0"/>
      </w:tblPr>
      <w:tblGrid>
        <w:gridCol w:w="9638"/>
      </w:tblGrid>
      <w:tr>
        <w:tc>
          <w:tcPr>
            <w:tcW w:type="dxa" w:w="9638"/>
            <w:vAlign w:val="top"/>
            <w:shd w:fill="F2F2F2"/>
            <w:tcBorders>
              <w:top w:sz="6" w:val="single" w:color="B7B7B7" w:space="0"/>
              <w:left w:sz="6" w:val="single" w:color="B7B7B7" w:space="0"/>
              <w:bottom w:sz="6" w:val="single" w:color="B7B7B7" w:space="0"/>
              <w:right w:sz="6" w:val="single" w:color="B7B7B7" w:space="0"/>
            </w:tcBorders>
          </w:tcPr>
          <w:p>
            <w:pPr>
              <w:spacing w:after="80"/>
              <w:ind w:left="72" w:right="72"/>
            </w:pPr>
            <w:r>
              <w:rPr>
                <w:sz w:val="20"/>
              </w:rPr>
              <w:t>(a) “Property situated in Nepal” means land or buildings situated in Nepal and, except for land or buildings situated in a foreign country of a resident person, any property of a resident person, including that person's interest in a controlled foreign entity under section 69 where the person is associated with such entity.</w:t>
            </w:r>
          </w:p>
        </w:tc>
      </w:tr>
    </w:tbl>
    <w:p>
      <w:pPr>
        <w:spacing w:after="40"/>
      </w:pPr>
    </w:p>
    <w:tbl>
      <w:tblPr>
        <w:tblW w:type="auto" w:w="0"/>
        <w:jc w:val="center"/>
        <w:tblLayout w:type="autofit"/>
        <w:tblLook w:firstColumn="1" w:firstRow="1" w:lastColumn="0" w:lastRow="0" w:noHBand="0" w:noVBand="1" w:val="04A0"/>
      </w:tblPr>
      <w:tblGrid>
        <w:gridCol w:w="9638"/>
      </w:tblGrid>
      <w:tr>
        <w:tc>
          <w:tcPr>
            <w:tcW w:type="dxa" w:w="9638"/>
            <w:vAlign w:val="top"/>
            <w:shd w:fill="F8F8F8"/>
            <w:tcBorders>
              <w:top w:sz="6" w:val="single" w:color="A6A6A6" w:space="0"/>
              <w:left w:sz="6" w:val="single" w:color="A6A6A6" w:space="0"/>
              <w:bottom w:sz="6" w:val="single" w:color="A6A6A6" w:space="0"/>
              <w:right w:sz="6" w:val="single" w:color="A6A6A6" w:space="0"/>
            </w:tcBorders>
          </w:tcPr>
          <w:p>
            <w:pPr>
              <w:spacing w:after="100"/>
            </w:pPr>
            <w:r>
              <w:rPr>
                <w:b/>
                <w:sz w:val="21"/>
              </w:rPr>
              <w:t>Example 3.4.1A</w:t>
            </w:r>
          </w:p>
          <w:p>
            <w:pPr>
              <w:spacing w:after="80" w:line="252" w:lineRule="auto"/>
            </w:pPr>
            <w:r>
              <w:t>Assume that a Nepali resident person named Durga Sapkota has obtained permanent residential permission in Canada. He also has a house and land in Canada. For the last four years, he has been residing in Nepal and carrying on business here. He also has a house, land and shares in various companies in Nepal. He also has investments in shares of some Canadian companies. In this situation, Durga Sapkota's house and land in Canada are not treated as property having a source in Nepal, whereas his house and land in Nepal, his interest in shares of Nepali companies, and his interest in shares of Canadian companies are treated as property having a source in Nepal, that is, property situated in Nepal.</w:t>
            </w:r>
          </w:p>
        </w:tc>
      </w:tr>
    </w:tbl>
    <w:p>
      <w:pPr>
        <w:spacing w:after="40"/>
      </w:pPr>
    </w:p>
    <w:tbl>
      <w:tblPr>
        <w:tblW w:type="auto" w:w="0"/>
        <w:jc w:val="center"/>
        <w:tblLayout w:type="autofit"/>
        <w:tblLook w:firstColumn="1" w:firstRow="1" w:lastColumn="0" w:lastRow="0" w:noHBand="0" w:noVBand="1" w:val="04A0"/>
      </w:tblPr>
      <w:tblGrid>
        <w:gridCol w:w="9638"/>
      </w:tblGrid>
      <w:tr>
        <w:tc>
          <w:tcPr>
            <w:tcW w:type="dxa" w:w="9638"/>
            <w:vAlign w:val="top"/>
            <w:shd w:fill="F2F2F2"/>
            <w:tcBorders>
              <w:top w:sz="6" w:val="single" w:color="B7B7B7" w:space="0"/>
              <w:left w:sz="6" w:val="single" w:color="B7B7B7" w:space="0"/>
              <w:bottom w:sz="6" w:val="single" w:color="B7B7B7" w:space="0"/>
              <w:right w:sz="6" w:val="single" w:color="B7B7B7" w:space="0"/>
            </w:tcBorders>
          </w:tcPr>
          <w:p>
            <w:pPr>
              <w:spacing w:after="80"/>
              <w:ind w:left="72" w:right="72"/>
            </w:pPr>
            <w:r>
              <w:rPr>
                <w:sz w:val="20"/>
              </w:rPr>
              <w:t>(b) “Liability to be borne in Nepal” means a liability of a resident person.</w:t>
            </w:r>
          </w:p>
        </w:tc>
      </w:tr>
    </w:tbl>
    <w:p>
      <w:pPr>
        <w:spacing w:after="40"/>
      </w:pPr>
    </w:p>
    <w:p>
      <w:pPr>
        <w:spacing w:after="120" w:line="259" w:lineRule="auto"/>
      </w:pPr>
      <w:r>
        <w:t>A liability situated in Nepal means a liability to be borne by a resident person. For example, liabilities such as a liability to pay in Nepal or abroad for the purchase of goods or services by a resident person, or a loan amount obtained from Nepal or from abroad, may be taken as such liabilities. The following examples further clarify this matter.</w:t>
      </w:r>
    </w:p>
    <w:tbl>
      <w:tblPr>
        <w:tblW w:type="auto" w:w="0"/>
        <w:jc w:val="center"/>
        <w:tblLayout w:type="autofit"/>
        <w:tblLook w:firstColumn="1" w:firstRow="1" w:lastColumn="0" w:lastRow="0" w:noHBand="0" w:noVBand="1" w:val="04A0"/>
      </w:tblPr>
      <w:tblGrid>
        <w:gridCol w:w="9638"/>
      </w:tblGrid>
      <w:tr>
        <w:tc>
          <w:tcPr>
            <w:tcW w:type="dxa" w:w="9638"/>
            <w:vAlign w:val="top"/>
            <w:shd w:fill="F8F8F8"/>
            <w:tcBorders>
              <w:top w:sz="6" w:val="single" w:color="A6A6A6" w:space="0"/>
              <w:left w:sz="6" w:val="single" w:color="A6A6A6" w:space="0"/>
              <w:bottom w:sz="6" w:val="single" w:color="A6A6A6" w:space="0"/>
              <w:right w:sz="6" w:val="single" w:color="A6A6A6" w:space="0"/>
            </w:tcBorders>
          </w:tcPr>
          <w:p>
            <w:pPr>
              <w:spacing w:after="100"/>
            </w:pPr>
            <w:r>
              <w:rPr>
                <w:b/>
                <w:sz w:val="21"/>
              </w:rPr>
              <w:t>Example 3.4.2</w:t>
            </w:r>
          </w:p>
          <w:p>
            <w:pPr>
              <w:spacing w:after="80" w:line="252" w:lineRule="auto"/>
            </w:pPr>
            <w:r>
              <w:t>Assume that Golden Investment Inc., USA made a loan investment of USD 100,000 to Sunakhari Pvt. Ltd., a resident company. The source of the interest payment, being income, made by Sunakhari Pvt. Ltd. to Golden Investment Inc., USA is treated as Nepal.</w:t>
            </w:r>
          </w:p>
        </w:tc>
      </w:tr>
    </w:tbl>
    <w:p>
      <w:pPr>
        <w:spacing w:after="40"/>
      </w:pPr>
    </w:p>
    <w:tbl>
      <w:tblPr>
        <w:tblW w:type="auto" w:w="0"/>
        <w:jc w:val="center"/>
        <w:tblLayout w:type="autofit"/>
        <w:tblLook w:firstColumn="1" w:firstRow="1" w:lastColumn="0" w:lastRow="0" w:noHBand="0" w:noVBand="1" w:val="04A0"/>
      </w:tblPr>
      <w:tblGrid>
        <w:gridCol w:w="9638"/>
      </w:tblGrid>
      <w:tr>
        <w:tc>
          <w:tcPr>
            <w:tcW w:type="dxa" w:w="9638"/>
            <w:vAlign w:val="top"/>
            <w:shd w:fill="F8F8F8"/>
            <w:tcBorders>
              <w:top w:sz="6" w:val="single" w:color="A6A6A6" w:space="0"/>
              <w:left w:sz="6" w:val="single" w:color="A6A6A6" w:space="0"/>
              <w:bottom w:sz="6" w:val="single" w:color="A6A6A6" w:space="0"/>
              <w:right w:sz="6" w:val="single" w:color="A6A6A6" w:space="0"/>
            </w:tcBorders>
          </w:tcPr>
          <w:p>
            <w:pPr>
              <w:spacing w:after="100"/>
            </w:pPr>
            <w:r>
              <w:rPr>
                <w:b/>
                <w:sz w:val="21"/>
              </w:rPr>
              <w:t>Example 3.4.3</w:t>
            </w:r>
          </w:p>
          <w:p>
            <w:pPr>
              <w:spacing w:after="80" w:line="252" w:lineRule="auto"/>
            </w:pPr>
            <w:r>
              <w:t>Assume that a Nepali citizen named Diwakar Thapa is a resident of Canada and carries on business there. He had taken a personal loan of Rs. 10 million from a bank in Nepal. Because he could not repay that loan, in the course of loan recovery the bank waived Rs. 1 million and settled his loan. Since Diwakar Thapa disposed of a liability of Rs. 10 million situated in Nepal for Rs. 9 million, he saved, or earned income of, Rs. 1 million, and the source of such income is treated as Nepal.</w:t>
            </w:r>
          </w:p>
        </w:tc>
      </w:tr>
    </w:tbl>
    <w:p>
      <w:pPr>
        <w:spacing w:after="40"/>
      </w:pPr>
    </w:p>
    <w:p>
      <w:r>
        <w:br w:type="page"/>
      </w:r>
    </w:p>
    <w:p>
      <w:pPr>
        <w:spacing w:after="200"/>
        <w:jc w:val="center"/>
      </w:pPr>
      <w:r>
        <w:rPr>
          <w:b/>
          <w:sz w:val="40"/>
        </w:rPr>
        <w:t>Income Tax Directive, 2066</w:t>
      </w:r>
    </w:p>
    <w:p>
      <w:pPr>
        <w:jc w:val="center"/>
      </w:pPr>
      <w:r>
        <w:rPr>
          <w:i/>
          <w:sz w:val="28"/>
        </w:rPr>
        <w:t>(Fifth Amendment, 2081)</w:t>
      </w:r>
    </w:p>
    <w:p>
      <w:pPr>
        <w:spacing w:before="480"/>
        <w:jc w:val="center"/>
      </w:pPr>
      <w:r>
        <w:rPr>
          <w:b/>
          <w:sz w:val="36"/>
        </w:rPr>
        <w:t>English Translation - Part 4</w:t>
      </w:r>
    </w:p>
    <w:p>
      <w:pPr>
        <w:jc w:val="center"/>
      </w:pPr>
      <w:r>
        <w:rPr>
          <w:b/>
          <w:sz w:val="28"/>
        </w:rPr>
        <w:t>Chapter 4: Tax Base and Heads of Income</w:t>
      </w:r>
    </w:p>
    <w:p>
      <w:pPr>
        <w:spacing w:before="480"/>
        <w:jc w:val="center"/>
      </w:pPr>
      <w:r>
        <w:rPr>
          <w:i/>
          <w:sz w:val="20"/>
        </w:rPr>
        <w:t>Translated from the uploaded Nepali PDF while preserving the structure, numbering, diagrams, and legal meaning as far as practicable.</w:t>
      </w:r>
    </w:p>
    <w:p>
      <w:r>
        <w:br w:type="page"/>
      </w:r>
    </w:p>
    <w:p>
      <w:pPr>
        <w:jc w:val="center"/>
      </w:pPr>
      <w:r>
        <w:rPr>
          <w:b/>
          <w:sz w:val="32"/>
        </w:rPr>
        <w:t>Chapter 4</w:t>
      </w:r>
    </w:p>
    <w:p>
      <w:pPr>
        <w:jc w:val="center"/>
      </w:pPr>
      <w:r>
        <w:rPr>
          <w:b/>
          <w:sz w:val="30"/>
        </w:rPr>
        <w:t>Tax Base and Heads of Income</w:t>
      </w:r>
    </w:p>
    <w:p>
      <w:pPr>
        <w:jc w:val="center"/>
      </w:pPr>
      <w:r>
        <w:rPr>
          <w:i/>
          <w:sz w:val="22"/>
        </w:rPr>
        <w:t>(Tax base and Income heads)</w:t>
      </w:r>
    </w:p>
    <w:p>
      <w:pPr>
        <w:pStyle w:val="Heading2"/>
        <w:spacing w:before="160" w:after="120"/>
      </w:pPr>
      <w:r>
        <w:t>4.1 Introduction</w:t>
      </w:r>
    </w:p>
    <w:p>
      <w:pPr>
        <w:spacing w:after="120" w:line="259" w:lineRule="auto"/>
        <w:jc w:val="both"/>
      </w:pPr>
      <w:r>
        <w:t>The Income Tax Act, 2058 provides that income tax shall be imposed on the taxable income of a person. Governments of countries generally impose tax on global income, or impose scheduler tax on the basis of the nature of income. A tax system in which the various heads of income earned by a person, wherever earned, are aggregated, taxable income is computed, and tax is calculated at the rates stated in the Act on that taxable income is known as the Global Tax System. Similarly, a system in which tax is not calculated on the aggregate income of a person but different tax rates are applied to different source-wise income according to the nature of the business or income is known as the Scheduler Tax System. Examples include interest tax and dividend tax.</w:t>
      </w:r>
    </w:p>
    <w:p>
      <w:pPr>
        <w:spacing w:after="120" w:line="259" w:lineRule="auto"/>
        <w:jc w:val="both"/>
      </w:pPr>
      <w:r>
        <w:t>The Income Tax Act, 2058 mainly adopts the Global Tax System. However, for certain income, such as dividends earned within Nepal and windfall gains, it also adopts the Scheduler Tax System. Under this approach, among the four heads of income, the assessable income from employment, business and investment is computed separately and then aggregate taxable income is computed. The tax payable by the person is the amount calculated by applying the tax rates applicable to that person on the taxable income. In the case of windfall gains, however, the Act provides for a lump-sum tax through final withholding tax.</w:t>
      </w:r>
    </w:p>
    <w:p>
      <w:pPr>
        <w:spacing w:after="120" w:line="259" w:lineRule="auto"/>
        <w:jc w:val="both"/>
      </w:pPr>
      <w:r>
        <w:t>Under a Global Tax System, the tax base means taxable income. A tax system based on an integrated source of income always maintains both vertical and horizontal equity. The objective of this Chapter is to present the heads of income and the tax base in a simple and understandable manner.</w:t>
      </w:r>
    </w:p>
    <w:p>
      <w:pPr>
        <w:pStyle w:val="Heading2"/>
        <w:spacing w:before="160" w:after="120"/>
      </w:pPr>
      <w:r>
        <w:t>4.2 Basis for imposing tax</w:t>
      </w:r>
    </w:p>
    <w:p>
      <w:pPr>
        <w:pStyle w:val="Heading3"/>
        <w:spacing w:before="160" w:after="120"/>
      </w:pPr>
      <w:r>
        <w:t>4.2.1 Person and global income</w:t>
      </w:r>
    </w:p>
    <w:p>
      <w:pPr>
        <w:spacing w:after="120" w:line="259" w:lineRule="auto"/>
        <w:jc w:val="both"/>
      </w:pPr>
      <w:r>
        <w:t>Tax is not imposed merely according to the nature of a person's transaction. Instead, tax is imposed on the taxable income of the person after including the global income earned by that person under various heads throughout the world. However, some income, such as dividends earned within Nepal and windfall gains, is taxed on the basis of the Scheduler Tax System. Section 92(1) of the Act sets out the circumstances in which this kind of tax applies.</w:t>
      </w:r>
    </w:p>
    <w:p>
      <w:pPr>
        <w:spacing w:after="120" w:line="259" w:lineRule="auto"/>
        <w:jc w:val="both"/>
      </w:pPr>
      <w:r>
        <w:t>The word "person" includes both a natural person, such as Ram, John, Rahim or Dawa, and an entity, that is, a legal person such as a company, trust, institution and similar body. The concept of person is clarified by the following diagram.</w:t>
      </w:r>
    </w:p>
    <w:p>
      <w:pPr>
        <w:jc w:val="center"/>
      </w:pPr>
      <w:r>
        <w:rPr>
          <w:b/>
          <w:sz w:val="22"/>
        </w:rPr>
        <w:t>Concept of Person (Taxpayer)</w:t>
      </w:r>
    </w:p>
    <w:tbl>
      <w:tblPr>
        <w:tblW w:type="auto" w:w="0"/>
        <w:jc w:val="center"/>
        <w:tblLayout w:type="autofit"/>
        <w:tblLook w:firstColumn="1" w:firstRow="1" w:lastColumn="0" w:lastRow="0" w:noHBand="0" w:noVBand="1" w:val="04A0"/>
      </w:tblPr>
      <w:tblGrid>
        <w:gridCol w:w="4819"/>
        <w:gridCol w:w="4819"/>
      </w:tblGrid>
      <w:tr>
        <w:tc>
          <w:tcPr>
            <w:tcW w:type="dxa" w:w="4819"/>
            <w:vAlign w:val="top"/>
            <w:tcBorders>
              <w:top w:sz="6" w:val="single" w:color="A6A6A6" w:space="0"/>
              <w:left w:sz="6" w:val="single" w:color="A6A6A6" w:space="0"/>
              <w:bottom w:sz="6" w:val="single" w:color="A6A6A6" w:space="0"/>
              <w:right w:sz="6" w:val="single" w:color="A6A6A6" w:space="0"/>
            </w:tcBorders>
            <w:shd w:fill="D9EAF7"/>
          </w:tcPr>
          <w:p>
            <w:pPr>
              <w:spacing w:after="60" w:line="240" w:lineRule="auto"/>
            </w:pPr>
            <w:r>
              <w:rPr>
                <w:b/>
                <w:sz w:val="19"/>
              </w:rPr>
              <w:t>Natural person</w:t>
            </w:r>
          </w:p>
        </w:tc>
        <w:tc>
          <w:tcPr>
            <w:tcW w:type="dxa" w:w="4819"/>
            <w:vAlign w:val="top"/>
            <w:tcBorders>
              <w:top w:sz="6" w:val="single" w:color="A6A6A6" w:space="0"/>
              <w:left w:sz="6" w:val="single" w:color="A6A6A6" w:space="0"/>
              <w:bottom w:sz="6" w:val="single" w:color="A6A6A6" w:space="0"/>
              <w:right w:sz="6" w:val="single" w:color="A6A6A6" w:space="0"/>
            </w:tcBorders>
            <w:shd w:fill="D9EAF7"/>
          </w:tcPr>
          <w:p>
            <w:pPr>
              <w:spacing w:after="60" w:line="240" w:lineRule="auto"/>
            </w:pPr>
            <w:r>
              <w:rPr>
                <w:b/>
                <w:sz w:val="19"/>
              </w:rPr>
              <w:t>Entity</w:t>
            </w:r>
          </w:p>
        </w:tc>
      </w:tr>
      <w:tr>
        <w:tc>
          <w:tcPr>
            <w:tcW w:type="dxa" w:w="4819"/>
            <w:vAlign w:val="top"/>
            <w:tcBorders>
              <w:top w:sz="6" w:val="single" w:color="A6A6A6" w:space="0"/>
              <w:left w:sz="6" w:val="single" w:color="A6A6A6" w:space="0"/>
              <w:bottom w:sz="6" w:val="single" w:color="A6A6A6" w:space="0"/>
              <w:right w:sz="6" w:val="single" w:color="A6A6A6" w:space="0"/>
            </w:tcBorders>
          </w:tcPr>
          <w:p>
            <w:pPr>
              <w:spacing w:after="60" w:line="240" w:lineRule="auto"/>
            </w:pPr>
            <w:r>
              <w:rPr>
                <w:sz w:val="19"/>
              </w:rPr>
              <w:t>Single person</w:t>
              <w:br/>
              <w:t>Couple</w:t>
              <w:br/>
              <w:t>Sole proprietorship</w:t>
            </w:r>
          </w:p>
        </w:tc>
        <w:tc>
          <w:tcPr>
            <w:tcW w:type="dxa" w:w="4819"/>
            <w:vAlign w:val="top"/>
            <w:tcBorders>
              <w:top w:sz="6" w:val="single" w:color="A6A6A6" w:space="0"/>
              <w:left w:sz="6" w:val="single" w:color="A6A6A6" w:space="0"/>
              <w:bottom w:sz="6" w:val="single" w:color="A6A6A6" w:space="0"/>
              <w:right w:sz="6" w:val="single" w:color="A6A6A6" w:space="0"/>
            </w:tcBorders>
          </w:tcPr>
          <w:p>
            <w:pPr>
              <w:spacing w:after="60" w:line="240" w:lineRule="auto"/>
            </w:pPr>
            <w:r>
              <w:rPr>
                <w:sz w:val="19"/>
              </w:rPr>
              <w:t>Company</w:t>
              <w:br/>
              <w:t>Partnership</w:t>
              <w:br/>
              <w:t>Trust</w:t>
              <w:br/>
              <w:t>Rural municipality</w:t>
              <w:br/>
              <w:t>Municipality</w:t>
              <w:br/>
              <w:t>District coordination committee</w:t>
              <w:br/>
              <w:t>Local level</w:t>
              <w:br/>
              <w:t>Provincial Government</w:t>
              <w:br/>
              <w:t>Government of Nepal</w:t>
              <w:br/>
              <w:t>Foreign Government</w:t>
              <w:br/>
              <w:t>International organization</w:t>
              <w:br/>
              <w:t>Foreign permanent establishment</w:t>
            </w:r>
          </w:p>
        </w:tc>
      </w:tr>
      <w:tr>
        <w:tc>
          <w:tcPr>
            <w:tcW w:type="dxa" w:w="9638"/>
            <w:vAlign w:val="top"/>
            <w:gridSpan w:val="2"/>
            <w:tcBorders>
              <w:top w:sz="6" w:val="single" w:color="A6A6A6" w:space="0"/>
              <w:left w:sz="6" w:val="single" w:color="A6A6A6" w:space="0"/>
              <w:bottom w:sz="6" w:val="single" w:color="A6A6A6" w:space="0"/>
              <w:right w:sz="6" w:val="single" w:color="A6A6A6" w:space="0"/>
            </w:tcBorders>
            <w:shd w:fill="EFEFEF"/>
          </w:tcPr>
          <w:p>
            <w:pPr>
              <w:spacing w:after="60" w:line="240" w:lineRule="auto"/>
            </w:pPr>
            <w:r>
              <w:rPr>
                <w:b/>
                <w:sz w:val="19"/>
              </w:rPr>
              <w:t>Entity also includes the following categories:</w:t>
            </w:r>
          </w:p>
        </w:tc>
      </w:tr>
      <w:tr>
        <w:tc>
          <w:tcPr>
            <w:tcW w:type="dxa" w:w="9638"/>
            <w:vAlign w:val="top"/>
            <w:gridSpan w:val="2"/>
            <w:tcBorders>
              <w:top w:sz="6" w:val="single" w:color="A6A6A6" w:space="0"/>
              <w:left w:sz="6" w:val="single" w:color="A6A6A6" w:space="0"/>
              <w:bottom w:sz="6" w:val="single" w:color="A6A6A6" w:space="0"/>
              <w:right w:sz="6" w:val="single" w:color="A6A6A6" w:space="0"/>
            </w:tcBorders>
          </w:tcPr>
          <w:p>
            <w:pPr>
              <w:spacing w:after="60" w:line="240" w:lineRule="auto"/>
            </w:pPr>
            <w:r>
              <w:rPr>
                <w:sz w:val="19"/>
              </w:rPr>
              <w:t>A corporate body established under prevailing law; any unincorporated union, committee, institution or society; a group of persons other than a registered or unregistered sole proprietorship and partnership; a trust; a partnership firm having twenty or more partners, whether or not registered under prevailing law; a retirement fund; a cooperative institution; a unit trust; a joint venture; a foreign company; and any other foreign institution specified by the Director General.</w:t>
            </w:r>
          </w:p>
        </w:tc>
      </w:tr>
    </w:tbl>
    <w:p>
      <w:pPr>
        <w:spacing w:after="80"/>
      </w:pPr>
    </w:p>
    <w:p>
      <w:pPr>
        <w:spacing w:after="120" w:line="259" w:lineRule="auto"/>
        <w:jc w:val="both"/>
      </w:pPr>
      <w:r>
        <w:t>A detailed explanation regarding natural persons and entities is provided respectively in Chapters 11 and 13 of this Directive.</w:t>
      </w:r>
    </w:p>
    <w:p>
      <w:pPr>
        <w:pStyle w:val="Heading3"/>
        <w:spacing w:before="160" w:after="120"/>
      </w:pPr>
      <w:r>
        <w:t>4.2.2 Income year and basis of accounting</w:t>
      </w:r>
    </w:p>
    <w:p>
      <w:pPr>
        <w:spacing w:after="120" w:line="259" w:lineRule="auto"/>
        <w:jc w:val="both"/>
      </w:pPr>
      <w:r>
        <w:t>Tax is imposed and recovered on income earned by a person on the basis of the income year. Under section 2(jha) of the Act, "income year" means the period from the first day of Shrawan of any year to the end of Ashadh of the following year. Therefore, while computing a person's income for tax purposes, books of account and the income return must be prepared by taking as the basis the period from the first day of Shrawan to the end of Ashadh of the following year.</w:t>
      </w:r>
    </w:p>
    <w:p>
      <w:pPr>
        <w:spacing w:after="120" w:line="259" w:lineRule="auto"/>
        <w:jc w:val="both"/>
      </w:pPr>
      <w:r>
        <w:t>The determination of when a person receives income or incurs any expense is made under this Act in accordance with generally accepted accounting principles. If the Act has a meaning different from generally accepted accounting principles, the provisions of the Act apply. For tax purposes, a natural person must account on a cash basis while computing income from employment and investment. A company, on the other hand, must account on an accrual basis for tax purposes.</w:t>
      </w:r>
    </w:p>
    <w:p>
      <w:pPr>
        <w:spacing w:after="120" w:line="259" w:lineRule="auto"/>
        <w:jc w:val="both"/>
      </w:pPr>
      <w:r>
        <w:rPr>
          <w:b/>
        </w:rPr>
        <w:t>Cash-basis accounting:</w:t>
      </w:r>
      <w:r>
        <w:t xml:space="preserve"> Under section 23 of the Act, while applying cash-basis accounting, an amount is included in the computation of a person's income only when the person receives the payment or the payment is made available to the person. Similarly, an amount is deducted as an expense in that computation only after the person makes the payment. In other words, income is recognized when actual cash receipt occurs, and an expense is recognized when actual cash payment occurs.</w:t>
      </w:r>
    </w:p>
    <w:p>
      <w:pPr>
        <w:spacing w:after="120" w:line="259" w:lineRule="auto"/>
        <w:jc w:val="both"/>
      </w:pPr>
      <w:r>
        <w:rPr>
          <w:b/>
        </w:rPr>
        <w:t>Accrual-basis accounting:</w:t>
      </w:r>
      <w:r>
        <w:t xml:space="preserve"> Under section 24 of the Act, while applying accrual-basis accounting, an amount is included in the computation of a person's income as received as soon as the person's right to receive the payment is created. Similarly, for the purpose of deducting expenses while computing a person's income, the following expenses are treated as incurred:</w:t>
      </w:r>
    </w:p>
    <w:p>
      <w:pPr>
        <w:spacing w:after="120" w:line="259" w:lineRule="auto"/>
        <w:jc w:val="both"/>
      </w:pPr>
      <w:r>
        <w:t>(a) If a payment including such expense is made in consideration of payment from another person, the expense shall be treated as incurred in the following circumstances:</w:t>
      </w:r>
    </w:p>
    <w:p>
      <w:pPr>
        <w:spacing w:after="120" w:line="259" w:lineRule="auto"/>
        <w:jc w:val="both"/>
      </w:pPr>
      <w:r>
        <w:t xml:space="preserve">    (1) where the person has a liability to make that payment;</w:t>
      </w:r>
    </w:p>
    <w:p>
      <w:pPr>
        <w:spacing w:after="120" w:line="259" w:lineRule="auto"/>
        <w:jc w:val="both"/>
      </w:pPr>
      <w:r>
        <w:t xml:space="preserve">    (2) where the value of that liability can be estimated with reasonable accuracy; and</w:t>
      </w:r>
    </w:p>
    <w:p>
      <w:pPr>
        <w:spacing w:after="120" w:line="259" w:lineRule="auto"/>
        <w:jc w:val="both"/>
      </w:pPr>
      <w:r>
        <w:t xml:space="preserve">    (3) where payment has been received from another person; or</w:t>
      </w:r>
    </w:p>
    <w:p>
      <w:pPr>
        <w:spacing w:after="120" w:line="259" w:lineRule="auto"/>
        <w:jc w:val="both"/>
      </w:pPr>
      <w:r>
        <w:t>(b) In all circumstances other than those mentioned in clause (a), the expense shall be treated as incurred at the time the payment is made.</w:t>
      </w:r>
    </w:p>
    <w:p>
      <w:pPr>
        <w:spacing w:after="120" w:line="259" w:lineRule="auto"/>
        <w:jc w:val="both"/>
      </w:pPr>
      <w:r>
        <w:t>However, under section 24(3) of the Act, in relation to banking business, the Department may recognize the accounting specified by Nepal Rastra Bank subject to the Nepal Rastra Bank Act, 2058 and the prevailing banking laws. In addition, a cooperative institution may account for interest income on a cash basis as well.</w:t>
      </w:r>
    </w:p>
    <w:p>
      <w:pPr>
        <w:pStyle w:val="Heading2"/>
        <w:spacing w:before="160" w:after="120"/>
      </w:pPr>
      <w:r>
        <w:t>4.3 Taxable income and classification of heads of income</w:t>
      </w:r>
    </w:p>
    <w:p>
      <w:pPr>
        <w:spacing w:after="120" w:line="259" w:lineRule="auto"/>
        <w:jc w:val="both"/>
      </w:pPr>
      <w:r>
        <w:t>Under section 5 of the Act, taxable income and the classification of heads of income are as follows:</w:t>
      </w:r>
    </w:p>
    <w:tbl>
      <w:tblPr>
        <w:tblW w:type="auto" w:w="0"/>
        <w:jc w:val="center"/>
        <w:tblLayout w:type="autofit"/>
        <w:tblLook w:firstColumn="1" w:firstRow="1" w:lastColumn="0" w:lastRow="0" w:noHBand="0" w:noVBand="1" w:val="04A0"/>
      </w:tblPr>
      <w:tblGrid>
        <w:gridCol w:w="9638"/>
      </w:tblGrid>
      <w:tr>
        <w:tc>
          <w:tcPr>
            <w:tcW w:type="dxa" w:w="9638"/>
            <w:vAlign w:val="top"/>
            <w:shd w:fill="F2F2F2"/>
            <w:tcBorders>
              <w:top w:sz="6" w:val="single" w:color="B7B7B7" w:space="0"/>
              <w:left w:sz="6" w:val="single" w:color="B7B7B7" w:space="0"/>
              <w:bottom w:sz="6" w:val="single" w:color="B7B7B7" w:space="0"/>
              <w:right w:sz="6" w:val="single" w:color="B7B7B7" w:space="0"/>
            </w:tcBorders>
          </w:tcPr>
          <w:p>
            <w:pPr>
              <w:spacing w:after="80"/>
              <w:ind w:left="72" w:right="72"/>
            </w:pPr>
            <w:r>
              <w:rPr>
                <w:sz w:val="20"/>
              </w:rPr>
              <w:t>5. The taxable income of a person for an income year shall be the amount computed by subtracting, from the total of the assessable income of each of the following heads of income for that year, any amount claimed under section 12, 12A, 12B, 12C, 63 or all of those sections:</w:t>
            </w:r>
          </w:p>
          <w:p>
            <w:pPr>
              <w:spacing w:after="80"/>
              <w:ind w:left="72" w:right="72"/>
            </w:pPr>
            <w:r>
              <w:rPr>
                <w:sz w:val="20"/>
              </w:rPr>
              <w:t>(a) business;</w:t>
            </w:r>
          </w:p>
          <w:p>
            <w:pPr>
              <w:spacing w:after="80"/>
              <w:ind w:left="72" w:right="72"/>
            </w:pPr>
            <w:r>
              <w:rPr>
                <w:sz w:val="20"/>
              </w:rPr>
              <w:t>(b) employment;</w:t>
            </w:r>
          </w:p>
          <w:p>
            <w:pPr>
              <w:spacing w:after="80"/>
              <w:ind w:left="72" w:right="72"/>
            </w:pPr>
            <w:r>
              <w:rPr>
                <w:sz w:val="20"/>
              </w:rPr>
              <w:t>(c) investment; and</w:t>
            </w:r>
          </w:p>
          <w:p>
            <w:pPr>
              <w:spacing w:after="80"/>
              <w:ind w:left="72" w:right="72"/>
            </w:pPr>
            <w:r>
              <w:rPr>
                <w:sz w:val="20"/>
              </w:rPr>
              <w:t>(d) windfall gain.</w:t>
            </w:r>
          </w:p>
        </w:tc>
      </w:tr>
    </w:tbl>
    <w:p>
      <w:pPr>
        <w:spacing w:after="40"/>
      </w:pPr>
    </w:p>
    <w:p>
      <w:pPr>
        <w:spacing w:after="120" w:line="259" w:lineRule="auto"/>
        <w:jc w:val="both"/>
      </w:pPr>
      <w:r>
        <w:t>Under clause (j) of section 2 of the Act, "income" means income derived by a person from employment, business, investment or windfall gain, and the total amount of that income computed under this Act.</w:t>
      </w:r>
    </w:p>
    <w:p>
      <w:pPr>
        <w:spacing w:after="120" w:line="259" w:lineRule="auto"/>
        <w:jc w:val="both"/>
      </w:pPr>
      <w:r>
        <w:t>Under section 7 of the Act, while computing income from business, the following amounts must be included: service charges; amounts received from commercial agriculture, industry, trade, profession or business, including amounts received from the sale of goods or services; net gains from business assets or liabilities; gifts received in relation to business; amounts received for accepting a restriction in relation to operating a business; and amounts received from investment directly connected with business.</w:t>
      </w:r>
    </w:p>
    <w:p>
      <w:pPr>
        <w:spacing w:after="120" w:line="259" w:lineRule="auto"/>
        <w:jc w:val="both"/>
      </w:pPr>
      <w:r>
        <w:t>Under section 8 of the Act, remuneration derived by a natural person from employment in an income year must be computed as the employment income of that person for that year.</w:t>
      </w:r>
    </w:p>
    <w:p>
      <w:pPr>
        <w:spacing w:after="120" w:line="259" w:lineRule="auto"/>
        <w:jc w:val="both"/>
      </w:pPr>
      <w:r>
        <w:t>Under section 9 of the Act, profits and gains derived by a person from investment in an income year must be computed as the investment income of that person for that year.</w:t>
      </w:r>
    </w:p>
    <w:p>
      <w:pPr>
        <w:spacing w:after="120" w:line="259" w:lineRule="auto"/>
        <w:jc w:val="both"/>
      </w:pPr>
      <w:r>
        <w:t>Under clause (j1) of section 2 of the Act, windfall gain includes any benefit received incidentally, including a lottery, gift, prize, reward, winning and any other accidental or windfall benefit.</w:t>
      </w:r>
    </w:p>
    <w:p>
      <w:pPr>
        <w:pStyle w:val="Heading2"/>
        <w:spacing w:before="160" w:after="120"/>
      </w:pPr>
      <w:r>
        <w:t>4.4 Total income (transactions) and computation of income</w:t>
      </w:r>
    </w:p>
    <w:p>
      <w:pPr>
        <w:spacing w:after="120" w:line="259" w:lineRule="auto"/>
        <w:jc w:val="both"/>
      </w:pPr>
      <w:r>
        <w:t>Sections 7, 8 and 9 of Chapter 3 of the Act state the amounts that must be included in the computation of income on the basis of the heads of income. Section 7 contains provisions relating to business, amounts included in business income, and amounts not included in business income. Section 8 contains provisions relating to employment, amounts included in employment income, and amounts not included in employment income. Similarly, section 9 contains provisions relating to investment, amounts included in investment income, and amounts not included in investment income.</w:t>
      </w:r>
    </w:p>
    <w:p>
      <w:pPr>
        <w:spacing w:after="120" w:line="259" w:lineRule="auto"/>
        <w:jc w:val="both"/>
      </w:pPr>
      <w:r>
        <w:t>The amounts included in the total income or transactions of a person, and the various matters relating to them, are explained in detail in Chapter 6 of this Directive.</w:t>
      </w:r>
    </w:p>
    <w:p>
      <w:pPr>
        <w:pStyle w:val="Heading2"/>
        <w:spacing w:before="160" w:after="120"/>
      </w:pPr>
      <w:r>
        <w:t>4.5 Exempt amounts and other concessions</w:t>
      </w:r>
    </w:p>
    <w:p>
      <w:pPr>
        <w:spacing w:after="120" w:line="259" w:lineRule="auto"/>
        <w:jc w:val="both"/>
      </w:pPr>
      <w:r>
        <w:t>Chapter 4 of the Act explains exempt amounts and other concessions in the context of computing income. Section 10 provides for amounts that are not required to be included while computing income, that is, exempt amounts. Section 11 explains business concessions. Sections 12 and 12A mention donations relating to social responsibility, expenses incurred for conservation of natural resources and similar matters. Similarly, section 12B mentions expenses contributed to the Prime Minister's Disaster Relief Fund and to the Reconstruction Fund established by the Government of Nepal, and section 12C mentions expenses for seed capital provided to a startup business.</w:t>
      </w:r>
    </w:p>
    <w:p>
      <w:pPr>
        <w:spacing w:after="120" w:line="259" w:lineRule="auto"/>
        <w:jc w:val="both"/>
      </w:pPr>
      <w:r>
        <w:t>The various matters relating to exempt amounts and other concessions are explained in detail in Chapters 9 and 10 of this Directive, respectively.</w:t>
      </w:r>
    </w:p>
    <w:p>
      <w:pPr>
        <w:pStyle w:val="Heading2"/>
        <w:spacing w:before="160" w:after="120"/>
      </w:pPr>
      <w:r>
        <w:t>4.6 Deduction of expenses related to transactions</w:t>
      </w:r>
    </w:p>
    <w:p>
      <w:pPr>
        <w:spacing w:after="120" w:line="259" w:lineRule="auto"/>
        <w:jc w:val="both"/>
      </w:pPr>
      <w:r>
        <w:t>Chapter 5 of the Act deals with claiming deduction of expenses related to business or investment. While determining the income of a person from any business or investment for an income year, section 13 of the Act generally allows deduction of all ordinary expenses related to the transactions. However, such expenses must not be expenses that are not deductible under section 21, and they must have been incurred in that income year, incurred by that person, and incurred in the activity of earning income from the business or investment. Sections 14, 15, 16, 17, 18, 19 and 20, and sections 59, 60 and 71 included in that Chapter, contain special provisions regarding the claim for deduction of expenses and losses.</w:t>
      </w:r>
    </w:p>
    <w:p>
      <w:pPr>
        <w:spacing w:after="120" w:line="259" w:lineRule="auto"/>
        <w:jc w:val="both"/>
      </w:pPr>
      <w:r>
        <w:t>The deduction of expenses related to a person's business and the various related matters are explained in detail in Chapter 18 of this Directive.</w:t>
      </w:r>
    </w:p>
    <w:p>
      <w:pPr>
        <w:pStyle w:val="Heading2"/>
        <w:spacing w:before="160" w:after="120"/>
      </w:pPr>
      <w:r>
        <w:t>4.7 Persons subject to tax</w:t>
      </w:r>
    </w:p>
    <w:tbl>
      <w:tblPr>
        <w:tblW w:type="auto" w:w="0"/>
        <w:jc w:val="center"/>
        <w:tblLayout w:type="autofit"/>
        <w:tblLook w:firstColumn="1" w:firstRow="1" w:lastColumn="0" w:lastRow="0" w:noHBand="0" w:noVBand="1" w:val="04A0"/>
      </w:tblPr>
      <w:tblGrid>
        <w:gridCol w:w="9638"/>
      </w:tblGrid>
      <w:tr>
        <w:tc>
          <w:tcPr>
            <w:tcW w:type="dxa" w:w="9638"/>
            <w:vAlign w:val="top"/>
            <w:shd w:fill="F2F2F2"/>
            <w:tcBorders>
              <w:top w:sz="6" w:val="single" w:color="B7B7B7" w:space="0"/>
              <w:left w:sz="6" w:val="single" w:color="B7B7B7" w:space="0"/>
              <w:bottom w:sz="6" w:val="single" w:color="B7B7B7" w:space="0"/>
              <w:right w:sz="6" w:val="single" w:color="B7B7B7" w:space="0"/>
            </w:tcBorders>
          </w:tcPr>
          <w:p>
            <w:pPr>
              <w:spacing w:after="80"/>
              <w:ind w:left="72" w:right="72"/>
            </w:pPr>
            <w:r>
              <w:rPr>
                <w:sz w:val="20"/>
              </w:rPr>
              <w:t>Section 3: Tax shall be imposed and recovered, in accordance with this Act, from each of the following persons for each income year:</w:t>
            </w:r>
          </w:p>
          <w:p>
            <w:pPr>
              <w:spacing w:after="80"/>
              <w:ind w:left="72" w:right="72"/>
            </w:pPr>
            <w:r>
              <w:rPr>
                <w:sz w:val="20"/>
              </w:rPr>
              <w:t>(a) a person who has taxable income in any income year;</w:t>
            </w:r>
          </w:p>
          <w:p>
            <w:pPr>
              <w:spacing w:after="80"/>
              <w:ind w:left="72" w:right="72"/>
            </w:pPr>
            <w:r>
              <w:rPr>
                <w:sz w:val="20"/>
              </w:rPr>
              <w:t>(b) a foreign permanent establishment situated in Nepal of a non-resident person that repatriates income of any income year under subsections (3) and (4) of section 68; and</w:t>
            </w:r>
          </w:p>
          <w:p>
            <w:pPr>
              <w:spacing w:after="80"/>
              <w:ind w:left="72" w:right="72"/>
            </w:pPr>
            <w:r>
              <w:rPr>
                <w:sz w:val="20"/>
              </w:rPr>
              <w:t>(c) a person who receives a payment in any income year from which tax has been withheld as a final withholding tax.</w:t>
            </w:r>
          </w:p>
        </w:tc>
      </w:tr>
    </w:tbl>
    <w:p>
      <w:pPr>
        <w:spacing w:after="40"/>
      </w:pPr>
    </w:p>
    <w:p>
      <w:pPr>
        <w:spacing w:after="120" w:line="259" w:lineRule="auto"/>
        <w:jc w:val="both"/>
      </w:pPr>
      <w:r>
        <w:t>Income on which tax is computed by applying the tax rate is treated as the tax base. Under section 7 (income from business) and section 9 (income from investment), the amount remaining after claiming deduction of expenses from income received, and after subtracting income exempt from tax under section 11 or income of a retirement fund under section 64, or income under both sections, is called assessable income. Amounts under section 8 (income from employment) are also assessable income. Similarly, the amount computed by subtracting, from assessable income, any amount claimed under section 12, 12A, 12B, 12C, section 63, or all five sections, is the taxable income of that person. This amount is treated as the tax base, and tax is computed by applying the rates specified in Schedule 1 of the Act.</w:t>
      </w:r>
    </w:p>
    <w:p>
      <w:pPr>
        <w:spacing w:after="120" w:line="259" w:lineRule="auto"/>
        <w:jc w:val="both"/>
      </w:pPr>
      <w:r>
        <w:t>Income repatriated abroad by a foreign permanent establishment situated in Nepal is also treated as a tax base for tax purposes. Income tax must be computed on such taxable income by applying the tax rate prescribed in subsection (6) of section 2 of Schedule 1.</w:t>
      </w:r>
    </w:p>
    <w:p>
      <w:pPr>
        <w:spacing w:after="120" w:line="259" w:lineRule="auto"/>
        <w:jc w:val="both"/>
      </w:pPr>
      <w:r>
        <w:t>Similarly, a payment that is subject to final withholding tax is also treated as a tax base. Tax must be paid and income tax computed on that payment by applying the tax rates prescribed in sections 87, 88, 88A and 89 of the Act. Section 95A also provides for the collection of advance tax.</w:t>
      </w:r>
    </w:p>
    <w:p>
      <w:pPr>
        <w:spacing w:after="120" w:line="259" w:lineRule="auto"/>
        <w:jc w:val="both"/>
      </w:pPr>
      <w:r>
        <w:t>The tax base is further clarified by the following diagram:</w:t>
      </w:r>
    </w:p>
    <w:p>
      <w:pPr>
        <w:jc w:val="center"/>
      </w:pPr>
      <w:r>
        <w:rPr>
          <w:b/>
          <w:sz w:val="22"/>
        </w:rPr>
        <w:t>Table 1</w:t>
      </w:r>
    </w:p>
    <w:p>
      <w:pPr>
        <w:jc w:val="center"/>
      </w:pPr>
      <w:r>
        <w:rPr>
          <w:b/>
          <w:sz w:val="24"/>
        </w:rPr>
        <w:t>Tax Base (Section 3)</w:t>
      </w:r>
    </w:p>
    <w:tbl>
      <w:tblPr>
        <w:tblW w:type="auto" w:w="0"/>
        <w:jc w:val="center"/>
        <w:tblLayout w:type="autofit"/>
        <w:tblLook w:firstColumn="1" w:firstRow="1" w:lastColumn="0" w:lastRow="0" w:noHBand="0" w:noVBand="1" w:val="04A0"/>
      </w:tblPr>
      <w:tblGrid>
        <w:gridCol w:w="3213"/>
        <w:gridCol w:w="3213"/>
        <w:gridCol w:w="3213"/>
      </w:tblGrid>
      <w:tr>
        <w:tc>
          <w:tcPr>
            <w:tcW w:type="dxa" w:w="3213"/>
            <w:vAlign w:val="top"/>
            <w:tcBorders>
              <w:top w:sz="6" w:val="single" w:color="A6A6A6" w:space="0"/>
              <w:left w:sz="6" w:val="single" w:color="A6A6A6" w:space="0"/>
              <w:bottom w:sz="6" w:val="single" w:color="A6A6A6" w:space="0"/>
              <w:right w:sz="6" w:val="single" w:color="A6A6A6" w:space="0"/>
            </w:tcBorders>
            <w:shd w:fill="D9EAF7"/>
          </w:tcPr>
          <w:p>
            <w:pPr>
              <w:spacing w:after="60" w:line="240" w:lineRule="auto"/>
            </w:pPr>
            <w:r>
              <w:rPr>
                <w:b/>
                <w:sz w:val="19"/>
              </w:rPr>
              <w:t>Section 3(a)</w:t>
            </w:r>
          </w:p>
        </w:tc>
        <w:tc>
          <w:tcPr>
            <w:tcW w:type="dxa" w:w="3213"/>
            <w:vAlign w:val="top"/>
            <w:tcBorders>
              <w:top w:sz="6" w:val="single" w:color="A6A6A6" w:space="0"/>
              <w:left w:sz="6" w:val="single" w:color="A6A6A6" w:space="0"/>
              <w:bottom w:sz="6" w:val="single" w:color="A6A6A6" w:space="0"/>
              <w:right w:sz="6" w:val="single" w:color="A6A6A6" w:space="0"/>
            </w:tcBorders>
            <w:shd w:fill="D9EAF7"/>
          </w:tcPr>
          <w:p>
            <w:pPr>
              <w:spacing w:after="60" w:line="240" w:lineRule="auto"/>
            </w:pPr>
            <w:r>
              <w:rPr>
                <w:b/>
                <w:sz w:val="19"/>
              </w:rPr>
              <w:t>Section 3(b)</w:t>
            </w:r>
          </w:p>
        </w:tc>
        <w:tc>
          <w:tcPr>
            <w:tcW w:type="dxa" w:w="3213"/>
            <w:vAlign w:val="top"/>
            <w:tcBorders>
              <w:top w:sz="6" w:val="single" w:color="A6A6A6" w:space="0"/>
              <w:left w:sz="6" w:val="single" w:color="A6A6A6" w:space="0"/>
              <w:bottom w:sz="6" w:val="single" w:color="A6A6A6" w:space="0"/>
              <w:right w:sz="6" w:val="single" w:color="A6A6A6" w:space="0"/>
            </w:tcBorders>
            <w:shd w:fill="D9EAF7"/>
          </w:tcPr>
          <w:p>
            <w:pPr>
              <w:spacing w:after="60" w:line="240" w:lineRule="auto"/>
            </w:pPr>
            <w:r>
              <w:rPr>
                <w:b/>
                <w:sz w:val="19"/>
              </w:rPr>
              <w:t>Section 3(c)</w:t>
            </w:r>
          </w:p>
        </w:tc>
      </w:tr>
      <w:tr>
        <w:tc>
          <w:tcPr>
            <w:tcW w:type="dxa" w:w="3213"/>
            <w:vAlign w:val="top"/>
            <w:tcBorders>
              <w:top w:sz="6" w:val="single" w:color="A6A6A6" w:space="0"/>
              <w:left w:sz="6" w:val="single" w:color="A6A6A6" w:space="0"/>
              <w:bottom w:sz="6" w:val="single" w:color="A6A6A6" w:space="0"/>
              <w:right w:sz="6" w:val="single" w:color="A6A6A6" w:space="0"/>
            </w:tcBorders>
          </w:tcPr>
          <w:p>
            <w:pPr>
              <w:spacing w:after="60" w:line="240" w:lineRule="auto"/>
            </w:pPr>
            <w:r>
              <w:rPr>
                <w:sz w:val="19"/>
              </w:rPr>
              <w:t>Taxable income x tax rate</w:t>
              <w:br/>
              <w:t>- Medical treatment tax credit</w:t>
              <w:br/>
              <w:t>- Foreign tax adjustment</w:t>
            </w:r>
          </w:p>
        </w:tc>
        <w:tc>
          <w:tcPr>
            <w:tcW w:type="dxa" w:w="3213"/>
            <w:vAlign w:val="top"/>
            <w:tcBorders>
              <w:top w:sz="6" w:val="single" w:color="A6A6A6" w:space="0"/>
              <w:left w:sz="6" w:val="single" w:color="A6A6A6" w:space="0"/>
              <w:bottom w:sz="6" w:val="single" w:color="A6A6A6" w:space="0"/>
              <w:right w:sz="6" w:val="single" w:color="A6A6A6" w:space="0"/>
            </w:tcBorders>
          </w:tcPr>
          <w:p>
            <w:pPr>
              <w:spacing w:after="60" w:line="240" w:lineRule="auto"/>
            </w:pPr>
            <w:r>
              <w:rPr>
                <w:sz w:val="19"/>
              </w:rPr>
              <w:t>Repatriated income x tax rate</w:t>
            </w:r>
          </w:p>
        </w:tc>
        <w:tc>
          <w:tcPr>
            <w:tcW w:type="dxa" w:w="3213"/>
            <w:vAlign w:val="top"/>
            <w:tcBorders>
              <w:top w:sz="6" w:val="single" w:color="A6A6A6" w:space="0"/>
              <w:left w:sz="6" w:val="single" w:color="A6A6A6" w:space="0"/>
              <w:bottom w:sz="6" w:val="single" w:color="A6A6A6" w:space="0"/>
              <w:right w:sz="6" w:val="single" w:color="A6A6A6" w:space="0"/>
            </w:tcBorders>
          </w:tcPr>
          <w:p>
            <w:pPr>
              <w:spacing w:after="60" w:line="240" w:lineRule="auto"/>
            </w:pPr>
            <w:r>
              <w:rPr>
                <w:sz w:val="19"/>
              </w:rPr>
              <w:t>Payment subject to final withholding x tax rate</w:t>
            </w:r>
          </w:p>
        </w:tc>
      </w:tr>
      <w:tr>
        <w:tc>
          <w:tcPr>
            <w:tcW w:type="dxa" w:w="3213"/>
            <w:vAlign w:val="top"/>
            <w:tcBorders>
              <w:top w:sz="6" w:val="single" w:color="A6A6A6" w:space="0"/>
              <w:left w:sz="6" w:val="single" w:color="A6A6A6" w:space="0"/>
              <w:bottom w:sz="6" w:val="single" w:color="A6A6A6" w:space="0"/>
              <w:right w:sz="6" w:val="single" w:color="A6A6A6" w:space="0"/>
            </w:tcBorders>
          </w:tcPr>
          <w:p>
            <w:pPr>
              <w:spacing w:after="60" w:line="240" w:lineRule="auto"/>
            </w:pPr>
            <w:r>
              <w:rPr>
                <w:sz w:val="19"/>
              </w:rPr>
              <w:t>Defined in section 5</w:t>
            </w:r>
          </w:p>
        </w:tc>
        <w:tc>
          <w:tcPr>
            <w:tcW w:type="dxa" w:w="3213"/>
            <w:vAlign w:val="top"/>
            <w:tcBorders>
              <w:top w:sz="6" w:val="single" w:color="A6A6A6" w:space="0"/>
              <w:left w:sz="6" w:val="single" w:color="A6A6A6" w:space="0"/>
              <w:bottom w:sz="6" w:val="single" w:color="A6A6A6" w:space="0"/>
              <w:right w:sz="6" w:val="single" w:color="A6A6A6" w:space="0"/>
            </w:tcBorders>
          </w:tcPr>
          <w:p>
            <w:pPr>
              <w:spacing w:after="60" w:line="240" w:lineRule="auto"/>
            </w:pPr>
            <w:r>
              <w:rPr>
                <w:sz w:val="19"/>
              </w:rPr>
              <w:t>Defined in section 2(kaDa), section 68(3) and section 68(4)</w:t>
            </w:r>
          </w:p>
        </w:tc>
        <w:tc>
          <w:tcPr>
            <w:tcW w:type="dxa" w:w="3213"/>
            <w:vAlign w:val="top"/>
            <w:tcBorders>
              <w:top w:sz="6" w:val="single" w:color="A6A6A6" w:space="0"/>
              <w:left w:sz="6" w:val="single" w:color="A6A6A6" w:space="0"/>
              <w:bottom w:sz="6" w:val="single" w:color="A6A6A6" w:space="0"/>
              <w:right w:sz="6" w:val="single" w:color="A6A6A6" w:space="0"/>
            </w:tcBorders>
          </w:tcPr>
          <w:p>
            <w:pPr>
              <w:spacing w:after="60" w:line="240" w:lineRule="auto"/>
            </w:pPr>
            <w:r>
              <w:rPr>
                <w:sz w:val="19"/>
              </w:rPr>
              <w:t>Defined in section 92</w:t>
            </w:r>
          </w:p>
        </w:tc>
      </w:tr>
      <w:tr>
        <w:tc>
          <w:tcPr>
            <w:tcW w:type="dxa" w:w="3213"/>
            <w:vAlign w:val="top"/>
            <w:tcBorders>
              <w:top w:sz="6" w:val="single" w:color="A6A6A6" w:space="0"/>
              <w:left w:sz="6" w:val="single" w:color="A6A6A6" w:space="0"/>
              <w:bottom w:sz="6" w:val="single" w:color="A6A6A6" w:space="0"/>
              <w:right w:sz="6" w:val="single" w:color="A6A6A6" w:space="0"/>
            </w:tcBorders>
          </w:tcPr>
          <w:p>
            <w:pPr>
              <w:spacing w:after="60" w:line="240" w:lineRule="auto"/>
            </w:pPr>
            <w:r>
              <w:rPr>
                <w:sz w:val="19"/>
              </w:rPr>
              <w:t>Rate: Schedule 1</w:t>
            </w:r>
          </w:p>
        </w:tc>
        <w:tc>
          <w:tcPr>
            <w:tcW w:type="dxa" w:w="3213"/>
            <w:vAlign w:val="top"/>
            <w:tcBorders>
              <w:top w:sz="6" w:val="single" w:color="A6A6A6" w:space="0"/>
              <w:left w:sz="6" w:val="single" w:color="A6A6A6" w:space="0"/>
              <w:bottom w:sz="6" w:val="single" w:color="A6A6A6" w:space="0"/>
              <w:right w:sz="6" w:val="single" w:color="A6A6A6" w:space="0"/>
            </w:tcBorders>
          </w:tcPr>
          <w:p>
            <w:pPr>
              <w:spacing w:after="60" w:line="240" w:lineRule="auto"/>
            </w:pPr>
            <w:r>
              <w:rPr>
                <w:sz w:val="19"/>
              </w:rPr>
              <w:t>Rate: section 2(6) of Schedule 1</w:t>
            </w:r>
          </w:p>
        </w:tc>
        <w:tc>
          <w:tcPr>
            <w:tcW w:type="dxa" w:w="3213"/>
            <w:vAlign w:val="top"/>
            <w:tcBorders>
              <w:top w:sz="6" w:val="single" w:color="A6A6A6" w:space="0"/>
              <w:left w:sz="6" w:val="single" w:color="A6A6A6" w:space="0"/>
              <w:bottom w:sz="6" w:val="single" w:color="A6A6A6" w:space="0"/>
              <w:right w:sz="6" w:val="single" w:color="A6A6A6" w:space="0"/>
            </w:tcBorders>
          </w:tcPr>
          <w:p>
            <w:pPr>
              <w:spacing w:after="60" w:line="240" w:lineRule="auto"/>
            </w:pPr>
            <w:r>
              <w:rPr>
                <w:sz w:val="19"/>
              </w:rPr>
              <w:t>Withholding provisions: sections 87, 88, 88A and 89</w:t>
            </w:r>
          </w:p>
        </w:tc>
      </w:tr>
    </w:tbl>
    <w:p>
      <w:pPr>
        <w:spacing w:after="80"/>
      </w:pPr>
    </w:p>
    <w:p>
      <w:pPr>
        <w:spacing w:after="120" w:line="259" w:lineRule="auto"/>
        <w:jc w:val="both"/>
      </w:pPr>
      <w:r>
        <w:t>Income tax is imposed on the income of a foreign establishment situated in Nepal where the principal person or entity is non-resident and the foreign permanent establishment repatriates income earned from a source in Nepal abroad, whether through a bank or by any other method. In respect of Nepal-source income, the foreign permanent establishment of a non-resident person is treated as a resident person and regular tax rates are imposed on such income. In other words, the foreign permanent establishment is taxed in the same manner as a resident person. After such tax is paid, the remaining amount that is repatriated abroad to its parent company is treated in the same manner as a dividend. Tax is imposed on the income remitted abroad by a foreign permanent establishment situated in Nepal at the rate specified in subsection (6) of section 2 of Schedule 1.</w:t>
      </w:r>
    </w:p>
    <w:p>
      <w:pPr>
        <w:spacing w:after="120" w:line="259" w:lineRule="auto"/>
        <w:jc w:val="both"/>
      </w:pPr>
      <w:r>
        <w:t>An amount paid after withholding tax at source is a payment subject to withholding tax. When making a payment subject to withholding tax, the payer must withhold tax at the prescribed rate at the time of payment on behalf of the person receiving the payment. The provisions relating to payments subject to final withholding and tax withheld on payment are further explained in Chapter 16 of this Directive.</w:t>
      </w:r>
    </w:p>
    <w:p>
      <w:r>
        <w:br w:type="page"/>
      </w:r>
    </w:p>
    <w:p>
      <w:pPr>
        <w:spacing w:after="160" w:line="259" w:lineRule="auto"/>
        <w:jc w:val="center"/>
      </w:pPr>
      <w:r>
        <w:rPr>
          <w:rFonts w:ascii="Times New Roman" w:hAnsi="Times New Roman" w:eastAsia="Times New Roman"/>
          <w:b/>
          <w:i w:val="0"/>
        </w:rPr>
        <w:t>Income Tax Directive, 2066</w:t>
      </w:r>
    </w:p>
    <w:p>
      <w:pPr>
        <w:spacing w:after="160" w:line="259" w:lineRule="auto"/>
        <w:jc w:val="center"/>
      </w:pPr>
      <w:r>
        <w:rPr>
          <w:rFonts w:ascii="Times New Roman" w:hAnsi="Times New Roman" w:eastAsia="Times New Roman"/>
          <w:b/>
          <w:i w:val="0"/>
        </w:rPr>
        <w:t>(Fifth Amendment, 2081)</w:t>
      </w:r>
    </w:p>
    <w:p>
      <w:pPr>
        <w:spacing w:after="160" w:line="259" w:lineRule="auto"/>
        <w:jc w:val="center"/>
      </w:pPr>
      <w:r>
        <w:rPr>
          <w:rFonts w:ascii="Times New Roman" w:hAnsi="Times New Roman" w:eastAsia="Times New Roman"/>
          <w:b/>
          <w:i w:val="0"/>
        </w:rPr>
        <w:t>English Translation - Part 5</w:t>
      </w:r>
    </w:p>
    <w:p>
      <w:pPr>
        <w:spacing w:after="160" w:line="259" w:lineRule="auto"/>
        <w:jc w:val="center"/>
      </w:pPr>
      <w:r>
        <w:rPr>
          <w:rFonts w:ascii="Times New Roman" w:hAnsi="Times New Roman" w:eastAsia="Times New Roman"/>
          <w:b/>
          <w:i w:val="0"/>
        </w:rPr>
        <w:t>Chapter 5: Income, Assessable Income and Taxable Income</w:t>
      </w:r>
    </w:p>
    <w:p>
      <w:pPr>
        <w:spacing w:after="280" w:line="259" w:lineRule="auto"/>
        <w:jc w:val="center"/>
      </w:pPr>
      <w:r>
        <w:rPr>
          <w:rFonts w:ascii="Times New Roman" w:hAnsi="Times New Roman" w:eastAsia="Times New Roman"/>
          <w:b w:val="0"/>
          <w:i/>
        </w:rPr>
        <w:t>Translated from the uploaded Nepali PDF while preserving the structure, numbering and legal meaning as far as practicable. Statutory expressions have been aligned with the English terminology used in the Income Tax Act, 2002 (2058) wherever applicable.</w:t>
      </w:r>
    </w:p>
    <w:p>
      <w:r>
        <w:rPr>
          <w:rFonts w:ascii="Times New Roman" w:hAnsi="Times New Roman" w:eastAsia="Times New Roman"/>
        </w:rPr>
        <w:br w:type="page"/>
      </w:r>
    </w:p>
    <w:p>
      <w:pPr>
        <w:spacing w:after="40" w:line="259" w:lineRule="auto"/>
        <w:jc w:val="center"/>
      </w:pPr>
      <w:r>
        <w:rPr>
          <w:rFonts w:ascii="Times New Roman" w:hAnsi="Times New Roman" w:eastAsia="Times New Roman"/>
          <w:b/>
          <w:i w:val="0"/>
        </w:rPr>
        <w:t>Chapter 5</w:t>
      </w:r>
    </w:p>
    <w:p>
      <w:pPr>
        <w:spacing w:after="40" w:line="259" w:lineRule="auto"/>
        <w:jc w:val="center"/>
      </w:pPr>
      <w:r>
        <w:rPr>
          <w:rFonts w:ascii="Times New Roman" w:hAnsi="Times New Roman" w:eastAsia="Times New Roman"/>
          <w:b/>
          <w:i w:val="0"/>
        </w:rPr>
        <w:t>Income, Assessable Income and Taxable Income</w:t>
      </w:r>
    </w:p>
    <w:p>
      <w:pPr>
        <w:spacing w:after="240" w:line="259" w:lineRule="auto"/>
        <w:jc w:val="center"/>
      </w:pPr>
      <w:r>
        <w:rPr>
          <w:rFonts w:ascii="Times New Roman" w:hAnsi="Times New Roman" w:eastAsia="Times New Roman"/>
          <w:b w:val="0"/>
          <w:i/>
        </w:rPr>
        <w:t>(Income, Assessable Income and Taxable Income)</w:t>
      </w:r>
    </w:p>
    <w:p>
      <w:pPr>
        <w:pStyle w:val="Heading2"/>
        <w:spacing w:after="120" w:line="259" w:lineRule="auto"/>
      </w:pPr>
      <w:r>
        <w:rPr>
          <w:rFonts w:ascii="Times New Roman" w:hAnsi="Times New Roman" w:eastAsia="Times New Roman"/>
          <w:b w:val="0"/>
          <w:i w:val="0"/>
        </w:rPr>
        <w:t>5.1 Introduction</w:t>
      </w:r>
    </w:p>
    <w:p>
      <w:pPr>
        <w:spacing w:after="120" w:line="259" w:lineRule="auto"/>
        <w:ind w:firstLine="317"/>
      </w:pPr>
      <w:r>
        <w:rPr>
          <w:rFonts w:ascii="Times New Roman" w:hAnsi="Times New Roman" w:eastAsia="Times New Roman"/>
          <w:b w:val="0"/>
          <w:i w:val="0"/>
        </w:rPr>
        <w:t>The Income Tax Act, 2058 refers to the profit or gain of a person as income. The Act provides that income tax shall be imposed on the income of a resident person sourced in Nepal as well as in any other country. In the case of a non-resident person, tax is imposed only on income sourced in Nepal. Tax is not imposed on every receipt of a person. Instead, the Act aggregates the income earned by a person under different heads and imposes tax on the taxable income of that person.</w:t>
      </w:r>
    </w:p>
    <w:p>
      <w:pPr>
        <w:spacing w:after="120" w:line="259" w:lineRule="auto"/>
        <w:ind w:firstLine="317"/>
      </w:pPr>
      <w:r>
        <w:rPr>
          <w:rFonts w:ascii="Times New Roman" w:hAnsi="Times New Roman" w:eastAsia="Times New Roman"/>
          <w:b w:val="0"/>
          <w:i w:val="0"/>
        </w:rPr>
        <w:t>For this purpose, all amounts received by a person are not treated as income for tax purposes. Likewise, amounts received in kind, amounts received as facilities or benefits, or other amounts treated as income under the Act must be characterized and quantified before being included in income. Income derived by a person from employment, business or investment, and the total amount of such income computed under the Act, are included in income. Income received from windfall gains, however, is taxed through the final withholding method.</w:t>
      </w:r>
    </w:p>
    <w:p>
      <w:pPr>
        <w:spacing w:after="120" w:line="259" w:lineRule="auto"/>
        <w:ind w:firstLine="317"/>
      </w:pPr>
      <w:r>
        <w:rPr>
          <w:rFonts w:ascii="Times New Roman" w:hAnsi="Times New Roman" w:eastAsia="Times New Roman"/>
          <w:b w:val="0"/>
          <w:i w:val="0"/>
        </w:rPr>
        <w:t>For each head of income, the relevant inclusions are first included and all deductible expenses are then reduced. The resulting income is assessable income. From the assessable income computed from business, employment and investment, amounts claimable under section 12, 12A, 12B, 12C or 63 of the Act - such as donation expenses, company expenses for heritage conservation and sports development, contributions to the Prime Minister Natural Disaster Relief Fund or a reconstruction fund established by the Government of Nepal, seed capital grants given to startup businesses, and retirement contributions - are deducted, if claimable. The amount remaining thereafter is taxable income. The objective of this Chapter is to explain the heads of income, assessable income and taxable income in detail.</w:t>
      </w:r>
    </w:p>
    <w:p>
      <w:pPr>
        <w:pStyle w:val="Heading2"/>
        <w:spacing w:after="120" w:line="259" w:lineRule="auto"/>
      </w:pPr>
      <w:r>
        <w:rPr>
          <w:rFonts w:ascii="Times New Roman" w:hAnsi="Times New Roman" w:eastAsia="Times New Roman"/>
          <w:b w:val="0"/>
          <w:i w:val="0"/>
        </w:rPr>
        <w:t>5.2 Income</w:t>
      </w:r>
    </w:p>
    <w:p>
      <w:pPr>
        <w:spacing w:after="120" w:line="259" w:lineRule="auto"/>
        <w:ind w:firstLine="317"/>
      </w:pPr>
      <w:r>
        <w:rPr>
          <w:rFonts w:ascii="Times New Roman" w:hAnsi="Times New Roman" w:eastAsia="Times New Roman"/>
          <w:b w:val="0"/>
          <w:i w:val="0"/>
        </w:rPr>
        <w:t>Under section 2(j) of the Act, "income" means the income derived by a person from employment, business, investment or windfall gain, and also includes the total amount of such income computed under the Act.</w:t>
      </w:r>
    </w:p>
    <w:p>
      <w:pPr>
        <w:spacing w:after="120" w:line="259" w:lineRule="auto"/>
        <w:ind w:firstLine="317"/>
      </w:pPr>
      <w:r>
        <w:rPr>
          <w:rFonts w:ascii="Times New Roman" w:hAnsi="Times New Roman" w:eastAsia="Times New Roman"/>
          <w:b w:val="0"/>
          <w:i w:val="0"/>
        </w:rPr>
        <w:t>All amounts received by a person are not treated as income for tax purposes. Similarly, even if a receipt is not received in cash, if it is treated as income under the Act, the receipt must be characterized and quantified and then included in income.</w:t>
      </w:r>
    </w:p>
    <w:p>
      <w:pPr>
        <w:spacing w:after="120" w:line="259" w:lineRule="auto"/>
        <w:ind w:firstLine="317"/>
      </w:pPr>
      <w:r>
        <w:rPr>
          <w:rFonts w:ascii="Times New Roman" w:hAnsi="Times New Roman" w:eastAsia="Times New Roman"/>
          <w:b w:val="0"/>
          <w:i w:val="0"/>
        </w:rPr>
        <w:t>Section 5 of the Act classifies income and the heads of income as follows:</w:t>
      </w:r>
    </w:p>
    <w:p>
      <w:pPr>
        <w:spacing w:after="40" w:line="259" w:lineRule="auto"/>
      </w:pPr>
      <w:r>
        <w:rPr>
          <w:rFonts w:ascii="Times New Roman" w:hAnsi="Times New Roman" w:eastAsia="Times New Roman"/>
          <w:b w:val="0"/>
          <w:i w:val="0"/>
        </w:rPr>
        <w:t>(a) Business;</w:t>
      </w:r>
    </w:p>
    <w:p>
      <w:pPr>
        <w:spacing w:after="40" w:line="259" w:lineRule="auto"/>
      </w:pPr>
      <w:r>
        <w:rPr>
          <w:rFonts w:ascii="Times New Roman" w:hAnsi="Times New Roman" w:eastAsia="Times New Roman"/>
          <w:b w:val="0"/>
          <w:i w:val="0"/>
        </w:rPr>
        <w:t>(b) Employment;</w:t>
      </w:r>
    </w:p>
    <w:p>
      <w:pPr>
        <w:spacing w:after="40" w:line="259" w:lineRule="auto"/>
      </w:pPr>
      <w:r>
        <w:rPr>
          <w:rFonts w:ascii="Times New Roman" w:hAnsi="Times New Roman" w:eastAsia="Times New Roman"/>
          <w:b w:val="0"/>
          <w:i w:val="0"/>
        </w:rPr>
        <w:t>(c) Investment; and</w:t>
      </w:r>
    </w:p>
    <w:p>
      <w:pPr>
        <w:spacing w:after="40" w:line="259" w:lineRule="auto"/>
      </w:pPr>
      <w:r>
        <w:rPr>
          <w:rFonts w:ascii="Times New Roman" w:hAnsi="Times New Roman" w:eastAsia="Times New Roman"/>
          <w:b w:val="0"/>
          <w:i w:val="0"/>
        </w:rPr>
        <w:t>(d) Windfall gain.</w:t>
      </w:r>
    </w:p>
    <w:p>
      <w:pPr>
        <w:spacing w:after="120" w:line="259" w:lineRule="auto"/>
        <w:ind w:firstLine="317"/>
      </w:pPr>
      <w:r>
        <w:rPr>
          <w:rFonts w:ascii="Times New Roman" w:hAnsi="Times New Roman" w:eastAsia="Times New Roman"/>
          <w:b w:val="0"/>
          <w:i w:val="0"/>
        </w:rPr>
        <w:t>While computing income from business under section 7, amounts such as service charges, amounts received from agriculture, industry, trade, profession or business, income received from the sale of goods or services, net gains from the disposal of business assets or liabilities, gifts received in connection with business, compensation received for accepting a restriction on operating a business, and amounts directly connected with business must be included.</w:t>
      </w:r>
    </w:p>
    <w:p>
      <w:pPr>
        <w:spacing w:after="120" w:line="259" w:lineRule="auto"/>
        <w:ind w:firstLine="317"/>
      </w:pPr>
      <w:r>
        <w:rPr>
          <w:rFonts w:ascii="Times New Roman" w:hAnsi="Times New Roman" w:eastAsia="Times New Roman"/>
          <w:b w:val="0"/>
          <w:i w:val="0"/>
        </w:rPr>
        <w:t>Under section 8 of the Act, remuneration received by a natural person from employment during an income year is computed as the income of that person from employment for that year.</w:t>
      </w:r>
    </w:p>
    <w:p>
      <w:pPr>
        <w:spacing w:after="120" w:line="259" w:lineRule="auto"/>
        <w:ind w:firstLine="317"/>
      </w:pPr>
      <w:r>
        <w:rPr>
          <w:rFonts w:ascii="Times New Roman" w:hAnsi="Times New Roman" w:eastAsia="Times New Roman"/>
          <w:b w:val="0"/>
          <w:i w:val="0"/>
        </w:rPr>
        <w:t>Under section 9 of the Act, profits and gains derived by a person from investment during an income year are computed as the income of that person from investment for that year.</w:t>
      </w:r>
    </w:p>
    <w:p>
      <w:pPr>
        <w:spacing w:after="120" w:line="259" w:lineRule="auto"/>
        <w:ind w:firstLine="317"/>
      </w:pPr>
      <w:r>
        <w:rPr>
          <w:rFonts w:ascii="Times New Roman" w:hAnsi="Times New Roman" w:eastAsia="Times New Roman"/>
          <w:b w:val="0"/>
          <w:i w:val="0"/>
        </w:rPr>
        <w:t>Under section 2(j1) of the Act, windfall gain includes a gain received incidentally from a lottery, gift, prize, award, winning or any other accidental gain.</w:t>
      </w:r>
    </w:p>
    <w:p>
      <w:pPr>
        <w:spacing w:after="120" w:line="259" w:lineRule="auto"/>
        <w:ind w:firstLine="317"/>
      </w:pPr>
      <w:r>
        <w:rPr>
          <w:rFonts w:ascii="Times New Roman" w:hAnsi="Times New Roman" w:eastAsia="Times New Roman"/>
          <w:b w:val="0"/>
          <w:i w:val="0"/>
        </w:rPr>
        <w:t>Accordingly, in the case of business and investment, the amount remaining after deducting allowable expenses from the amounts to be included in income - that is, the profits and gains - is the income of the person. In the case of a person receiving remuneration, the total amount included as remuneration is the income of that person. Similarly, the total amount received as windfall gain is the income of that person and tax is imposed on it through the final withholding method.</w:t>
      </w:r>
    </w:p>
    <w:p>
      <w:pPr>
        <w:spacing w:after="120" w:line="259" w:lineRule="auto"/>
        <w:ind w:firstLine="317"/>
      </w:pPr>
      <w:r>
        <w:rPr>
          <w:rFonts w:ascii="Times New Roman" w:hAnsi="Times New Roman" w:eastAsia="Times New Roman"/>
          <w:b w:val="0"/>
          <w:i w:val="0"/>
        </w:rPr>
        <w:t>Income includes amounts received by the taxpayer or amounts over which the taxpayer has acquired a right to receive. Payments may be received in cash, in kind, or in the form of services. In computing income, the taxpayer may receive payment either in cash or by another method. Subject to section 22 of the Act, income must be accounted for on either a cash basis or an accrual basis. A company must account for income on an accrual basis. The employment and investment income of a natural person is generally accounted for on a cash basis, whereas business income is generally accounted for on an accrual basis. However, where the business income belongs to a natural person, it may also be accounted for on a cash basis.</w:t>
      </w:r>
    </w:p>
    <w:p>
      <w:pPr>
        <w:pStyle w:val="Heading2"/>
        <w:spacing w:after="120" w:line="259" w:lineRule="auto"/>
      </w:pPr>
      <w:r>
        <w:rPr>
          <w:rFonts w:ascii="Times New Roman" w:hAnsi="Times New Roman" w:eastAsia="Times New Roman"/>
          <w:b w:val="0"/>
          <w:i w:val="0"/>
        </w:rPr>
        <w:t>5.3 Assessable income</w:t>
      </w:r>
    </w:p>
    <w:p>
      <w:pPr>
        <w:spacing w:after="120" w:line="259" w:lineRule="auto"/>
        <w:ind w:firstLine="317"/>
      </w:pPr>
      <w:r>
        <w:rPr>
          <w:rFonts w:ascii="Times New Roman" w:hAnsi="Times New Roman" w:eastAsia="Times New Roman"/>
          <w:b w:val="0"/>
          <w:i w:val="0"/>
        </w:rPr>
        <w:t>Section 6 of the Act provides that the following income shall be treated as assessable income:</w:t>
      </w:r>
    </w:p>
    <w:p>
      <w:pPr>
        <w:spacing w:after="120" w:line="259" w:lineRule="auto"/>
        <w:ind w:firstLine="317"/>
      </w:pPr>
      <w:r>
        <w:rPr>
          <w:rFonts w:ascii="Times New Roman" w:hAnsi="Times New Roman" w:eastAsia="Times New Roman"/>
          <w:b w:val="0"/>
          <w:i w:val="0"/>
        </w:rPr>
        <w:t>Subject to the Act, the following income derived by a person during an income year from employment, business, investment or windfall gain shall be treated as assessable income:</w:t>
      </w:r>
    </w:p>
    <w:p>
      <w:pPr>
        <w:spacing w:after="40" w:line="259" w:lineRule="auto"/>
      </w:pPr>
      <w:r>
        <w:rPr>
          <w:rFonts w:ascii="Times New Roman" w:hAnsi="Times New Roman" w:eastAsia="Times New Roman"/>
          <w:b w:val="0"/>
          <w:i w:val="0"/>
        </w:rPr>
        <w:t>(a) income derived by a resident person from employment, business, investment or windfall gain, wherever the source of that income may be; and</w:t>
      </w:r>
    </w:p>
    <w:p>
      <w:pPr>
        <w:spacing w:after="40" w:line="259" w:lineRule="auto"/>
      </w:pPr>
      <w:r>
        <w:rPr>
          <w:rFonts w:ascii="Times New Roman" w:hAnsi="Times New Roman" w:eastAsia="Times New Roman"/>
          <w:b w:val="0"/>
          <w:i w:val="0"/>
        </w:rPr>
        <w:t>(b) income derived by a non-resident person from employment, business, investment or windfall gain where the source of that income is in Nepal.</w:t>
      </w:r>
    </w:p>
    <w:p>
      <w:pPr>
        <w:spacing w:after="120" w:line="259" w:lineRule="auto"/>
      </w:pPr>
      <w:r>
        <w:rPr>
          <w:rFonts w:ascii="Times New Roman" w:hAnsi="Times New Roman" w:eastAsia="Times New Roman"/>
          <w:b w:val="0"/>
          <w:i/>
        </w:rPr>
        <w:t>However, any income exempted under section 11 or section 64, or under both sections, shall not be included in assessable income.</w:t>
      </w:r>
    </w:p>
    <w:p>
      <w:pPr>
        <w:spacing w:after="120" w:line="259" w:lineRule="auto"/>
        <w:ind w:firstLine="317"/>
      </w:pPr>
      <w:r>
        <w:rPr>
          <w:rFonts w:ascii="Times New Roman" w:hAnsi="Times New Roman" w:eastAsia="Times New Roman"/>
          <w:b w:val="0"/>
          <w:i w:val="0"/>
        </w:rPr>
        <w:t>After including income under each head of income and deducting all deductible expenses, the income is computed. From that amount, income from agriculture and cooperative business exempted under section 11(1) and (2), and the tax-exempt income of an approved retirement fund under section 64(2), are reduced. The balance is assessable income. A resident person is taxable on all income wherever sourced, that is, global income. A non-resident person is taxable in Nepal only on income sourced in Nepal. The income treated as Nepal-sourced income, the legal provisions relating to international taxation, and their application are explained in Chapters 3 and 14 of this Directive.</w:t>
      </w:r>
    </w:p>
    <w:p>
      <w:pPr>
        <w:pStyle w:val="Heading2"/>
        <w:spacing w:after="120" w:line="259" w:lineRule="auto"/>
      </w:pPr>
      <w:r>
        <w:rPr>
          <w:rFonts w:ascii="Times New Roman" w:hAnsi="Times New Roman" w:eastAsia="Times New Roman"/>
          <w:b w:val="0"/>
          <w:i w:val="0"/>
        </w:rPr>
        <w:t>5.4 Taxable income</w:t>
      </w:r>
    </w:p>
    <w:p>
      <w:pPr>
        <w:spacing w:after="120" w:line="259" w:lineRule="auto"/>
        <w:ind w:firstLine="317"/>
      </w:pPr>
      <w:r>
        <w:rPr>
          <w:rFonts w:ascii="Times New Roman" w:hAnsi="Times New Roman" w:eastAsia="Times New Roman"/>
          <w:b w:val="0"/>
          <w:i w:val="0"/>
        </w:rPr>
        <w:t>Taxable income means the amount remaining after deducting from the aggregate assessable income computed from business, employment and investment the claimable amounts under sections 12, 12A, 12B, 12C and 63 of the Act, including donation expenses, company expenses for heritage conservation and sports development, contributions to the Prime Minister Natural Disaster Relief Fund or a reconstruction fund established by the Government of Nepal, seed capital grants given to startup businesses, retirement contributions, and any other amount claimable under those provisions.</w:t>
      </w:r>
    </w:p>
    <w:p>
      <w:pPr>
        <w:spacing w:after="120" w:line="259" w:lineRule="auto"/>
        <w:ind w:firstLine="317"/>
      </w:pPr>
      <w:r>
        <w:rPr>
          <w:rFonts w:ascii="Times New Roman" w:hAnsi="Times New Roman" w:eastAsia="Times New Roman"/>
          <w:b w:val="0"/>
          <w:i w:val="0"/>
        </w:rPr>
        <w:t>Section 5 of the Act provides the following classification of taxable income and heads of income:</w:t>
      </w:r>
    </w:p>
    <w:p>
      <w:pPr>
        <w:spacing w:after="120" w:line="259" w:lineRule="auto"/>
        <w:ind w:firstLine="317"/>
      </w:pPr>
      <w:r>
        <w:rPr>
          <w:rFonts w:ascii="Times New Roman" w:hAnsi="Times New Roman" w:eastAsia="Times New Roman"/>
          <w:b w:val="0"/>
          <w:i w:val="0"/>
        </w:rPr>
        <w:t>The taxable income of a person for an income year is equal to the amount computed by deducting any amount claimed under sections 12, 12A, 12B, 12C, 63 or all of those sections from the aggregate amount of assessable income under each of the following heads of income for that year:</w:t>
      </w:r>
    </w:p>
    <w:p>
      <w:pPr>
        <w:spacing w:after="40" w:line="259" w:lineRule="auto"/>
      </w:pPr>
      <w:r>
        <w:rPr>
          <w:rFonts w:ascii="Times New Roman" w:hAnsi="Times New Roman" w:eastAsia="Times New Roman"/>
          <w:b w:val="0"/>
          <w:i w:val="0"/>
        </w:rPr>
        <w:t>(a) Business;</w:t>
      </w:r>
    </w:p>
    <w:p>
      <w:pPr>
        <w:spacing w:after="40" w:line="259" w:lineRule="auto"/>
      </w:pPr>
      <w:r>
        <w:rPr>
          <w:rFonts w:ascii="Times New Roman" w:hAnsi="Times New Roman" w:eastAsia="Times New Roman"/>
          <w:b w:val="0"/>
          <w:i w:val="0"/>
        </w:rPr>
        <w:t>(b) Employment;</w:t>
      </w:r>
    </w:p>
    <w:p>
      <w:pPr>
        <w:spacing w:after="40" w:line="259" w:lineRule="auto"/>
      </w:pPr>
      <w:r>
        <w:rPr>
          <w:rFonts w:ascii="Times New Roman" w:hAnsi="Times New Roman" w:eastAsia="Times New Roman"/>
          <w:b w:val="0"/>
          <w:i w:val="0"/>
        </w:rPr>
        <w:t>(c) Investment; and</w:t>
      </w:r>
    </w:p>
    <w:p>
      <w:pPr>
        <w:spacing w:after="40" w:line="259" w:lineRule="auto"/>
      </w:pPr>
      <w:r>
        <w:rPr>
          <w:rFonts w:ascii="Times New Roman" w:hAnsi="Times New Roman" w:eastAsia="Times New Roman"/>
          <w:b w:val="0"/>
          <w:i w:val="0"/>
        </w:rPr>
        <w:t>(d) Windfall gain.</w:t>
      </w:r>
    </w:p>
    <w:p>
      <w:pPr>
        <w:spacing w:after="120" w:line="259" w:lineRule="auto"/>
        <w:ind w:firstLine="317"/>
      </w:pPr>
      <w:r>
        <w:rPr>
          <w:rFonts w:ascii="Times New Roman" w:hAnsi="Times New Roman" w:eastAsia="Times New Roman"/>
          <w:b w:val="0"/>
          <w:i w:val="0"/>
        </w:rPr>
        <w:t>The tax liability of a taxpayer is computed on the basis of taxable income. In computing taxable income, the amounts claimable under the above provisions are deducted from aggregate assessable income.</w:t>
      </w:r>
    </w:p>
    <w:p>
      <w:pPr>
        <w:spacing w:after="120" w:line="259" w:lineRule="auto"/>
      </w:pPr>
      <w:r>
        <w:rPr>
          <w:rFonts w:ascii="Times New Roman" w:hAnsi="Times New Roman" w:eastAsia="Times New Roman"/>
          <w:b w:val="0"/>
          <w:i/>
        </w:rPr>
        <w:t>The method for computing taxable income is set out in the following table.</w:t>
      </w:r>
    </w:p>
    <w:tbl>
      <w:tblPr>
        <w:tblStyle w:val="TableGrid"/>
        <w:tblW w:type="auto" w:w="0"/>
        <w:jc w:val="center"/>
        <w:tblLook w:firstColumn="1" w:firstRow="1" w:lastColumn="0" w:lastRow="0" w:noHBand="0" w:noVBand="1" w:val="04A0"/>
      </w:tblPr>
      <w:tblGrid>
        <w:gridCol w:w="2581"/>
        <w:gridCol w:w="2581"/>
        <w:gridCol w:w="2581"/>
        <w:gridCol w:w="2581"/>
      </w:tblGrid>
      <w:tr>
        <w:tc>
          <w:tcPr>
            <w:tcW w:type="dxa" w:w="2581"/>
            <w:vAlign w:val="top"/>
            <w:shd w:fill="E7E6E6"/>
          </w:tcPr>
          <w:p>
            <w:pPr>
              <w:spacing w:after="0"/>
            </w:pPr>
            <w:r>
              <w:rPr>
                <w:rFonts w:ascii="Times New Roman" w:hAnsi="Times New Roman" w:eastAsia="Times New Roman"/>
                <w:sz w:val="16"/>
              </w:rPr>
            </w:r>
            <w:r>
              <w:rPr>
                <w:rFonts w:ascii="Times New Roman" w:hAnsi="Times New Roman" w:eastAsia="Times New Roman"/>
                <w:b/>
                <w:i w:val="0"/>
                <w:sz w:val="16"/>
              </w:rPr>
              <w:t>Particulars</w:t>
            </w:r>
          </w:p>
        </w:tc>
        <w:tc>
          <w:tcPr>
            <w:tcW w:type="dxa" w:w="2581"/>
            <w:vAlign w:val="top"/>
            <w:shd w:fill="E7E6E6"/>
          </w:tcPr>
          <w:p>
            <w:pPr>
              <w:spacing w:after="0"/>
            </w:pPr>
            <w:r>
              <w:rPr>
                <w:rFonts w:ascii="Times New Roman" w:hAnsi="Times New Roman" w:eastAsia="Times New Roman"/>
                <w:sz w:val="16"/>
              </w:rPr>
            </w:r>
            <w:r>
              <w:rPr>
                <w:rFonts w:ascii="Times New Roman" w:hAnsi="Times New Roman" w:eastAsia="Times New Roman"/>
                <w:b/>
                <w:i w:val="0"/>
                <w:sz w:val="16"/>
              </w:rPr>
              <w:t>Business income</w:t>
            </w:r>
          </w:p>
        </w:tc>
        <w:tc>
          <w:tcPr>
            <w:tcW w:type="dxa" w:w="2581"/>
            <w:vAlign w:val="top"/>
            <w:shd w:fill="E7E6E6"/>
          </w:tcPr>
          <w:p>
            <w:pPr>
              <w:spacing w:after="0"/>
            </w:pPr>
            <w:r>
              <w:rPr>
                <w:rFonts w:ascii="Times New Roman" w:hAnsi="Times New Roman" w:eastAsia="Times New Roman"/>
                <w:sz w:val="16"/>
              </w:rPr>
            </w:r>
            <w:r>
              <w:rPr>
                <w:rFonts w:ascii="Times New Roman" w:hAnsi="Times New Roman" w:eastAsia="Times New Roman"/>
                <w:b/>
                <w:i w:val="0"/>
                <w:sz w:val="16"/>
              </w:rPr>
              <w:t>Employment income</w:t>
            </w:r>
          </w:p>
        </w:tc>
        <w:tc>
          <w:tcPr>
            <w:tcW w:type="dxa" w:w="2581"/>
            <w:vAlign w:val="top"/>
            <w:shd w:fill="E7E6E6"/>
          </w:tcPr>
          <w:p>
            <w:pPr>
              <w:spacing w:after="0"/>
            </w:pPr>
            <w:r>
              <w:rPr>
                <w:rFonts w:ascii="Times New Roman" w:hAnsi="Times New Roman" w:eastAsia="Times New Roman"/>
                <w:sz w:val="16"/>
              </w:rPr>
            </w:r>
            <w:r>
              <w:rPr>
                <w:rFonts w:ascii="Times New Roman" w:hAnsi="Times New Roman" w:eastAsia="Times New Roman"/>
                <w:b/>
                <w:i w:val="0"/>
                <w:sz w:val="16"/>
              </w:rPr>
              <w:t>Investment income</w:t>
            </w:r>
          </w:p>
        </w:tc>
      </w:tr>
      <w:tr>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Transactions (inclusions)</w:t>
            </w:r>
          </w:p>
        </w:tc>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Amounts to be included in income under section 7, except amounts referred to in subsection (3).</w:t>
            </w:r>
          </w:p>
        </w:tc>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Amounts to be included in income under section 8, except amounts referred to in subsection (3).</w:t>
            </w:r>
          </w:p>
        </w:tc>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Amounts to be included in income under section 9, except amounts referred to in subsection (3).</w:t>
            </w:r>
          </w:p>
        </w:tc>
      </w:tr>
      <w:tr>
        <w:tc>
          <w:tcPr>
            <w:tcW w:type="dxa" w:w="2581"/>
            <w:vAlign w:val="top"/>
            <w:shd w:fill="F2F2F2"/>
          </w:tcPr>
          <w:p>
            <w:pPr>
              <w:spacing w:after="0"/>
            </w:pPr>
            <w:r>
              <w:rPr>
                <w:rFonts w:ascii="Times New Roman" w:hAnsi="Times New Roman" w:eastAsia="Times New Roman"/>
                <w:sz w:val="16"/>
              </w:rPr>
            </w:r>
            <w:r>
              <w:rPr>
                <w:rFonts w:ascii="Times New Roman" w:hAnsi="Times New Roman" w:eastAsia="Times New Roman"/>
                <w:b/>
                <w:i w:val="0"/>
                <w:sz w:val="16"/>
              </w:rPr>
              <w:t>Less: deductible amounts</w:t>
            </w:r>
          </w:p>
        </w:tc>
        <w:tc>
          <w:tcPr>
            <w:tcW w:type="dxa" w:w="2581"/>
            <w:vAlign w:val="top"/>
            <w:shd w:fill="F2F2F2"/>
          </w:tcPr>
          <w:p>
            <w:pPr>
              <w:spacing w:after="0"/>
            </w:pPr>
            <w:r>
              <w:rPr>
                <w:rFonts w:ascii="Times New Roman" w:hAnsi="Times New Roman" w:eastAsia="Times New Roman"/>
                <w:sz w:val="16"/>
              </w:rPr>
            </w:r>
            <w:r>
              <w:rPr>
                <w:rFonts w:ascii="Times New Roman" w:hAnsi="Times New Roman" w:eastAsia="Times New Roman"/>
                <w:b w:val="0"/>
                <w:i w:val="0"/>
                <w:sz w:val="16"/>
              </w:rPr>
            </w:r>
          </w:p>
        </w:tc>
        <w:tc>
          <w:tcPr>
            <w:tcW w:type="dxa" w:w="2581"/>
            <w:vAlign w:val="top"/>
            <w:shd w:fill="F2F2F2"/>
          </w:tcPr>
          <w:p>
            <w:pPr>
              <w:spacing w:after="0"/>
            </w:pPr>
            <w:r>
              <w:rPr>
                <w:rFonts w:ascii="Times New Roman" w:hAnsi="Times New Roman" w:eastAsia="Times New Roman"/>
                <w:sz w:val="16"/>
              </w:rPr>
            </w:r>
            <w:r>
              <w:rPr>
                <w:rFonts w:ascii="Times New Roman" w:hAnsi="Times New Roman" w:eastAsia="Times New Roman"/>
                <w:b w:val="0"/>
                <w:i w:val="0"/>
                <w:sz w:val="16"/>
              </w:rPr>
            </w:r>
          </w:p>
        </w:tc>
        <w:tc>
          <w:tcPr>
            <w:tcW w:type="dxa" w:w="2581"/>
            <w:vAlign w:val="top"/>
            <w:shd w:fill="F2F2F2"/>
          </w:tcPr>
          <w:p>
            <w:pPr>
              <w:spacing w:after="0"/>
            </w:pPr>
            <w:r>
              <w:rPr>
                <w:rFonts w:ascii="Times New Roman" w:hAnsi="Times New Roman" w:eastAsia="Times New Roman"/>
                <w:sz w:val="16"/>
              </w:rPr>
            </w:r>
            <w:r>
              <w:rPr>
                <w:rFonts w:ascii="Times New Roman" w:hAnsi="Times New Roman" w:eastAsia="Times New Roman"/>
                <w:b w:val="0"/>
                <w:i w:val="0"/>
                <w:sz w:val="16"/>
              </w:rPr>
            </w:r>
          </w:p>
        </w:tc>
      </w:tr>
      <w:tr>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Amounts claimable under sections 13 to 21</w:t>
            </w:r>
          </w:p>
        </w:tc>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Deduction may be claimed.</w:t>
            </w:r>
          </w:p>
        </w:tc>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Not applicable.</w:t>
            </w:r>
          </w:p>
        </w:tc>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Deduction may be claimed.</w:t>
            </w:r>
          </w:p>
        </w:tc>
      </w:tr>
      <w:tr>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Amounts set aside in a risk-bearing fund under section 59(1A)/(1B)</w:t>
            </w:r>
          </w:p>
        </w:tc>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Banking businesses and cooperative institutions may claim deduction.</w:t>
            </w:r>
          </w:p>
        </w:tc>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Not applicable.</w:t>
            </w:r>
          </w:p>
        </w:tc>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Not applicable.</w:t>
            </w:r>
          </w:p>
        </w:tc>
      </w:tr>
      <w:tr>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Amounts claimable under section 60(2)(b)</w:t>
            </w:r>
          </w:p>
        </w:tc>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General insurance businesses may claim deduction.</w:t>
            </w:r>
          </w:p>
        </w:tc>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Not applicable.</w:t>
            </w:r>
          </w:p>
        </w:tc>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Not applicable.</w:t>
            </w:r>
          </w:p>
        </w:tc>
      </w:tr>
      <w:tr>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Tax paid abroad under section 71(4)</w:t>
            </w:r>
          </w:p>
        </w:tc>
        <w:tc>
          <w:tcPr>
            <w:tcW w:type="dxa" w:w="2581"/>
            <w:vAlign w:val="top"/>
          </w:tcPr>
          <w:p>
            <w:pPr>
              <w:spacing w:after="0"/>
            </w:pPr>
            <w:r>
              <w:rPr>
                <w:rFonts w:ascii="Times New Roman" w:hAnsi="Times New Roman" w:eastAsia="Times New Roman"/>
                <w:sz w:val="16"/>
              </w:rPr>
              <w:t>If foreign tax adjustment is not claimed, the amount may be claimed as expense.</w:t>
            </w:r>
            <w:r>
              <w:rPr>
                <w:rFonts w:ascii="Times New Roman" w:hAnsi="Times New Roman" w:eastAsia="Times New Roman"/>
                <w:b w:val="0"/>
                <w:i w:val="0"/>
                <w:sz w:val="16"/>
              </w:rPr>
            </w:r>
          </w:p>
        </w:tc>
        <w:tc>
          <w:tcPr>
            <w:tcW w:type="dxa" w:w="2581"/>
            <w:vAlign w:val="top"/>
          </w:tcPr>
          <w:p>
            <w:pPr>
              <w:spacing w:after="0"/>
            </w:pPr>
            <w:r>
              <w:rPr>
                <w:rFonts w:ascii="Times New Roman" w:hAnsi="Times New Roman" w:eastAsia="Times New Roman"/>
                <w:sz w:val="16"/>
              </w:rPr>
              <w:t>If foreign tax adjustment is not claimed, the amount may be claimed as expense.</w:t>
            </w:r>
            <w:r>
              <w:rPr>
                <w:rFonts w:ascii="Times New Roman" w:hAnsi="Times New Roman" w:eastAsia="Times New Roman"/>
                <w:b w:val="0"/>
                <w:i w:val="0"/>
                <w:sz w:val="16"/>
              </w:rPr>
            </w:r>
          </w:p>
        </w:tc>
        <w:tc>
          <w:tcPr>
            <w:tcW w:type="dxa" w:w="2581"/>
            <w:vAlign w:val="top"/>
          </w:tcPr>
          <w:p>
            <w:pPr>
              <w:spacing w:after="0"/>
            </w:pPr>
            <w:r>
              <w:rPr>
                <w:rFonts w:ascii="Times New Roman" w:hAnsi="Times New Roman" w:eastAsia="Times New Roman"/>
                <w:sz w:val="16"/>
              </w:rPr>
              <w:t>If foreign tax adjustment is not claimed, the amount may be claimed as expense.</w:t>
            </w:r>
            <w:r>
              <w:rPr>
                <w:rFonts w:ascii="Times New Roman" w:hAnsi="Times New Roman" w:eastAsia="Times New Roman"/>
                <w:b w:val="0"/>
                <w:i w:val="0"/>
                <w:sz w:val="16"/>
              </w:rPr>
            </w:r>
          </w:p>
        </w:tc>
      </w:tr>
      <w:tr>
        <w:tc>
          <w:tcPr>
            <w:tcW w:type="dxa" w:w="2581"/>
            <w:vAlign w:val="top"/>
            <w:shd w:fill="F2F2F2"/>
          </w:tcPr>
          <w:p>
            <w:pPr>
              <w:spacing w:after="0"/>
            </w:pPr>
            <w:r>
              <w:rPr>
                <w:rFonts w:ascii="Times New Roman" w:hAnsi="Times New Roman" w:eastAsia="Times New Roman"/>
                <w:sz w:val="16"/>
              </w:rPr>
            </w:r>
            <w:r>
              <w:rPr>
                <w:rFonts w:ascii="Times New Roman" w:hAnsi="Times New Roman" w:eastAsia="Times New Roman"/>
                <w:b/>
                <w:i w:val="0"/>
                <w:sz w:val="16"/>
              </w:rPr>
              <w:t>Result after inclusions and deductions</w:t>
            </w:r>
          </w:p>
        </w:tc>
        <w:tc>
          <w:tcPr>
            <w:tcW w:type="dxa" w:w="2581"/>
            <w:vAlign w:val="top"/>
            <w:shd w:fill="F2F2F2"/>
          </w:tcPr>
          <w:p>
            <w:pPr>
              <w:spacing w:after="0"/>
            </w:pPr>
            <w:r>
              <w:rPr>
                <w:rFonts w:ascii="Times New Roman" w:hAnsi="Times New Roman" w:eastAsia="Times New Roman"/>
                <w:sz w:val="16"/>
              </w:rPr>
            </w:r>
            <w:r>
              <w:rPr>
                <w:rFonts w:ascii="Times New Roman" w:hAnsi="Times New Roman" w:eastAsia="Times New Roman"/>
                <w:b w:val="0"/>
                <w:i w:val="0"/>
                <w:sz w:val="16"/>
              </w:rPr>
              <w:t>Income</w:t>
            </w:r>
          </w:p>
        </w:tc>
        <w:tc>
          <w:tcPr>
            <w:tcW w:type="dxa" w:w="2581"/>
            <w:vAlign w:val="top"/>
            <w:shd w:fill="F2F2F2"/>
          </w:tcPr>
          <w:p>
            <w:pPr>
              <w:spacing w:after="0"/>
            </w:pPr>
            <w:r>
              <w:rPr>
                <w:rFonts w:ascii="Times New Roman" w:hAnsi="Times New Roman" w:eastAsia="Times New Roman"/>
                <w:sz w:val="16"/>
              </w:rPr>
            </w:r>
            <w:r>
              <w:rPr>
                <w:rFonts w:ascii="Times New Roman" w:hAnsi="Times New Roman" w:eastAsia="Times New Roman"/>
                <w:b w:val="0"/>
                <w:i w:val="0"/>
                <w:sz w:val="16"/>
              </w:rPr>
              <w:t>Income</w:t>
            </w:r>
          </w:p>
        </w:tc>
        <w:tc>
          <w:tcPr>
            <w:tcW w:type="dxa" w:w="2581"/>
            <w:vAlign w:val="top"/>
            <w:shd w:fill="F2F2F2"/>
          </w:tcPr>
          <w:p>
            <w:pPr>
              <w:spacing w:after="0"/>
            </w:pPr>
            <w:r>
              <w:rPr>
                <w:rFonts w:ascii="Times New Roman" w:hAnsi="Times New Roman" w:eastAsia="Times New Roman"/>
                <w:sz w:val="16"/>
              </w:rPr>
            </w:r>
            <w:r>
              <w:rPr>
                <w:rFonts w:ascii="Times New Roman" w:hAnsi="Times New Roman" w:eastAsia="Times New Roman"/>
                <w:b w:val="0"/>
                <w:i w:val="0"/>
                <w:sz w:val="16"/>
              </w:rPr>
              <w:t>Income</w:t>
            </w:r>
          </w:p>
        </w:tc>
      </w:tr>
      <w:tr>
        <w:tc>
          <w:tcPr>
            <w:tcW w:type="dxa" w:w="2581"/>
            <w:vAlign w:val="top"/>
            <w:shd w:fill="F2F2F2"/>
          </w:tcPr>
          <w:p>
            <w:pPr>
              <w:spacing w:after="0"/>
            </w:pPr>
            <w:r>
              <w:rPr>
                <w:rFonts w:ascii="Times New Roman" w:hAnsi="Times New Roman" w:eastAsia="Times New Roman"/>
                <w:sz w:val="16"/>
              </w:rPr>
            </w:r>
            <w:r>
              <w:rPr>
                <w:rFonts w:ascii="Times New Roman" w:hAnsi="Times New Roman" w:eastAsia="Times New Roman"/>
                <w:b/>
                <w:i w:val="0"/>
                <w:sz w:val="16"/>
              </w:rPr>
              <w:t>Less: amounts not to be included in assessable income</w:t>
            </w:r>
          </w:p>
        </w:tc>
        <w:tc>
          <w:tcPr>
            <w:tcW w:type="dxa" w:w="2581"/>
            <w:vAlign w:val="top"/>
            <w:shd w:fill="F2F2F2"/>
          </w:tcPr>
          <w:p>
            <w:pPr>
              <w:spacing w:after="0"/>
            </w:pPr>
            <w:r>
              <w:rPr>
                <w:rFonts w:ascii="Times New Roman" w:hAnsi="Times New Roman" w:eastAsia="Times New Roman"/>
                <w:sz w:val="16"/>
              </w:rPr>
            </w:r>
            <w:r>
              <w:rPr>
                <w:rFonts w:ascii="Times New Roman" w:hAnsi="Times New Roman" w:eastAsia="Times New Roman"/>
                <w:b w:val="0"/>
                <w:i w:val="0"/>
                <w:sz w:val="16"/>
              </w:rPr>
            </w:r>
          </w:p>
        </w:tc>
        <w:tc>
          <w:tcPr>
            <w:tcW w:type="dxa" w:w="2581"/>
            <w:vAlign w:val="top"/>
            <w:shd w:fill="F2F2F2"/>
          </w:tcPr>
          <w:p>
            <w:pPr>
              <w:spacing w:after="0"/>
            </w:pPr>
            <w:r>
              <w:rPr>
                <w:rFonts w:ascii="Times New Roman" w:hAnsi="Times New Roman" w:eastAsia="Times New Roman"/>
                <w:sz w:val="16"/>
              </w:rPr>
            </w:r>
            <w:r>
              <w:rPr>
                <w:rFonts w:ascii="Times New Roman" w:hAnsi="Times New Roman" w:eastAsia="Times New Roman"/>
                <w:b w:val="0"/>
                <w:i w:val="0"/>
                <w:sz w:val="16"/>
              </w:rPr>
            </w:r>
          </w:p>
        </w:tc>
        <w:tc>
          <w:tcPr>
            <w:tcW w:type="dxa" w:w="2581"/>
            <w:vAlign w:val="top"/>
            <w:shd w:fill="F2F2F2"/>
          </w:tcPr>
          <w:p>
            <w:pPr>
              <w:spacing w:after="0"/>
            </w:pPr>
            <w:r>
              <w:rPr>
                <w:rFonts w:ascii="Times New Roman" w:hAnsi="Times New Roman" w:eastAsia="Times New Roman"/>
                <w:sz w:val="16"/>
              </w:rPr>
            </w:r>
            <w:r>
              <w:rPr>
                <w:rFonts w:ascii="Times New Roman" w:hAnsi="Times New Roman" w:eastAsia="Times New Roman"/>
                <w:b w:val="0"/>
                <w:i w:val="0"/>
                <w:sz w:val="16"/>
              </w:rPr>
            </w:r>
          </w:p>
        </w:tc>
      </w:tr>
      <w:tr>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Exempt amounts under section 11 of the Act</w:t>
            </w:r>
          </w:p>
        </w:tc>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Exempt amount deducted from income.</w:t>
            </w:r>
          </w:p>
        </w:tc>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Not applicable.</w:t>
            </w:r>
          </w:p>
        </w:tc>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Exempt amount deducted from income.</w:t>
            </w:r>
          </w:p>
        </w:tc>
      </w:tr>
      <w:tr>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Tax-exempt income of an approved retirement fund under section 64 of the Act</w:t>
            </w:r>
          </w:p>
        </w:tc>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Exempt amount deducted from income.</w:t>
            </w:r>
          </w:p>
        </w:tc>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Not applicable.</w:t>
            </w:r>
          </w:p>
        </w:tc>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Not applicable.</w:t>
            </w:r>
          </w:p>
        </w:tc>
      </w:tr>
      <w:tr>
        <w:tc>
          <w:tcPr>
            <w:tcW w:type="dxa" w:w="2581"/>
            <w:vAlign w:val="top"/>
            <w:shd w:fill="F2F2F2"/>
          </w:tcPr>
          <w:p>
            <w:pPr>
              <w:spacing w:after="0"/>
            </w:pPr>
            <w:r>
              <w:rPr>
                <w:rFonts w:ascii="Times New Roman" w:hAnsi="Times New Roman" w:eastAsia="Times New Roman"/>
                <w:sz w:val="16"/>
              </w:rPr>
            </w:r>
            <w:r>
              <w:rPr>
                <w:rFonts w:ascii="Times New Roman" w:hAnsi="Times New Roman" w:eastAsia="Times New Roman"/>
                <w:b/>
                <w:i w:val="0"/>
                <w:sz w:val="16"/>
              </w:rPr>
              <w:t>Result</w:t>
            </w:r>
          </w:p>
        </w:tc>
        <w:tc>
          <w:tcPr>
            <w:tcW w:type="dxa" w:w="2581"/>
            <w:vAlign w:val="top"/>
            <w:shd w:fill="F2F2F2"/>
          </w:tcPr>
          <w:p>
            <w:pPr>
              <w:spacing w:after="0"/>
            </w:pPr>
            <w:r>
              <w:rPr>
                <w:rFonts w:ascii="Times New Roman" w:hAnsi="Times New Roman" w:eastAsia="Times New Roman"/>
                <w:sz w:val="16"/>
              </w:rPr>
            </w:r>
            <w:r>
              <w:rPr>
                <w:rFonts w:ascii="Times New Roman" w:hAnsi="Times New Roman" w:eastAsia="Times New Roman"/>
                <w:b w:val="0"/>
                <w:i w:val="0"/>
                <w:sz w:val="16"/>
              </w:rPr>
              <w:t>Assessable income</w:t>
            </w:r>
          </w:p>
        </w:tc>
        <w:tc>
          <w:tcPr>
            <w:tcW w:type="dxa" w:w="2581"/>
            <w:vAlign w:val="top"/>
            <w:shd w:fill="F2F2F2"/>
          </w:tcPr>
          <w:p>
            <w:pPr>
              <w:spacing w:after="0"/>
            </w:pPr>
            <w:r>
              <w:rPr>
                <w:rFonts w:ascii="Times New Roman" w:hAnsi="Times New Roman" w:eastAsia="Times New Roman"/>
                <w:sz w:val="16"/>
              </w:rPr>
            </w:r>
            <w:r>
              <w:rPr>
                <w:rFonts w:ascii="Times New Roman" w:hAnsi="Times New Roman" w:eastAsia="Times New Roman"/>
                <w:b w:val="0"/>
                <w:i w:val="0"/>
                <w:sz w:val="16"/>
              </w:rPr>
              <w:t>Assessable income</w:t>
            </w:r>
          </w:p>
        </w:tc>
        <w:tc>
          <w:tcPr>
            <w:tcW w:type="dxa" w:w="2581"/>
            <w:vAlign w:val="top"/>
            <w:shd w:fill="F2F2F2"/>
          </w:tcPr>
          <w:p>
            <w:pPr>
              <w:spacing w:after="0"/>
            </w:pPr>
            <w:r>
              <w:rPr>
                <w:rFonts w:ascii="Times New Roman" w:hAnsi="Times New Roman" w:eastAsia="Times New Roman"/>
                <w:sz w:val="16"/>
              </w:rPr>
            </w:r>
            <w:r>
              <w:rPr>
                <w:rFonts w:ascii="Times New Roman" w:hAnsi="Times New Roman" w:eastAsia="Times New Roman"/>
                <w:b w:val="0"/>
                <w:i w:val="0"/>
                <w:sz w:val="16"/>
              </w:rPr>
              <w:t>Assessable income</w:t>
            </w:r>
          </w:p>
        </w:tc>
      </w:tr>
    </w:tbl>
    <w:p>
      <w:pPr>
        <w:spacing w:after="80" w:line="259" w:lineRule="auto"/>
      </w:pPr>
    </w:p>
    <w:tbl>
      <w:tblPr>
        <w:tblStyle w:val="TableGrid"/>
        <w:tblW w:type="auto" w:w="0"/>
        <w:jc w:val="center"/>
        <w:tblLook w:firstColumn="1" w:firstRow="1" w:lastColumn="0" w:lastRow="0" w:noHBand="0" w:noVBand="1" w:val="04A0"/>
      </w:tblPr>
      <w:tblGrid>
        <w:gridCol w:w="5162"/>
        <w:gridCol w:w="5162"/>
      </w:tblGrid>
      <w:tr>
        <w:tc>
          <w:tcPr>
            <w:tcW w:type="dxa" w:w="5162"/>
            <w:vAlign w:val="top"/>
            <w:shd w:fill="E7E6E6"/>
          </w:tcPr>
          <w:p>
            <w:pPr>
              <w:spacing w:after="0"/>
            </w:pPr>
            <w:r>
              <w:rPr>
                <w:rFonts w:ascii="Times New Roman" w:hAnsi="Times New Roman" w:eastAsia="Times New Roman"/>
                <w:sz w:val="16"/>
              </w:rPr>
            </w:r>
            <w:r>
              <w:rPr>
                <w:rFonts w:ascii="Times New Roman" w:hAnsi="Times New Roman" w:eastAsia="Times New Roman"/>
                <w:b/>
                <w:i w:val="0"/>
                <w:sz w:val="16"/>
              </w:rPr>
              <w:t>Deduction from aggregate assessable income</w:t>
            </w:r>
          </w:p>
        </w:tc>
        <w:tc>
          <w:tcPr>
            <w:tcW w:type="dxa" w:w="5162"/>
            <w:vAlign w:val="top"/>
            <w:shd w:fill="E7E6E6"/>
          </w:tcPr>
          <w:p>
            <w:pPr>
              <w:spacing w:after="0"/>
            </w:pPr>
            <w:r>
              <w:rPr>
                <w:rFonts w:ascii="Times New Roman" w:hAnsi="Times New Roman" w:eastAsia="Times New Roman"/>
                <w:sz w:val="16"/>
              </w:rPr>
            </w:r>
            <w:r>
              <w:rPr>
                <w:rFonts w:ascii="Times New Roman" w:hAnsi="Times New Roman" w:eastAsia="Times New Roman"/>
                <w:b/>
                <w:i w:val="0"/>
                <w:sz w:val="16"/>
              </w:rPr>
              <w:t>Claim entitlement</w:t>
            </w:r>
          </w:p>
        </w:tc>
      </w:tr>
      <w:tr>
        <w:tc>
          <w:tcPr>
            <w:tcW w:type="dxa" w:w="5162"/>
            <w:vAlign w:val="top"/>
          </w:tcPr>
          <w:p>
            <w:pPr>
              <w:spacing w:after="0"/>
            </w:pPr>
            <w:r>
              <w:rPr>
                <w:rFonts w:ascii="Times New Roman" w:hAnsi="Times New Roman" w:eastAsia="Times New Roman"/>
                <w:sz w:val="16"/>
              </w:rPr>
            </w:r>
            <w:r>
              <w:rPr>
                <w:rFonts w:ascii="Times New Roman" w:hAnsi="Times New Roman" w:eastAsia="Times New Roman"/>
                <w:b w:val="0"/>
                <w:i w:val="0"/>
                <w:sz w:val="16"/>
              </w:rPr>
              <w:t>Donation amount under section 12 of the Act</w:t>
            </w:r>
          </w:p>
        </w:tc>
        <w:tc>
          <w:tcPr>
            <w:tcW w:type="dxa" w:w="5162"/>
            <w:vAlign w:val="top"/>
          </w:tcPr>
          <w:p>
            <w:pPr>
              <w:spacing w:after="0"/>
            </w:pPr>
            <w:r>
              <w:rPr>
                <w:rFonts w:ascii="Times New Roman" w:hAnsi="Times New Roman" w:eastAsia="Times New Roman"/>
                <w:sz w:val="16"/>
              </w:rPr>
            </w:r>
            <w:r>
              <w:rPr>
                <w:rFonts w:ascii="Times New Roman" w:hAnsi="Times New Roman" w:eastAsia="Times New Roman"/>
                <w:b w:val="0"/>
                <w:i w:val="0"/>
                <w:sz w:val="16"/>
              </w:rPr>
              <w:t>May be claimed as deduction.</w:t>
            </w:r>
          </w:p>
        </w:tc>
      </w:tr>
      <w:tr>
        <w:tc>
          <w:tcPr>
            <w:tcW w:type="dxa" w:w="5162"/>
            <w:vAlign w:val="top"/>
          </w:tcPr>
          <w:p>
            <w:pPr>
              <w:spacing w:after="0"/>
            </w:pPr>
            <w:r>
              <w:rPr>
                <w:rFonts w:ascii="Times New Roman" w:hAnsi="Times New Roman" w:eastAsia="Times New Roman"/>
                <w:sz w:val="16"/>
              </w:rPr>
            </w:r>
            <w:r>
              <w:rPr>
                <w:rFonts w:ascii="Times New Roman" w:hAnsi="Times New Roman" w:eastAsia="Times New Roman"/>
                <w:b w:val="0"/>
                <w:i w:val="0"/>
                <w:sz w:val="16"/>
              </w:rPr>
              <w:t>Expense by a company for heritage conservation and sports development under section 12A of the Act</w:t>
            </w:r>
          </w:p>
        </w:tc>
        <w:tc>
          <w:tcPr>
            <w:tcW w:type="dxa" w:w="5162"/>
            <w:vAlign w:val="top"/>
          </w:tcPr>
          <w:p>
            <w:pPr>
              <w:spacing w:after="0"/>
            </w:pPr>
            <w:r>
              <w:rPr>
                <w:rFonts w:ascii="Times New Roman" w:hAnsi="Times New Roman" w:eastAsia="Times New Roman"/>
                <w:sz w:val="16"/>
              </w:rPr>
            </w:r>
            <w:r>
              <w:rPr>
                <w:rFonts w:ascii="Times New Roman" w:hAnsi="Times New Roman" w:eastAsia="Times New Roman"/>
                <w:b w:val="0"/>
                <w:i w:val="0"/>
                <w:sz w:val="16"/>
              </w:rPr>
              <w:t>Only a company may claim deduction.</w:t>
            </w:r>
          </w:p>
        </w:tc>
      </w:tr>
      <w:tr>
        <w:tc>
          <w:tcPr>
            <w:tcW w:type="dxa" w:w="5162"/>
            <w:vAlign w:val="top"/>
          </w:tcPr>
          <w:p>
            <w:pPr>
              <w:spacing w:after="0"/>
            </w:pPr>
            <w:r>
              <w:rPr>
                <w:rFonts w:ascii="Times New Roman" w:hAnsi="Times New Roman" w:eastAsia="Times New Roman"/>
                <w:sz w:val="16"/>
              </w:rPr>
            </w:r>
            <w:r>
              <w:rPr>
                <w:rFonts w:ascii="Times New Roman" w:hAnsi="Times New Roman" w:eastAsia="Times New Roman"/>
                <w:b w:val="0"/>
                <w:i w:val="0"/>
                <w:sz w:val="16"/>
              </w:rPr>
              <w:t>Contribution to the Prime Minister Natural Disaster Relief Fund and to a reconstruction fund established by the Government of Nepal under section 12B of the Act</w:t>
            </w:r>
          </w:p>
        </w:tc>
        <w:tc>
          <w:tcPr>
            <w:tcW w:type="dxa" w:w="5162"/>
            <w:vAlign w:val="top"/>
          </w:tcPr>
          <w:p>
            <w:pPr>
              <w:spacing w:after="0"/>
            </w:pPr>
            <w:r>
              <w:rPr>
                <w:rFonts w:ascii="Times New Roman" w:hAnsi="Times New Roman" w:eastAsia="Times New Roman"/>
                <w:sz w:val="16"/>
              </w:rPr>
            </w:r>
            <w:r>
              <w:rPr>
                <w:rFonts w:ascii="Times New Roman" w:hAnsi="Times New Roman" w:eastAsia="Times New Roman"/>
                <w:b w:val="0"/>
                <w:i w:val="0"/>
                <w:sz w:val="16"/>
              </w:rPr>
              <w:t>A natural person and an entity may claim deduction.</w:t>
            </w:r>
          </w:p>
        </w:tc>
      </w:tr>
      <w:tr>
        <w:tc>
          <w:tcPr>
            <w:tcW w:type="dxa" w:w="5162"/>
            <w:vAlign w:val="top"/>
          </w:tcPr>
          <w:p>
            <w:pPr>
              <w:spacing w:after="0"/>
            </w:pPr>
            <w:r>
              <w:rPr>
                <w:rFonts w:ascii="Times New Roman" w:hAnsi="Times New Roman" w:eastAsia="Times New Roman"/>
                <w:sz w:val="16"/>
              </w:rPr>
            </w:r>
            <w:r>
              <w:rPr>
                <w:rFonts w:ascii="Times New Roman" w:hAnsi="Times New Roman" w:eastAsia="Times New Roman"/>
                <w:b w:val="0"/>
                <w:i w:val="0"/>
                <w:sz w:val="16"/>
              </w:rPr>
              <w:t>Grant of up to Rs. 100,000 per startup business, given as seed capital to up to five startup businesses other than associated persons under section 12C of the Act</w:t>
            </w:r>
          </w:p>
        </w:tc>
        <w:tc>
          <w:tcPr>
            <w:tcW w:type="dxa" w:w="5162"/>
            <w:vAlign w:val="top"/>
          </w:tcPr>
          <w:p>
            <w:pPr>
              <w:spacing w:after="0"/>
            </w:pPr>
            <w:r>
              <w:rPr>
                <w:rFonts w:ascii="Times New Roman" w:hAnsi="Times New Roman" w:eastAsia="Times New Roman"/>
                <w:sz w:val="16"/>
              </w:rPr>
            </w:r>
            <w:r>
              <w:rPr>
                <w:rFonts w:ascii="Times New Roman" w:hAnsi="Times New Roman" w:eastAsia="Times New Roman"/>
                <w:b w:val="0"/>
                <w:i w:val="0"/>
                <w:sz w:val="16"/>
              </w:rPr>
              <w:t>A natural person and an entity may claim deduction.</w:t>
            </w:r>
          </w:p>
        </w:tc>
      </w:tr>
      <w:tr>
        <w:tc>
          <w:tcPr>
            <w:tcW w:type="dxa" w:w="5162"/>
            <w:vAlign w:val="top"/>
          </w:tcPr>
          <w:p>
            <w:pPr>
              <w:spacing w:after="0"/>
            </w:pPr>
            <w:r>
              <w:rPr>
                <w:rFonts w:ascii="Times New Roman" w:hAnsi="Times New Roman" w:eastAsia="Times New Roman"/>
                <w:sz w:val="16"/>
              </w:rPr>
            </w:r>
            <w:r>
              <w:rPr>
                <w:rFonts w:ascii="Times New Roman" w:hAnsi="Times New Roman" w:eastAsia="Times New Roman"/>
                <w:b w:val="0"/>
                <w:i w:val="0"/>
                <w:sz w:val="16"/>
              </w:rPr>
              <w:t>Retirement contribution under section 63 of the Act</w:t>
            </w:r>
          </w:p>
        </w:tc>
        <w:tc>
          <w:tcPr>
            <w:tcW w:type="dxa" w:w="5162"/>
            <w:vAlign w:val="top"/>
          </w:tcPr>
          <w:p>
            <w:pPr>
              <w:spacing w:after="0"/>
            </w:pPr>
            <w:r>
              <w:rPr>
                <w:rFonts w:ascii="Times New Roman" w:hAnsi="Times New Roman" w:eastAsia="Times New Roman"/>
                <w:sz w:val="16"/>
              </w:rPr>
            </w:r>
            <w:r>
              <w:rPr>
                <w:rFonts w:ascii="Times New Roman" w:hAnsi="Times New Roman" w:eastAsia="Times New Roman"/>
                <w:b w:val="0"/>
                <w:i w:val="0"/>
                <w:sz w:val="16"/>
              </w:rPr>
              <w:t>Only a natural person may claim deduction.</w:t>
            </w:r>
          </w:p>
        </w:tc>
      </w:tr>
    </w:tbl>
    <w:p>
      <w:pPr>
        <w:spacing w:after="160" w:line="259" w:lineRule="auto"/>
        <w:jc w:val="center"/>
      </w:pPr>
      <w:r>
        <w:rPr>
          <w:rFonts w:ascii="Times New Roman" w:hAnsi="Times New Roman" w:eastAsia="Times New Roman"/>
          <w:b/>
          <w:i w:val="0"/>
        </w:rPr>
        <w:t>=&gt; Taxable income</w:t>
      </w:r>
    </w:p>
    <w:p>
      <w:pPr>
        <w:spacing w:after="120" w:line="259" w:lineRule="auto"/>
        <w:ind w:firstLine="317"/>
      </w:pPr>
      <w:r>
        <w:rPr>
          <w:rFonts w:ascii="Times New Roman" w:hAnsi="Times New Roman" w:eastAsia="Times New Roman"/>
          <w:b w:val="0"/>
          <w:i w:val="0"/>
        </w:rPr>
        <w:t>A natural person may have income under the heads of business, employment and investment. A person other than a natural person, that is an entity, may have income under the heads of business and investment. If a person has income under more than one head, the aggregate assessable income under all those heads is the assessable income of that taxpayer for that income year. For computing taxable income for that income year, donations to tax-exempt institutions, gifts and retirement contributions may be deducted from assessable income from any source.</w:t>
      </w:r>
    </w:p>
    <w:p>
      <w:pPr>
        <w:pStyle w:val="Heading2"/>
        <w:spacing w:after="120" w:line="259" w:lineRule="auto"/>
      </w:pPr>
      <w:r>
        <w:rPr>
          <w:rFonts w:ascii="Times New Roman" w:hAnsi="Times New Roman" w:eastAsia="Times New Roman"/>
          <w:b w:val="0"/>
          <w:i w:val="0"/>
        </w:rPr>
        <w:t>5.5 Computation of tax and rate of tax</w:t>
      </w:r>
    </w:p>
    <w:p>
      <w:pPr>
        <w:pStyle w:val="Heading3"/>
        <w:spacing w:after="120" w:line="259" w:lineRule="auto"/>
      </w:pPr>
      <w:r>
        <w:rPr>
          <w:rFonts w:ascii="Times New Roman" w:hAnsi="Times New Roman" w:eastAsia="Times New Roman"/>
          <w:b w:val="0"/>
          <w:i w:val="0"/>
        </w:rPr>
        <w:t>5.5.1 Statutory provisions on computation of tax</w:t>
      </w:r>
    </w:p>
    <w:p>
      <w:pPr>
        <w:spacing w:after="120" w:line="259" w:lineRule="auto"/>
        <w:ind w:firstLine="317"/>
      </w:pPr>
      <w:r>
        <w:rPr>
          <w:rFonts w:ascii="Times New Roman" w:hAnsi="Times New Roman" w:eastAsia="Times New Roman"/>
          <w:b w:val="0"/>
          <w:i w:val="0"/>
        </w:rPr>
        <w:t>Section 4 of the Act contains provisions on the computation of tax and the rate applicable to the amount so computed.</w:t>
      </w:r>
    </w:p>
    <w:p>
      <w:pPr>
        <w:spacing w:after="120" w:line="259" w:lineRule="auto"/>
        <w:ind w:firstLine="317"/>
      </w:pPr>
      <w:r>
        <w:rPr>
          <w:rFonts w:ascii="Times New Roman" w:hAnsi="Times New Roman" w:eastAsia="Times New Roman"/>
          <w:b w:val="0"/>
          <w:i w:val="0"/>
        </w:rPr>
        <w:t>(1) For an income year, the amount of tax required to be paid by a person referred to in section 3 shall be equal to the aggregate amount of tax required to be paid by that person in one or more capacities mentioned in clauses (a), (b) and (c) of that section.</w:t>
      </w:r>
    </w:p>
    <w:p>
      <w:pPr>
        <w:spacing w:after="120" w:line="259" w:lineRule="auto"/>
        <w:ind w:firstLine="317"/>
      </w:pPr>
      <w:r>
        <w:rPr>
          <w:rFonts w:ascii="Times New Roman" w:hAnsi="Times New Roman" w:eastAsia="Times New Roman"/>
          <w:b w:val="0"/>
          <w:i w:val="0"/>
        </w:rPr>
        <w:t>Accordingly, the tax payable by a person with taxable income in an income year, the tax payable by a foreign permanent establishment situated in Nepal on income repatriated abroad, and the tax payable on payments subject to final withholding tax constitute the tax liability of that person. If the person has one or more such capacities, the aggregate of those amounts is the tax payable by that person.</w:t>
      </w:r>
    </w:p>
    <w:p>
      <w:pPr>
        <w:spacing w:after="40" w:line="259" w:lineRule="auto"/>
      </w:pPr>
      <w:r>
        <w:rPr>
          <w:rFonts w:ascii="Times New Roman" w:hAnsi="Times New Roman" w:eastAsia="Times New Roman"/>
          <w:b/>
          <w:i w:val="0"/>
        </w:rPr>
        <w:t>Example 5.5.1</w:t>
      </w:r>
    </w:p>
    <w:p>
      <w:pPr>
        <w:spacing w:after="120" w:line="259" w:lineRule="auto"/>
        <w:ind w:firstLine="317"/>
      </w:pPr>
      <w:r>
        <w:rPr>
          <w:rFonts w:ascii="Times New Roman" w:hAnsi="Times New Roman" w:eastAsia="Times New Roman"/>
          <w:b w:val="0"/>
          <w:i w:val="0"/>
        </w:rPr>
        <w:t>Assume that the Nepal branch office of Global Life Insurance Company is a permanent establishment in Nepal of a non-resident person, operating business in Nepal after obtaining permission from the concerned authority. The tax payable by that entity on taxable income from the insurance business in Nepal, the tax withheld on dividend received by that entity from shares purchased in another company, and, if the entity sends profit to its parent company, the tax payable on that income repatriated abroad under section 2(6) of Schedule 1 are the aggregate tax amounts payable by that entity in different capacities.</w:t>
      </w:r>
    </w:p>
    <w:p>
      <w:pPr>
        <w:spacing w:after="120" w:line="259" w:lineRule="auto"/>
        <w:ind w:firstLine="317"/>
      </w:pPr>
      <w:r>
        <w:rPr>
          <w:rFonts w:ascii="Times New Roman" w:hAnsi="Times New Roman" w:eastAsia="Times New Roman"/>
          <w:b w:val="0"/>
          <w:i w:val="0"/>
        </w:rPr>
        <w:t>(2) In computing the tax payable by a person under section 3(a), the tax shall be computed by applying the relevant rates specified in Schedule 1 to the taxable income of that person for that income year. In making that computation, any tax credit claimable by that person under section 51 or section 71, or under both sections, shall be deducted.</w:t>
      </w:r>
    </w:p>
    <w:p>
      <w:pPr>
        <w:spacing w:after="120" w:line="259" w:lineRule="auto"/>
        <w:ind w:firstLine="317"/>
      </w:pPr>
      <w:r>
        <w:rPr>
          <w:rFonts w:ascii="Times New Roman" w:hAnsi="Times New Roman" w:eastAsia="Times New Roman"/>
          <w:b w:val="0"/>
          <w:i w:val="0"/>
        </w:rPr>
        <w:t>A natural person may deduct from the tax payable any claimable medical tax credit under section 51 of the Act, any claimable foreign tax adjustment under section 71 of the Act, or both, and reduce the tax liability accordingly.</w:t>
      </w:r>
    </w:p>
    <w:p>
      <w:pPr>
        <w:spacing w:after="40" w:line="259" w:lineRule="auto"/>
      </w:pPr>
      <w:r>
        <w:rPr>
          <w:rFonts w:ascii="Times New Roman" w:hAnsi="Times New Roman" w:eastAsia="Times New Roman"/>
          <w:b/>
          <w:i w:val="0"/>
        </w:rPr>
        <w:t>Example 5.5.2</w:t>
      </w:r>
    </w:p>
    <w:p>
      <w:pPr>
        <w:spacing w:after="120" w:line="259" w:lineRule="auto"/>
        <w:ind w:firstLine="317"/>
      </w:pPr>
      <w:r>
        <w:rPr>
          <w:rFonts w:ascii="Times New Roman" w:hAnsi="Times New Roman" w:eastAsia="Times New Roman"/>
          <w:b w:val="0"/>
          <w:i w:val="0"/>
        </w:rPr>
        <w:t>Assume that Sankalp Thapa, a resident person, had foreign-source employment income of Rs. 700,000 in income year 2080/81 and also paid income tax of Rs. 55,000 in the country from which that income was sourced. He incurred medical treatment expenses of Rs. 5,000 during the year. If he is a single individual, his tax liability for that income year is computed as follows:</w:t>
      </w:r>
    </w:p>
    <w:tbl>
      <w:tblPr>
        <w:tblStyle w:val="TableGrid"/>
        <w:tblW w:type="auto" w:w="0"/>
        <w:jc w:val="center"/>
        <w:tblLook w:firstColumn="1" w:firstRow="1" w:lastColumn="0" w:lastRow="0" w:noHBand="0" w:noVBand="1" w:val="04A0"/>
      </w:tblPr>
      <w:tblGrid>
        <w:gridCol w:w="5162"/>
        <w:gridCol w:w="5162"/>
      </w:tblGrid>
      <w:tr>
        <w:tc>
          <w:tcPr>
            <w:tcW w:type="dxa" w:w="5162"/>
            <w:vAlign w:val="top"/>
            <w:shd w:fill="E7E6E6"/>
          </w:tcPr>
          <w:p>
            <w:pPr>
              <w:spacing w:after="0"/>
            </w:pPr>
            <w:r>
              <w:rPr>
                <w:rFonts w:ascii="Times New Roman" w:hAnsi="Times New Roman" w:eastAsia="Times New Roman"/>
                <w:sz w:val="17"/>
              </w:rPr>
            </w:r>
            <w:r>
              <w:rPr>
                <w:rFonts w:ascii="Times New Roman" w:hAnsi="Times New Roman" w:eastAsia="Times New Roman"/>
                <w:b/>
                <w:i w:val="0"/>
                <w:sz w:val="17"/>
              </w:rPr>
              <w:t>Particulars</w:t>
            </w:r>
          </w:p>
        </w:tc>
        <w:tc>
          <w:tcPr>
            <w:tcW w:type="dxa" w:w="5162"/>
            <w:vAlign w:val="top"/>
            <w:shd w:fill="E7E6E6"/>
          </w:tcPr>
          <w:p>
            <w:pPr>
              <w:spacing w:after="0"/>
            </w:pPr>
            <w:r>
              <w:rPr>
                <w:rFonts w:ascii="Times New Roman" w:hAnsi="Times New Roman" w:eastAsia="Times New Roman"/>
                <w:sz w:val="17"/>
              </w:rPr>
            </w:r>
            <w:r>
              <w:rPr>
                <w:rFonts w:ascii="Times New Roman" w:hAnsi="Times New Roman" w:eastAsia="Times New Roman"/>
                <w:b/>
                <w:i w:val="0"/>
                <w:sz w:val="17"/>
              </w:rPr>
              <w:t>Amount (Rs.)</w:t>
            </w:r>
          </w:p>
        </w:tc>
      </w:tr>
      <w:tr>
        <w:tc>
          <w:tcPr>
            <w:tcW w:type="dxa" w:w="5162"/>
            <w:vAlign w:val="top"/>
          </w:tcPr>
          <w:p>
            <w:pPr>
              <w:spacing w:after="0"/>
            </w:pPr>
            <w:r>
              <w:rPr>
                <w:rFonts w:ascii="Times New Roman" w:hAnsi="Times New Roman" w:eastAsia="Times New Roman"/>
                <w:sz w:val="17"/>
              </w:rPr>
            </w:r>
            <w:r>
              <w:rPr>
                <w:rFonts w:ascii="Times New Roman" w:hAnsi="Times New Roman" w:eastAsia="Times New Roman"/>
                <w:b w:val="0"/>
                <w:i w:val="0"/>
                <w:sz w:val="17"/>
              </w:rPr>
              <w:t>Assessable foreign-source income</w:t>
            </w:r>
          </w:p>
        </w:tc>
        <w:tc>
          <w:tcPr>
            <w:tcW w:type="dxa" w:w="5162"/>
            <w:vAlign w:val="top"/>
          </w:tcPr>
          <w:p>
            <w:pPr>
              <w:spacing w:after="0"/>
            </w:pPr>
            <w:r>
              <w:rPr>
                <w:rFonts w:ascii="Times New Roman" w:hAnsi="Times New Roman" w:eastAsia="Times New Roman"/>
                <w:sz w:val="17"/>
              </w:rPr>
            </w:r>
            <w:r>
              <w:rPr>
                <w:rFonts w:ascii="Times New Roman" w:hAnsi="Times New Roman" w:eastAsia="Times New Roman"/>
                <w:b w:val="0"/>
                <w:i w:val="0"/>
                <w:sz w:val="17"/>
              </w:rPr>
              <w:t>700,000</w:t>
            </w:r>
          </w:p>
        </w:tc>
      </w:tr>
      <w:tr>
        <w:tc>
          <w:tcPr>
            <w:tcW w:type="dxa" w:w="5162"/>
            <w:vAlign w:val="top"/>
          </w:tcPr>
          <w:p>
            <w:pPr>
              <w:spacing w:after="0"/>
            </w:pPr>
            <w:r>
              <w:rPr>
                <w:rFonts w:ascii="Times New Roman" w:hAnsi="Times New Roman" w:eastAsia="Times New Roman"/>
                <w:sz w:val="17"/>
              </w:rPr>
            </w:r>
            <w:r>
              <w:rPr>
                <w:rFonts w:ascii="Times New Roman" w:hAnsi="Times New Roman" w:eastAsia="Times New Roman"/>
                <w:b w:val="0"/>
                <w:i w:val="0"/>
                <w:sz w:val="17"/>
              </w:rPr>
              <w:t>Less: exempt amount</w:t>
            </w:r>
          </w:p>
        </w:tc>
        <w:tc>
          <w:tcPr>
            <w:tcW w:type="dxa" w:w="5162"/>
            <w:vAlign w:val="top"/>
          </w:tcPr>
          <w:p>
            <w:pPr>
              <w:spacing w:after="0"/>
            </w:pPr>
            <w:r>
              <w:rPr>
                <w:rFonts w:ascii="Times New Roman" w:hAnsi="Times New Roman" w:eastAsia="Times New Roman"/>
                <w:sz w:val="17"/>
              </w:rPr>
            </w:r>
            <w:r>
              <w:rPr>
                <w:rFonts w:ascii="Times New Roman" w:hAnsi="Times New Roman" w:eastAsia="Times New Roman"/>
                <w:b w:val="0"/>
                <w:i w:val="0"/>
                <w:sz w:val="17"/>
              </w:rPr>
              <w:t>-</w:t>
            </w:r>
          </w:p>
        </w:tc>
      </w:tr>
      <w:tr>
        <w:tc>
          <w:tcPr>
            <w:tcW w:type="dxa" w:w="5162"/>
            <w:vAlign w:val="top"/>
          </w:tcPr>
          <w:p>
            <w:pPr>
              <w:spacing w:after="0"/>
            </w:pPr>
            <w:r>
              <w:rPr>
                <w:rFonts w:ascii="Times New Roman" w:hAnsi="Times New Roman" w:eastAsia="Times New Roman"/>
                <w:sz w:val="17"/>
              </w:rPr>
            </w:r>
            <w:r>
              <w:rPr>
                <w:rFonts w:ascii="Times New Roman" w:hAnsi="Times New Roman" w:eastAsia="Times New Roman"/>
                <w:b/>
                <w:i w:val="0"/>
                <w:sz w:val="17"/>
              </w:rPr>
              <w:t>Taxable income</w:t>
            </w:r>
          </w:p>
        </w:tc>
        <w:tc>
          <w:tcPr>
            <w:tcW w:type="dxa" w:w="5162"/>
            <w:vAlign w:val="top"/>
          </w:tcPr>
          <w:p>
            <w:pPr>
              <w:spacing w:after="0"/>
            </w:pPr>
            <w:r>
              <w:rPr>
                <w:rFonts w:ascii="Times New Roman" w:hAnsi="Times New Roman" w:eastAsia="Times New Roman"/>
                <w:sz w:val="17"/>
              </w:rPr>
            </w:r>
            <w:r>
              <w:rPr>
                <w:rFonts w:ascii="Times New Roman" w:hAnsi="Times New Roman" w:eastAsia="Times New Roman"/>
                <w:b/>
                <w:i w:val="0"/>
                <w:sz w:val="17"/>
              </w:rPr>
              <w:t>700,000</w:t>
            </w:r>
          </w:p>
        </w:tc>
      </w:tr>
      <w:tr>
        <w:tc>
          <w:tcPr>
            <w:tcW w:type="dxa" w:w="5162"/>
            <w:vAlign w:val="top"/>
          </w:tcPr>
          <w:p>
            <w:pPr>
              <w:spacing w:after="0"/>
            </w:pPr>
            <w:r>
              <w:rPr>
                <w:rFonts w:ascii="Times New Roman" w:hAnsi="Times New Roman" w:eastAsia="Times New Roman"/>
                <w:sz w:val="17"/>
              </w:rPr>
            </w:r>
            <w:r>
              <w:rPr>
                <w:rFonts w:ascii="Times New Roman" w:hAnsi="Times New Roman" w:eastAsia="Times New Roman"/>
                <w:b w:val="0"/>
                <w:i w:val="0"/>
                <w:sz w:val="17"/>
              </w:rPr>
              <w:t>Tax on first Rs. 500,000 at 1%</w:t>
            </w:r>
          </w:p>
        </w:tc>
        <w:tc>
          <w:tcPr>
            <w:tcW w:type="dxa" w:w="5162"/>
            <w:vAlign w:val="top"/>
          </w:tcPr>
          <w:p>
            <w:pPr>
              <w:spacing w:after="0"/>
            </w:pPr>
            <w:r>
              <w:rPr>
                <w:rFonts w:ascii="Times New Roman" w:hAnsi="Times New Roman" w:eastAsia="Times New Roman"/>
                <w:sz w:val="17"/>
              </w:rPr>
            </w:r>
            <w:r>
              <w:rPr>
                <w:rFonts w:ascii="Times New Roman" w:hAnsi="Times New Roman" w:eastAsia="Times New Roman"/>
                <w:b w:val="0"/>
                <w:i w:val="0"/>
                <w:sz w:val="17"/>
              </w:rPr>
              <w:t>5,000</w:t>
            </w:r>
          </w:p>
        </w:tc>
      </w:tr>
      <w:tr>
        <w:tc>
          <w:tcPr>
            <w:tcW w:type="dxa" w:w="5162"/>
            <w:vAlign w:val="top"/>
          </w:tcPr>
          <w:p>
            <w:pPr>
              <w:spacing w:after="0"/>
            </w:pPr>
            <w:r>
              <w:rPr>
                <w:rFonts w:ascii="Times New Roman" w:hAnsi="Times New Roman" w:eastAsia="Times New Roman"/>
                <w:sz w:val="17"/>
              </w:rPr>
            </w:r>
            <w:r>
              <w:rPr>
                <w:rFonts w:ascii="Times New Roman" w:hAnsi="Times New Roman" w:eastAsia="Times New Roman"/>
                <w:b w:val="0"/>
                <w:i w:val="0"/>
                <w:sz w:val="17"/>
              </w:rPr>
              <w:t>Tax on next Rs. 200,000 at 10%</w:t>
            </w:r>
          </w:p>
        </w:tc>
        <w:tc>
          <w:tcPr>
            <w:tcW w:type="dxa" w:w="5162"/>
            <w:vAlign w:val="top"/>
          </w:tcPr>
          <w:p>
            <w:pPr>
              <w:spacing w:after="0"/>
            </w:pPr>
            <w:r>
              <w:rPr>
                <w:rFonts w:ascii="Times New Roman" w:hAnsi="Times New Roman" w:eastAsia="Times New Roman"/>
                <w:sz w:val="17"/>
              </w:rPr>
            </w:r>
            <w:r>
              <w:rPr>
                <w:rFonts w:ascii="Times New Roman" w:hAnsi="Times New Roman" w:eastAsia="Times New Roman"/>
                <w:b w:val="0"/>
                <w:i w:val="0"/>
                <w:sz w:val="17"/>
              </w:rPr>
              <w:t>20,000</w:t>
            </w:r>
          </w:p>
        </w:tc>
      </w:tr>
      <w:tr>
        <w:tc>
          <w:tcPr>
            <w:tcW w:type="dxa" w:w="5162"/>
            <w:vAlign w:val="top"/>
          </w:tcPr>
          <w:p>
            <w:pPr>
              <w:spacing w:after="0"/>
            </w:pPr>
            <w:r>
              <w:rPr>
                <w:rFonts w:ascii="Times New Roman" w:hAnsi="Times New Roman" w:eastAsia="Times New Roman"/>
                <w:sz w:val="17"/>
              </w:rPr>
            </w:r>
            <w:r>
              <w:rPr>
                <w:rFonts w:ascii="Times New Roman" w:hAnsi="Times New Roman" w:eastAsia="Times New Roman"/>
                <w:b/>
                <w:i w:val="0"/>
                <w:sz w:val="17"/>
              </w:rPr>
              <w:t>Total tax liability</w:t>
            </w:r>
          </w:p>
        </w:tc>
        <w:tc>
          <w:tcPr>
            <w:tcW w:type="dxa" w:w="5162"/>
            <w:vAlign w:val="top"/>
          </w:tcPr>
          <w:p>
            <w:pPr>
              <w:spacing w:after="0"/>
            </w:pPr>
            <w:r>
              <w:rPr>
                <w:rFonts w:ascii="Times New Roman" w:hAnsi="Times New Roman" w:eastAsia="Times New Roman"/>
                <w:sz w:val="17"/>
              </w:rPr>
            </w:r>
            <w:r>
              <w:rPr>
                <w:rFonts w:ascii="Times New Roman" w:hAnsi="Times New Roman" w:eastAsia="Times New Roman"/>
                <w:b/>
                <w:i w:val="0"/>
                <w:sz w:val="17"/>
              </w:rPr>
              <w:t>25,000</w:t>
            </w:r>
          </w:p>
        </w:tc>
      </w:tr>
      <w:tr>
        <w:tc>
          <w:tcPr>
            <w:tcW w:type="dxa" w:w="5162"/>
            <w:vAlign w:val="top"/>
          </w:tcPr>
          <w:p>
            <w:pPr>
              <w:spacing w:after="0"/>
            </w:pPr>
            <w:r>
              <w:rPr>
                <w:rFonts w:ascii="Times New Roman" w:hAnsi="Times New Roman" w:eastAsia="Times New Roman"/>
                <w:sz w:val="17"/>
              </w:rPr>
              <w:t>Tax payable before foreign tax adjustment</w:t>
            </w:r>
            <w:r>
              <w:rPr>
                <w:rFonts w:ascii="Times New Roman" w:hAnsi="Times New Roman" w:eastAsia="Times New Roman"/>
                <w:b w:val="0"/>
                <w:i w:val="0"/>
                <w:sz w:val="17"/>
              </w:rPr>
            </w:r>
          </w:p>
        </w:tc>
        <w:tc>
          <w:tcPr>
            <w:tcW w:type="dxa" w:w="5162"/>
            <w:vAlign w:val="top"/>
          </w:tcPr>
          <w:p>
            <w:pPr>
              <w:spacing w:after="0"/>
            </w:pPr>
            <w:r>
              <w:rPr>
                <w:rFonts w:ascii="Times New Roman" w:hAnsi="Times New Roman" w:eastAsia="Times New Roman"/>
                <w:sz w:val="17"/>
              </w:rPr>
            </w:r>
            <w:r>
              <w:rPr>
                <w:rFonts w:ascii="Times New Roman" w:hAnsi="Times New Roman" w:eastAsia="Times New Roman"/>
                <w:b w:val="0"/>
                <w:i w:val="0"/>
                <w:sz w:val="17"/>
              </w:rPr>
              <w:t>25,000</w:t>
            </w:r>
          </w:p>
        </w:tc>
      </w:tr>
      <w:tr>
        <w:tc>
          <w:tcPr>
            <w:tcW w:type="dxa" w:w="5162"/>
            <w:vAlign w:val="top"/>
          </w:tcPr>
          <w:p>
            <w:pPr>
              <w:spacing w:after="0"/>
            </w:pPr>
            <w:r>
              <w:rPr>
                <w:rFonts w:ascii="Times New Roman" w:hAnsi="Times New Roman" w:eastAsia="Times New Roman"/>
                <w:sz w:val="17"/>
              </w:rPr>
            </w:r>
            <w:r>
              <w:rPr>
                <w:rFonts w:ascii="Times New Roman" w:hAnsi="Times New Roman" w:eastAsia="Times New Roman"/>
                <w:b w:val="0"/>
                <w:i w:val="0"/>
                <w:sz w:val="17"/>
              </w:rPr>
              <w:t>Average Nepal tax rate (tax payable before FTC / taxable income)</w:t>
            </w:r>
          </w:p>
        </w:tc>
        <w:tc>
          <w:tcPr>
            <w:tcW w:type="dxa" w:w="5162"/>
            <w:vAlign w:val="top"/>
          </w:tcPr>
          <w:p>
            <w:pPr>
              <w:spacing w:after="0"/>
            </w:pPr>
            <w:r>
              <w:rPr>
                <w:rFonts w:ascii="Times New Roman" w:hAnsi="Times New Roman" w:eastAsia="Times New Roman"/>
                <w:sz w:val="17"/>
              </w:rPr>
            </w:r>
            <w:r>
              <w:rPr>
                <w:rFonts w:ascii="Times New Roman" w:hAnsi="Times New Roman" w:eastAsia="Times New Roman"/>
                <w:b w:val="0"/>
                <w:i w:val="0"/>
                <w:sz w:val="17"/>
              </w:rPr>
              <w:t>3.57%</w:t>
            </w:r>
          </w:p>
        </w:tc>
      </w:tr>
      <w:tr>
        <w:tc>
          <w:tcPr>
            <w:tcW w:type="dxa" w:w="5162"/>
            <w:vAlign w:val="top"/>
          </w:tcPr>
          <w:p>
            <w:pPr>
              <w:spacing w:after="0"/>
            </w:pPr>
            <w:r>
              <w:rPr>
                <w:rFonts w:ascii="Times New Roman" w:hAnsi="Times New Roman" w:eastAsia="Times New Roman"/>
                <w:sz w:val="17"/>
              </w:rPr>
              <w:t>Claimable foreign tax adjustment (average Nepal tax rate x assessable foreign income)</w:t>
            </w:r>
            <w:r>
              <w:rPr>
                <w:rFonts w:ascii="Times New Roman" w:hAnsi="Times New Roman" w:eastAsia="Times New Roman"/>
                <w:b w:val="0"/>
                <w:i w:val="0"/>
                <w:sz w:val="17"/>
              </w:rPr>
            </w:r>
          </w:p>
        </w:tc>
        <w:tc>
          <w:tcPr>
            <w:tcW w:type="dxa" w:w="5162"/>
            <w:vAlign w:val="top"/>
          </w:tcPr>
          <w:p>
            <w:pPr>
              <w:spacing w:after="0"/>
            </w:pPr>
            <w:r>
              <w:rPr>
                <w:rFonts w:ascii="Times New Roman" w:hAnsi="Times New Roman" w:eastAsia="Times New Roman"/>
                <w:sz w:val="17"/>
              </w:rPr>
            </w:r>
            <w:r>
              <w:rPr>
                <w:rFonts w:ascii="Times New Roman" w:hAnsi="Times New Roman" w:eastAsia="Times New Roman"/>
                <w:b w:val="0"/>
                <w:i w:val="0"/>
                <w:sz w:val="17"/>
              </w:rPr>
              <w:t>24,990</w:t>
            </w:r>
          </w:p>
        </w:tc>
      </w:tr>
      <w:tr>
        <w:tc>
          <w:tcPr>
            <w:tcW w:type="dxa" w:w="5162"/>
            <w:vAlign w:val="top"/>
          </w:tcPr>
          <w:p>
            <w:pPr>
              <w:spacing w:after="0"/>
            </w:pPr>
            <w:r>
              <w:rPr>
                <w:rFonts w:ascii="Times New Roman" w:hAnsi="Times New Roman" w:eastAsia="Times New Roman"/>
                <w:sz w:val="17"/>
              </w:rPr>
            </w:r>
            <w:r>
              <w:rPr>
                <w:rFonts w:ascii="Times New Roman" w:hAnsi="Times New Roman" w:eastAsia="Times New Roman"/>
                <w:b w:val="0"/>
                <w:i w:val="0"/>
                <w:sz w:val="17"/>
              </w:rPr>
              <w:t>Tax paid abroad</w:t>
            </w:r>
          </w:p>
        </w:tc>
        <w:tc>
          <w:tcPr>
            <w:tcW w:type="dxa" w:w="5162"/>
            <w:vAlign w:val="top"/>
          </w:tcPr>
          <w:p>
            <w:pPr>
              <w:spacing w:after="0"/>
            </w:pPr>
            <w:r>
              <w:rPr>
                <w:rFonts w:ascii="Times New Roman" w:hAnsi="Times New Roman" w:eastAsia="Times New Roman"/>
                <w:sz w:val="17"/>
              </w:rPr>
            </w:r>
            <w:r>
              <w:rPr>
                <w:rFonts w:ascii="Times New Roman" w:hAnsi="Times New Roman" w:eastAsia="Times New Roman"/>
                <w:b w:val="0"/>
                <w:i w:val="0"/>
                <w:sz w:val="17"/>
              </w:rPr>
              <w:t>55,000</w:t>
            </w:r>
          </w:p>
        </w:tc>
      </w:tr>
      <w:tr>
        <w:tc>
          <w:tcPr>
            <w:tcW w:type="dxa" w:w="5162"/>
            <w:vAlign w:val="top"/>
          </w:tcPr>
          <w:p>
            <w:pPr>
              <w:spacing w:after="0"/>
            </w:pPr>
            <w:r>
              <w:rPr>
                <w:rFonts w:ascii="Times New Roman" w:hAnsi="Times New Roman" w:eastAsia="Times New Roman"/>
                <w:sz w:val="17"/>
              </w:rPr>
              <w:t>Foreign tax adjustment carried forward to next year</w:t>
            </w:r>
            <w:r>
              <w:rPr>
                <w:rFonts w:ascii="Times New Roman" w:hAnsi="Times New Roman" w:eastAsia="Times New Roman"/>
                <w:b w:val="0"/>
                <w:i w:val="0"/>
                <w:sz w:val="17"/>
              </w:rPr>
            </w:r>
          </w:p>
        </w:tc>
        <w:tc>
          <w:tcPr>
            <w:tcW w:type="dxa" w:w="5162"/>
            <w:vAlign w:val="top"/>
          </w:tcPr>
          <w:p>
            <w:pPr>
              <w:spacing w:after="0"/>
            </w:pPr>
            <w:r>
              <w:rPr>
                <w:rFonts w:ascii="Times New Roman" w:hAnsi="Times New Roman" w:eastAsia="Times New Roman"/>
                <w:sz w:val="17"/>
              </w:rPr>
            </w:r>
            <w:r>
              <w:rPr>
                <w:rFonts w:ascii="Times New Roman" w:hAnsi="Times New Roman" w:eastAsia="Times New Roman"/>
                <w:b w:val="0"/>
                <w:i w:val="0"/>
                <w:sz w:val="17"/>
              </w:rPr>
              <w:t>30,010</w:t>
            </w:r>
          </w:p>
        </w:tc>
      </w:tr>
    </w:tbl>
    <w:p>
      <w:pPr>
        <w:spacing w:after="120" w:line="259" w:lineRule="auto"/>
        <w:ind w:firstLine="317"/>
      </w:pPr>
      <w:r>
        <w:rPr>
          <w:rFonts w:ascii="Times New Roman" w:hAnsi="Times New Roman" w:eastAsia="Times New Roman"/>
          <w:b w:val="0"/>
          <w:i w:val="0"/>
        </w:rPr>
        <w:t>Since, after adjusting the foreign tax adjustment against the total tax liability, no tax liability remains for the year, the medical tax credit for that year cannot be adjusted in that year and is treated as claimable in the following year.</w:t>
      </w:r>
    </w:p>
    <w:p>
      <w:pPr>
        <w:pStyle w:val="Heading3"/>
        <w:spacing w:after="120" w:line="259" w:lineRule="auto"/>
      </w:pPr>
      <w:r>
        <w:rPr>
          <w:rFonts w:ascii="Times New Roman" w:hAnsi="Times New Roman" w:eastAsia="Times New Roman"/>
          <w:b w:val="0"/>
          <w:i w:val="0"/>
        </w:rPr>
        <w:t>Employment income where withholding is treated as the tax payable</w:t>
      </w:r>
    </w:p>
    <w:p>
      <w:pPr>
        <w:spacing w:after="120" w:line="259" w:lineRule="auto"/>
        <w:ind w:firstLine="317"/>
      </w:pPr>
      <w:r>
        <w:rPr>
          <w:rFonts w:ascii="Times New Roman" w:hAnsi="Times New Roman" w:eastAsia="Times New Roman"/>
          <w:b w:val="0"/>
          <w:i w:val="0"/>
        </w:rPr>
        <w:t>Notwithstanding subsection (2), the tax payable by a resident natural person under section 3(a) shall be equal to the aggregate amount of tax withheld under section 87 from payments made by the employer to that resident natural person in that income year, if all the following conditions are satisfied:</w:t>
      </w:r>
    </w:p>
    <w:p>
      <w:pPr>
        <w:spacing w:after="40" w:line="259" w:lineRule="auto"/>
      </w:pPr>
      <w:r>
        <w:rPr>
          <w:rFonts w:ascii="Times New Roman" w:hAnsi="Times New Roman" w:eastAsia="Times New Roman"/>
          <w:b w:val="0"/>
          <w:i w:val="0"/>
        </w:rPr>
        <w:t>(a) the income for that income year consists only of employment income sourced in Nepal;</w:t>
      </w:r>
    </w:p>
    <w:p>
      <w:pPr>
        <w:spacing w:after="40" w:line="259" w:lineRule="auto"/>
      </w:pPr>
      <w:r>
        <w:rPr>
          <w:rFonts w:ascii="Times New Roman" w:hAnsi="Times New Roman" w:eastAsia="Times New Roman"/>
          <w:b w:val="0"/>
          <w:i w:val="0"/>
        </w:rPr>
        <w:t>(b) all employers during that income year are resident persons and, at any one time, there is only one employer; and</w:t>
      </w:r>
    </w:p>
    <w:p>
      <w:pPr>
        <w:spacing w:after="40" w:line="259" w:lineRule="auto"/>
      </w:pPr>
      <w:r>
        <w:rPr>
          <w:rFonts w:ascii="Times New Roman" w:hAnsi="Times New Roman" w:eastAsia="Times New Roman"/>
          <w:b w:val="0"/>
          <w:i w:val="0"/>
        </w:rPr>
        <w:t>(c) the person claims only the medical tax credit in respect of medical expenses paid by the employer and the retirement contribution paid by the employer, and does not claim deduction of donation expenses under section 12.</w:t>
      </w:r>
    </w:p>
    <w:p>
      <w:pPr>
        <w:spacing w:after="120" w:line="259" w:lineRule="auto"/>
        <w:ind w:firstLine="317"/>
      </w:pPr>
      <w:r>
        <w:rPr>
          <w:rFonts w:ascii="Times New Roman" w:hAnsi="Times New Roman" w:eastAsia="Times New Roman"/>
          <w:b w:val="0"/>
          <w:i w:val="0"/>
        </w:rPr>
        <w:t>In such a case, the tax payable by that person is equal to the aggregate tax withheld at source under section 87 from payments made to that person by the employer during that income year.</w:t>
      </w:r>
    </w:p>
    <w:p>
      <w:pPr>
        <w:spacing w:after="120" w:line="259" w:lineRule="auto"/>
        <w:ind w:firstLine="317"/>
      </w:pPr>
      <w:r>
        <w:rPr>
          <w:rFonts w:ascii="Times New Roman" w:hAnsi="Times New Roman" w:eastAsia="Times New Roman"/>
          <w:b w:val="0"/>
          <w:i w:val="0"/>
        </w:rPr>
        <w:t>Under section 4(3) of the Act, if a person has only one employer at a time and claims only the medical tax credit for medical expenses paid by the employer and the retirement contribution paid by the employer, and does not claim donation expenses, the person is not required to file an income return if the tax on employment income has been withheld under section 87. Where a taxpayer changes employer during the income year, to obtain this facility the taxpayer must submit to the second employer a tax withholding certificate from the first employer showing the payment received from the first employer and the tax withheld on that payment. The second employer must compute tax by adjusting the payment made by the first employer and the tax withheld by the first employer, and must withhold tax under section 87 from the payment made by the second employer. If a person has more than one employer at the same time, the person must file an income return.</w:t>
      </w:r>
    </w:p>
    <w:p>
      <w:pPr>
        <w:spacing w:after="40" w:line="259" w:lineRule="auto"/>
      </w:pPr>
      <w:r>
        <w:rPr>
          <w:rFonts w:ascii="Times New Roman" w:hAnsi="Times New Roman" w:eastAsia="Times New Roman"/>
          <w:b/>
          <w:i w:val="0"/>
        </w:rPr>
        <w:t>Example 5.5.3</w:t>
      </w:r>
    </w:p>
    <w:p>
      <w:pPr>
        <w:spacing w:after="120" w:line="259" w:lineRule="auto"/>
        <w:ind w:firstLine="317"/>
      </w:pPr>
      <w:r>
        <w:rPr>
          <w:rFonts w:ascii="Times New Roman" w:hAnsi="Times New Roman" w:eastAsia="Times New Roman"/>
          <w:b w:val="0"/>
          <w:i w:val="0"/>
        </w:rPr>
        <w:t>Assume that Harish Mathema, an employee, is working at N.B. Ltd. in income year 2080/81. He has no income elsewhere, including other employment, except from N.B. Ltd. During that income year he received salary and allowances of Rs. 500,000 from N.B. Ltd. N.B. Ltd. deposited Rs. 80,000 in the N.B. Ltd. Retirement Fund for him and also deducted Rs. 20,000 from his salary and deposited it in the Citizens Investment Fund. If he claims deduction for the retirement contribution deposited in the retirement fund but does not claim donation expenses or medical tax credit, he is not required to file an income return. In this case, the tax withheld by N.B. Ltd. under section 87 at the time of salary payment is his tax liability.</w:t>
      </w:r>
    </w:p>
    <w:p>
      <w:pPr>
        <w:pStyle w:val="Heading3"/>
        <w:spacing w:after="120" w:line="259" w:lineRule="auto"/>
      </w:pPr>
      <w:r>
        <w:rPr>
          <w:rFonts w:ascii="Times New Roman" w:hAnsi="Times New Roman" w:eastAsia="Times New Roman"/>
          <w:b w:val="0"/>
          <w:i w:val="0"/>
        </w:rPr>
        <w:t>Presumptive tax for small resident natural-person businesses</w:t>
      </w:r>
    </w:p>
    <w:p>
      <w:pPr>
        <w:spacing w:after="120" w:line="259" w:lineRule="auto"/>
        <w:ind w:firstLine="317"/>
      </w:pPr>
      <w:r>
        <w:rPr>
          <w:rFonts w:ascii="Times New Roman" w:hAnsi="Times New Roman" w:eastAsia="Times New Roman"/>
          <w:b w:val="0"/>
          <w:i w:val="0"/>
        </w:rPr>
        <w:t>(4) Notwithstanding subsection (2), the tax payable by a resident natural person under section 3(a) for an income year shall be equal to the amount specified in section 1(7) of Schedule 1 if all the following conditions are satisfied:</w:t>
      </w:r>
    </w:p>
    <w:p>
      <w:pPr>
        <w:spacing w:after="40" w:line="259" w:lineRule="auto"/>
      </w:pPr>
      <w:r>
        <w:rPr>
          <w:rFonts w:ascii="Times New Roman" w:hAnsi="Times New Roman" w:eastAsia="Times New Roman"/>
          <w:b w:val="0"/>
          <w:i w:val="0"/>
        </w:rPr>
        <w:t>(a) during that income year, the person has only income sourced in Nepal from business;</w:t>
      </w:r>
    </w:p>
    <w:p>
      <w:pPr>
        <w:spacing w:after="40" w:line="259" w:lineRule="auto"/>
      </w:pPr>
      <w:r>
        <w:rPr>
          <w:rFonts w:ascii="Times New Roman" w:hAnsi="Times New Roman" w:eastAsia="Times New Roman"/>
          <w:b w:val="0"/>
          <w:i w:val="0"/>
        </w:rPr>
        <w:t>(a1) the person does not claim tax credit under section 51 for medical treatment expenses or under section 93 for advance tax withholding;</w:t>
      </w:r>
    </w:p>
    <w:p>
      <w:pPr>
        <w:spacing w:after="40" w:line="259" w:lineRule="auto"/>
      </w:pPr>
      <w:r>
        <w:rPr>
          <w:rFonts w:ascii="Times New Roman" w:hAnsi="Times New Roman" w:eastAsia="Times New Roman"/>
          <w:b w:val="0"/>
          <w:i w:val="0"/>
        </w:rPr>
        <w:t>(b) the income derived from business is up to Rs. 300,000 and the turnover of the business does not exceed Rs. 3,000,000;</w:t>
      </w:r>
    </w:p>
    <w:p>
      <w:pPr>
        <w:spacing w:after="40" w:line="259" w:lineRule="auto"/>
      </w:pPr>
      <w:r>
        <w:rPr>
          <w:rFonts w:ascii="Times New Roman" w:hAnsi="Times New Roman" w:eastAsia="Times New Roman"/>
          <w:b w:val="0"/>
          <w:i w:val="0"/>
        </w:rPr>
        <w:t>(c) ..........;</w:t>
      </w:r>
    </w:p>
    <w:p>
      <w:pPr>
        <w:spacing w:after="40" w:line="259" w:lineRule="auto"/>
      </w:pPr>
      <w:r>
        <w:rPr>
          <w:rFonts w:ascii="Times New Roman" w:hAnsi="Times New Roman" w:eastAsia="Times New Roman"/>
          <w:b w:val="0"/>
          <w:i w:val="0"/>
        </w:rPr>
        <w:t>(d) .......... .</w:t>
      </w:r>
    </w:p>
    <w:p>
      <w:pPr>
        <w:spacing w:after="120" w:line="259" w:lineRule="auto"/>
        <w:ind w:firstLine="317"/>
      </w:pPr>
      <w:r>
        <w:rPr>
          <w:rFonts w:ascii="Times New Roman" w:hAnsi="Times New Roman" w:eastAsia="Times New Roman"/>
          <w:b w:val="0"/>
          <w:i w:val="0"/>
        </w:rPr>
        <w:t>The purpose of this subsection is to simplify tax payment for taxpayers carrying on business up to a specified threshold by determining their income tax liability on a presumptive basis and making tax payment easier. This provision applies only where a resident natural person has income sourced in Nepal. In addition, annual turnover must not exceed Rs. 3,000,000 and income must not exceed Rs. 300,000. The taxpayer must elect to apply this provision. For this purpose, section 1(7) of Schedule 1 provides the following tax liability:</w:t>
      </w:r>
    </w:p>
    <w:p>
      <w:pPr>
        <w:spacing w:after="40" w:line="259" w:lineRule="auto"/>
      </w:pPr>
      <w:r>
        <w:rPr>
          <w:rFonts w:ascii="Times New Roman" w:hAnsi="Times New Roman" w:eastAsia="Times New Roman"/>
          <w:b w:val="0"/>
          <w:i w:val="0"/>
        </w:rPr>
        <w:t>(a) Rs. 7,500 for a natural person carrying on business in a metropolitan city or sub-metropolitan city area;</w:t>
      </w:r>
    </w:p>
    <w:p>
      <w:pPr>
        <w:spacing w:after="40" w:line="259" w:lineRule="auto"/>
      </w:pPr>
      <w:r>
        <w:rPr>
          <w:rFonts w:ascii="Times New Roman" w:hAnsi="Times New Roman" w:eastAsia="Times New Roman"/>
          <w:b w:val="0"/>
          <w:i w:val="0"/>
        </w:rPr>
        <w:t>(b) Rs. 4,000 for a natural person carrying on business in a municipality area;</w:t>
      </w:r>
    </w:p>
    <w:p>
      <w:pPr>
        <w:spacing w:after="40" w:line="259" w:lineRule="auto"/>
      </w:pPr>
      <w:r>
        <w:rPr>
          <w:rFonts w:ascii="Times New Roman" w:hAnsi="Times New Roman" w:eastAsia="Times New Roman"/>
          <w:b w:val="0"/>
          <w:i w:val="0"/>
        </w:rPr>
        <w:t>(c) Rs. 2,500 for a natural person carrying on business in an area other than the areas mentioned in clauses (a) and (b).</w:t>
      </w:r>
    </w:p>
    <w:p>
      <w:pPr>
        <w:spacing w:after="120" w:line="259" w:lineRule="auto"/>
        <w:ind w:firstLine="317"/>
      </w:pPr>
      <w:r>
        <w:rPr>
          <w:rFonts w:ascii="Times New Roman" w:hAnsi="Times New Roman" w:eastAsia="Times New Roman"/>
          <w:b w:val="0"/>
          <w:i w:val="0"/>
        </w:rPr>
        <w:t>A person paying presumptive income tax under the above provision may not adjust against the tax liability the tax withheld at source under section 88 or section 89 at the time of receiving payment, or a medical tax credit.</w:t>
      </w:r>
    </w:p>
    <w:p>
      <w:pPr>
        <w:spacing w:after="40" w:line="259" w:lineRule="auto"/>
      </w:pPr>
      <w:r>
        <w:rPr>
          <w:rFonts w:ascii="Times New Roman" w:hAnsi="Times New Roman" w:eastAsia="Times New Roman"/>
          <w:b/>
          <w:i w:val="0"/>
        </w:rPr>
        <w:t>Example 5.5.4</w:t>
      </w:r>
    </w:p>
    <w:p>
      <w:pPr>
        <w:spacing w:after="120" w:line="259" w:lineRule="auto"/>
        <w:ind w:firstLine="317"/>
      </w:pPr>
      <w:r>
        <w:rPr>
          <w:rFonts w:ascii="Times New Roman" w:hAnsi="Times New Roman" w:eastAsia="Times New Roman"/>
          <w:b w:val="0"/>
          <w:i w:val="0"/>
        </w:rPr>
        <w:t>Assume that Mintu Jonathan has a sole proprietorship business named Zenith Industry at Baneshwor, Kathmandu. In income year 2076/77 the industry made sales of Rs. 1,400,000 and earned income of Rs. 142,000. This income includes interest of Rs. 8,500 received from a bank after tax withholding of 15 percent, that is, Rs. 1,500 on interest of Rs. 10,000. During the same year he also incurred Rs. 6,000 on medical treatment. If Mintu Jonathan elects to apply section 4 of the Act, his tax liability under section 1(7) of Schedule 1 will be Rs. 7,500. However, he may not adjust the advance tax of Rs. 1,500 withheld and deposited from the interest income of the industry against his tax liability, and even though he has incurred medical treatment expenses, he may not adjust the tax credit available under section 51 against his tax liability.</w:t>
      </w:r>
    </w:p>
    <w:p>
      <w:pPr>
        <w:pStyle w:val="Heading3"/>
        <w:spacing w:after="120" w:line="259" w:lineRule="auto"/>
      </w:pPr>
      <w:r>
        <w:rPr>
          <w:rFonts w:ascii="Times New Roman" w:hAnsi="Times New Roman" w:eastAsia="Times New Roman"/>
          <w:b w:val="0"/>
          <w:i w:val="0"/>
        </w:rPr>
        <w:t>Tax on turnover basis</w:t>
      </w:r>
    </w:p>
    <w:p>
      <w:pPr>
        <w:spacing w:after="120" w:line="259" w:lineRule="auto"/>
        <w:ind w:firstLine="317"/>
      </w:pPr>
      <w:r>
        <w:rPr>
          <w:rFonts w:ascii="Times New Roman" w:hAnsi="Times New Roman" w:eastAsia="Times New Roman"/>
          <w:b w:val="0"/>
          <w:i w:val="0"/>
        </w:rPr>
        <w:t>(4A) Notwithstanding subsection (2), the tax payable on the basis of turnover by a resident natural person under section 3(a) for an income year shall be equal to the amount computed at the rate prescribed in section 1(17) of Schedule 1 if the following conditions are satisfied:</w:t>
      </w:r>
    </w:p>
    <w:p>
      <w:pPr>
        <w:spacing w:after="40" w:line="259" w:lineRule="auto"/>
      </w:pPr>
      <w:r>
        <w:rPr>
          <w:rFonts w:ascii="Times New Roman" w:hAnsi="Times New Roman" w:eastAsia="Times New Roman"/>
          <w:b w:val="0"/>
          <w:i w:val="0"/>
        </w:rPr>
        <w:t>(a) during that income year, the person has only income sourced in Nepal from business;</w:t>
      </w:r>
    </w:p>
    <w:p>
      <w:pPr>
        <w:spacing w:after="40" w:line="259" w:lineRule="auto"/>
      </w:pPr>
      <w:r>
        <w:rPr>
          <w:rFonts w:ascii="Times New Roman" w:hAnsi="Times New Roman" w:eastAsia="Times New Roman"/>
          <w:b w:val="0"/>
          <w:i w:val="0"/>
        </w:rPr>
        <w:t>(b) the taxable income derived from the business is up to Rs. 1,000,000 and the turnover of the business is more than Rs. 3,000,000 and up to Rs. 10,000,000;</w:t>
      </w:r>
    </w:p>
    <w:p>
      <w:pPr>
        <w:spacing w:after="40" w:line="259" w:lineRule="auto"/>
      </w:pPr>
      <w:r>
        <w:rPr>
          <w:rFonts w:ascii="Times New Roman" w:hAnsi="Times New Roman" w:eastAsia="Times New Roman"/>
          <w:b w:val="0"/>
          <w:i w:val="0"/>
        </w:rPr>
        <w:t>(c) .........................................;</w:t>
      </w:r>
    </w:p>
    <w:p>
      <w:pPr>
        <w:spacing w:after="40" w:line="259" w:lineRule="auto"/>
      </w:pPr>
      <w:r>
        <w:rPr>
          <w:rFonts w:ascii="Times New Roman" w:hAnsi="Times New Roman" w:eastAsia="Times New Roman"/>
          <w:b w:val="0"/>
          <w:i w:val="0"/>
        </w:rPr>
        <w:t>(d) the income is not income from consultancy or expert services provided by natural persons such as doctors, engineers, auditors, legal practitioners, sportspersons, artists and consultants.</w:t>
      </w:r>
    </w:p>
    <w:p>
      <w:pPr>
        <w:spacing w:after="120" w:line="259" w:lineRule="auto"/>
        <w:ind w:firstLine="317"/>
      </w:pPr>
      <w:r>
        <w:rPr>
          <w:rFonts w:ascii="Times New Roman" w:hAnsi="Times New Roman" w:eastAsia="Times New Roman"/>
          <w:b w:val="0"/>
          <w:i w:val="0"/>
        </w:rPr>
        <w:t>For the purpose of computing turnover under the above provision, tax under section 4(4) of the Act applies on turnover up to Rs. 3,000,000, and the following rates under section 1(17) of Schedule 1 apply on turnover exceeding that amount:</w:t>
      </w:r>
    </w:p>
    <w:p>
      <w:pPr>
        <w:spacing w:after="40" w:line="259" w:lineRule="auto"/>
      </w:pPr>
      <w:r>
        <w:rPr>
          <w:rFonts w:ascii="Times New Roman" w:hAnsi="Times New Roman" w:eastAsia="Times New Roman"/>
          <w:b w:val="0"/>
          <w:i w:val="0"/>
        </w:rPr>
        <w:t>(a) for persons carrying on transactions in goods such as gas and cigarettes with commission or value addition up to three percent: 0.25 percent of turnover exceeding Rs. 3,000,000 and up to Rs. 5,000,000, and 0.30 percent of turnover exceeding Rs. 5,000,000 and up to Rs. 10,000,000;</w:t>
      </w:r>
    </w:p>
    <w:p>
      <w:pPr>
        <w:spacing w:after="40" w:line="259" w:lineRule="auto"/>
      </w:pPr>
      <w:r>
        <w:rPr>
          <w:rFonts w:ascii="Times New Roman" w:hAnsi="Times New Roman" w:eastAsia="Times New Roman"/>
          <w:b w:val="0"/>
          <w:i w:val="0"/>
        </w:rPr>
        <w:t>(b) for persons carrying on businesses other than the business mentioned in clause (a): 1 percent of turnover exceeding Rs. 3,000,000 and up to Rs. 5,000,000, and 0.8 percent of turnover exceeding Rs. 5,000,000 and up to Rs. 10,000,000;</w:t>
      </w:r>
    </w:p>
    <w:p>
      <w:pPr>
        <w:spacing w:after="40" w:line="259" w:lineRule="auto"/>
      </w:pPr>
      <w:r>
        <w:rPr>
          <w:rFonts w:ascii="Times New Roman" w:hAnsi="Times New Roman" w:eastAsia="Times New Roman"/>
          <w:b w:val="0"/>
          <w:i w:val="0"/>
        </w:rPr>
        <w:t>(c) for persons carrying on service business: 2 percent of the turnover amount.</w:t>
      </w:r>
    </w:p>
    <w:p>
      <w:pPr>
        <w:pStyle w:val="Heading3"/>
        <w:spacing w:after="120" w:line="259" w:lineRule="auto"/>
      </w:pPr>
      <w:r>
        <w:rPr>
          <w:rFonts w:ascii="Times New Roman" w:hAnsi="Times New Roman" w:eastAsia="Times New Roman"/>
          <w:b w:val="0"/>
          <w:i w:val="0"/>
        </w:rPr>
        <w:t>Foreign permanent establishment</w:t>
      </w:r>
    </w:p>
    <w:p>
      <w:pPr>
        <w:spacing w:after="120" w:line="259" w:lineRule="auto"/>
        <w:ind w:firstLine="317"/>
      </w:pPr>
      <w:r>
        <w:rPr>
          <w:rFonts w:ascii="Times New Roman" w:hAnsi="Times New Roman" w:eastAsia="Times New Roman"/>
          <w:b w:val="0"/>
          <w:i w:val="0"/>
        </w:rPr>
        <w:t>(5) In computing the tax payable by a foreign permanent establishment under section 3(b), the tax shall be computed by applying to the income repatriated abroad by that establishment during the income year the rate specified in section 2(6) of Schedule 1.</w:t>
      </w:r>
    </w:p>
    <w:p>
      <w:pPr>
        <w:spacing w:after="120" w:line="259" w:lineRule="auto"/>
        <w:ind w:firstLine="317"/>
      </w:pPr>
      <w:r>
        <w:rPr>
          <w:rFonts w:ascii="Times New Roman" w:hAnsi="Times New Roman" w:eastAsia="Times New Roman"/>
          <w:b w:val="0"/>
          <w:i w:val="0"/>
        </w:rPr>
        <w:t>A foreign permanent establishment is taxed in the same manner as a resident person, and the income repatriated abroad is treated in the same manner as a dividend. Income repatriated abroad by a foreign permanent establishment situated in Nepal is taxed at the rate of five percent as specified in section 2(6) of Schedule 1.</w:t>
      </w:r>
    </w:p>
    <w:p>
      <w:pPr>
        <w:spacing w:after="40" w:line="259" w:lineRule="auto"/>
      </w:pPr>
      <w:r>
        <w:rPr>
          <w:rFonts w:ascii="Times New Roman" w:hAnsi="Times New Roman" w:eastAsia="Times New Roman"/>
          <w:b/>
          <w:i w:val="0"/>
        </w:rPr>
        <w:t>Example 5.5.5</w:t>
      </w:r>
    </w:p>
    <w:p>
      <w:pPr>
        <w:spacing w:after="120" w:line="259" w:lineRule="auto"/>
        <w:ind w:firstLine="317"/>
      </w:pPr>
      <w:r>
        <w:rPr>
          <w:rFonts w:ascii="Times New Roman" w:hAnsi="Times New Roman" w:eastAsia="Times New Roman"/>
          <w:b w:val="0"/>
          <w:i w:val="0"/>
        </w:rPr>
        <w:t>Assume that the branch office of Global Life Insurance Company is a permanent establishment in Nepal of a non-resident person carrying on business in Nepal after obtaining permission from the concerned authority. In fiscal year 2080/81 the entity earned income of Rs. 35,000,000 from investment insurance business in Nepal. During the year it remitted Rs. 20,000,000 to its parent company. On the income remitted abroad, it must pay tax of Rs. 1,000,000, being 5 percent under section 2(6) of Schedule 1.</w:t>
      </w:r>
    </w:p>
    <w:p>
      <w:pPr>
        <w:pStyle w:val="Heading3"/>
        <w:spacing w:after="120" w:line="259" w:lineRule="auto"/>
      </w:pPr>
      <w:r>
        <w:rPr>
          <w:rFonts w:ascii="Times New Roman" w:hAnsi="Times New Roman" w:eastAsia="Times New Roman"/>
          <w:b w:val="0"/>
          <w:i w:val="0"/>
        </w:rPr>
        <w:t>Final withholding payments</w:t>
      </w:r>
    </w:p>
    <w:p>
      <w:pPr>
        <w:spacing w:after="120" w:line="259" w:lineRule="auto"/>
        <w:ind w:firstLine="317"/>
      </w:pPr>
      <w:r>
        <w:rPr>
          <w:rFonts w:ascii="Times New Roman" w:hAnsi="Times New Roman" w:eastAsia="Times New Roman"/>
          <w:b w:val="0"/>
          <w:i w:val="0"/>
        </w:rPr>
        <w:t>(6) The tax payable by a person under section 3(c) is equal to the aggregate amount computed by applying the rates specified in sections 87, 88, 88A and 89 to each payment received by that person during the income year that is subject to final withholding tax.</w:t>
      </w:r>
    </w:p>
    <w:p>
      <w:pPr>
        <w:spacing w:after="120" w:line="259" w:lineRule="auto"/>
        <w:ind w:firstLine="317"/>
      </w:pPr>
      <w:r>
        <w:rPr>
          <w:rFonts w:ascii="Times New Roman" w:hAnsi="Times New Roman" w:eastAsia="Times New Roman"/>
          <w:b w:val="0"/>
          <w:i w:val="0"/>
        </w:rPr>
        <w:t>Because payments subject to final withholding tax specified in section 92 are not required to be included in income, the aggregate amount computed by applying the tax rates prescribed in sections 87, 88, 88A and 89 to such payments is treated as the tax liability. The provisions relating to tax withholding on payments and payments subject to final withholding tax are explained in detail in Chapter 16 of this Directive.</w:t>
      </w:r>
    </w:p>
    <w:p>
      <w:pPr>
        <w:pStyle w:val="Heading3"/>
        <w:spacing w:after="120" w:line="259" w:lineRule="auto"/>
      </w:pPr>
      <w:r>
        <w:rPr>
          <w:rFonts w:ascii="Times New Roman" w:hAnsi="Times New Roman" w:eastAsia="Times New Roman"/>
          <w:b w:val="0"/>
          <w:i w:val="0"/>
        </w:rPr>
        <w:t>5.5.2 Computation of tax liability</w:t>
      </w:r>
    </w:p>
    <w:p>
      <w:pPr>
        <w:spacing w:after="120" w:line="259" w:lineRule="auto"/>
        <w:ind w:firstLine="317"/>
      </w:pPr>
      <w:r>
        <w:rPr>
          <w:rFonts w:ascii="Times New Roman" w:hAnsi="Times New Roman" w:eastAsia="Times New Roman"/>
          <w:b w:val="0"/>
          <w:i w:val="0"/>
        </w:rPr>
        <w:t>In computing the tax liability of a person, the provisions and rates specified in section 1 or section 2 of Schedule 1 to the Act must be applied to taxable income. The following table summarises the method:</w:t>
      </w:r>
    </w:p>
    <w:tbl>
      <w:tblPr>
        <w:tblStyle w:val="TableGrid"/>
        <w:tblW w:type="auto" w:w="0"/>
        <w:jc w:val="center"/>
        <w:tblLook w:firstColumn="1" w:firstRow="1" w:lastColumn="0" w:lastRow="0" w:noHBand="0" w:noVBand="1" w:val="04A0"/>
      </w:tblPr>
      <w:tblGrid>
        <w:gridCol w:w="3442"/>
        <w:gridCol w:w="3442"/>
        <w:gridCol w:w="3442"/>
      </w:tblGrid>
      <w:tr>
        <w:tc>
          <w:tcPr>
            <w:tcW w:type="dxa" w:w="3442"/>
            <w:vAlign w:val="top"/>
            <w:shd w:fill="E7E6E6"/>
          </w:tcPr>
          <w:p>
            <w:pPr>
              <w:spacing w:after="0"/>
            </w:pPr>
            <w:r>
              <w:rPr>
                <w:rFonts w:ascii="Times New Roman" w:hAnsi="Times New Roman" w:eastAsia="Times New Roman"/>
                <w:sz w:val="16"/>
              </w:rPr>
            </w:r>
            <w:r>
              <w:rPr>
                <w:rFonts w:ascii="Times New Roman" w:hAnsi="Times New Roman" w:eastAsia="Times New Roman"/>
                <w:b/>
                <w:i w:val="0"/>
                <w:sz w:val="16"/>
              </w:rPr>
              <w:t>Taxpayer</w:t>
            </w:r>
          </w:p>
        </w:tc>
        <w:tc>
          <w:tcPr>
            <w:tcW w:type="dxa" w:w="3442"/>
            <w:vAlign w:val="top"/>
            <w:shd w:fill="E7E6E6"/>
          </w:tcPr>
          <w:p>
            <w:pPr>
              <w:spacing w:after="0"/>
            </w:pPr>
            <w:r>
              <w:rPr>
                <w:rFonts w:ascii="Times New Roman" w:hAnsi="Times New Roman" w:eastAsia="Times New Roman"/>
                <w:sz w:val="16"/>
              </w:rPr>
            </w:r>
            <w:r>
              <w:rPr>
                <w:rFonts w:ascii="Times New Roman" w:hAnsi="Times New Roman" w:eastAsia="Times New Roman"/>
                <w:b/>
                <w:i w:val="0"/>
                <w:sz w:val="16"/>
              </w:rPr>
              <w:t>Computation base / rate</w:t>
            </w:r>
          </w:p>
        </w:tc>
        <w:tc>
          <w:tcPr>
            <w:tcW w:type="dxa" w:w="3442"/>
            <w:vAlign w:val="top"/>
            <w:shd w:fill="E7E6E6"/>
          </w:tcPr>
          <w:p>
            <w:pPr>
              <w:spacing w:after="0"/>
            </w:pPr>
            <w:r>
              <w:rPr>
                <w:rFonts w:ascii="Times New Roman" w:hAnsi="Times New Roman" w:eastAsia="Times New Roman"/>
                <w:sz w:val="16"/>
              </w:rPr>
            </w:r>
            <w:r>
              <w:rPr>
                <w:rFonts w:ascii="Times New Roman" w:hAnsi="Times New Roman" w:eastAsia="Times New Roman"/>
                <w:b/>
                <w:i w:val="0"/>
                <w:sz w:val="16"/>
              </w:rPr>
              <w:t>Deductions or credits</w:t>
            </w:r>
          </w:p>
        </w:tc>
      </w:tr>
      <w:tr>
        <w:tc>
          <w:tcPr>
            <w:tcW w:type="dxa" w:w="3442"/>
            <w:vAlign w:val="top"/>
          </w:tcPr>
          <w:p>
            <w:pPr>
              <w:spacing w:after="0"/>
            </w:pPr>
            <w:r>
              <w:rPr>
                <w:rFonts w:ascii="Times New Roman" w:hAnsi="Times New Roman" w:eastAsia="Times New Roman"/>
                <w:sz w:val="16"/>
              </w:rPr>
            </w:r>
            <w:r>
              <w:rPr>
                <w:rFonts w:ascii="Times New Roman" w:hAnsi="Times New Roman" w:eastAsia="Times New Roman"/>
                <w:b w:val="0"/>
                <w:i w:val="0"/>
                <w:sz w:val="16"/>
              </w:rPr>
              <w:t>Natural person</w:t>
            </w:r>
          </w:p>
        </w:tc>
        <w:tc>
          <w:tcPr>
            <w:tcW w:type="dxa" w:w="3442"/>
            <w:vAlign w:val="top"/>
          </w:tcPr>
          <w:p>
            <w:pPr>
              <w:spacing w:after="0"/>
            </w:pPr>
            <w:r>
              <w:rPr>
                <w:rFonts w:ascii="Times New Roman" w:hAnsi="Times New Roman" w:eastAsia="Times New Roman"/>
                <w:sz w:val="16"/>
              </w:rPr>
            </w:r>
            <w:r>
              <w:rPr>
                <w:rFonts w:ascii="Times New Roman" w:hAnsi="Times New Roman" w:eastAsia="Times New Roman"/>
                <w:b w:val="0"/>
                <w:i w:val="0"/>
                <w:sz w:val="16"/>
              </w:rPr>
              <w:t>Taxable income under section 5. Tax rate under section 1 of Schedule 1. Deduct from taxable income: personal threshold, couple/dependent widower/widow threshold, remote area allowance, foreign allowance, pension threshold, disability threshold, life insurance, health insurance and private building insurance as applicable under Schedule 1.</w:t>
            </w:r>
          </w:p>
        </w:tc>
        <w:tc>
          <w:tcPr>
            <w:tcW w:type="dxa" w:w="3442"/>
            <w:vAlign w:val="top"/>
          </w:tcPr>
          <w:p>
            <w:pPr>
              <w:spacing w:after="0"/>
            </w:pPr>
            <w:r>
              <w:rPr>
                <w:rFonts w:ascii="Times New Roman" w:hAnsi="Times New Roman" w:eastAsia="Times New Roman"/>
                <w:sz w:val="16"/>
              </w:rPr>
              <w:t>After applying rates to the remaining taxable income, deduct female employment tax credit under Schedule 1, medical tax credit under section 51 and foreign tax adjustment under section 71, as applicable.</w:t>
            </w:r>
            <w:r>
              <w:rPr>
                <w:rFonts w:ascii="Times New Roman" w:hAnsi="Times New Roman" w:eastAsia="Times New Roman"/>
                <w:b w:val="0"/>
                <w:i w:val="0"/>
                <w:sz w:val="16"/>
              </w:rPr>
            </w:r>
          </w:p>
        </w:tc>
      </w:tr>
      <w:tr>
        <w:tc>
          <w:tcPr>
            <w:tcW w:type="dxa" w:w="3442"/>
            <w:vAlign w:val="top"/>
          </w:tcPr>
          <w:p>
            <w:pPr>
              <w:spacing w:after="0"/>
            </w:pPr>
            <w:r>
              <w:rPr>
                <w:rFonts w:ascii="Times New Roman" w:hAnsi="Times New Roman" w:eastAsia="Times New Roman"/>
                <w:sz w:val="16"/>
              </w:rPr>
            </w:r>
            <w:r>
              <w:rPr>
                <w:rFonts w:ascii="Times New Roman" w:hAnsi="Times New Roman" w:eastAsia="Times New Roman"/>
                <w:b w:val="0"/>
                <w:i w:val="0"/>
                <w:sz w:val="16"/>
              </w:rPr>
              <w:t>Entity</w:t>
            </w:r>
          </w:p>
        </w:tc>
        <w:tc>
          <w:tcPr>
            <w:tcW w:type="dxa" w:w="3442"/>
            <w:vAlign w:val="top"/>
          </w:tcPr>
          <w:p>
            <w:pPr>
              <w:spacing w:after="0"/>
            </w:pPr>
            <w:r>
              <w:rPr>
                <w:rFonts w:ascii="Times New Roman" w:hAnsi="Times New Roman" w:eastAsia="Times New Roman"/>
                <w:sz w:val="16"/>
              </w:rPr>
            </w:r>
            <w:r>
              <w:rPr>
                <w:rFonts w:ascii="Times New Roman" w:hAnsi="Times New Roman" w:eastAsia="Times New Roman"/>
                <w:b w:val="0"/>
                <w:i w:val="0"/>
                <w:sz w:val="16"/>
              </w:rPr>
              <w:t>Taxable income under section 5. Tax rate under section 2 of Schedule 1.</w:t>
            </w:r>
          </w:p>
        </w:tc>
        <w:tc>
          <w:tcPr>
            <w:tcW w:type="dxa" w:w="3442"/>
            <w:vAlign w:val="top"/>
          </w:tcPr>
          <w:p>
            <w:pPr>
              <w:spacing w:after="0"/>
            </w:pPr>
            <w:r>
              <w:rPr>
                <w:rFonts w:ascii="Times New Roman" w:hAnsi="Times New Roman" w:eastAsia="Times New Roman"/>
                <w:sz w:val="16"/>
              </w:rPr>
              <w:t>Deduct foreign tax adjustment under section 71, as applicable.</w:t>
            </w:r>
            <w:r>
              <w:rPr>
                <w:rFonts w:ascii="Times New Roman" w:hAnsi="Times New Roman" w:eastAsia="Times New Roman"/>
                <w:b w:val="0"/>
                <w:i w:val="0"/>
                <w:sz w:val="16"/>
              </w:rPr>
            </w:r>
          </w:p>
        </w:tc>
      </w:tr>
    </w:tbl>
    <w:p>
      <w:pPr>
        <w:spacing w:after="40" w:line="259" w:lineRule="auto"/>
      </w:pPr>
      <w:r>
        <w:rPr>
          <w:rFonts w:ascii="Times New Roman" w:hAnsi="Times New Roman" w:eastAsia="Times New Roman"/>
          <w:b w:val="0"/>
          <w:i/>
        </w:rPr>
        <w:t>Note: The following tax credits may be adjusted against the remaining tax payable:</w:t>
      </w:r>
    </w:p>
    <w:p>
      <w:pPr>
        <w:spacing w:after="20" w:line="259" w:lineRule="auto"/>
      </w:pPr>
      <w:r>
        <w:rPr>
          <w:rFonts w:ascii="Times New Roman" w:hAnsi="Times New Roman" w:eastAsia="Times New Roman"/>
          <w:b w:val="0"/>
          <w:i w:val="0"/>
        </w:rPr>
        <w:t>1. tax amount remaining out of tax paid up to previous years;</w:t>
      </w:r>
    </w:p>
    <w:p>
      <w:pPr>
        <w:spacing w:after="20" w:line="259" w:lineRule="auto"/>
      </w:pPr>
      <w:r>
        <w:rPr>
          <w:rFonts w:ascii="Times New Roman" w:hAnsi="Times New Roman" w:eastAsia="Times New Roman"/>
          <w:b w:val="0"/>
          <w:i w:val="0"/>
        </w:rPr>
        <w:t>2. tax withheld on payments other than payments subject to final withholding tax;</w:t>
      </w:r>
    </w:p>
    <w:p>
      <w:pPr>
        <w:spacing w:after="20" w:line="259" w:lineRule="auto"/>
      </w:pPr>
      <w:r>
        <w:rPr>
          <w:rFonts w:ascii="Times New Roman" w:hAnsi="Times New Roman" w:eastAsia="Times New Roman"/>
          <w:b w:val="0"/>
          <w:i w:val="0"/>
        </w:rPr>
        <w:t>3. tax not withheld at payment but deposited by the payer;</w:t>
      </w:r>
    </w:p>
    <w:p>
      <w:pPr>
        <w:spacing w:after="20" w:line="259" w:lineRule="auto"/>
      </w:pPr>
      <w:r>
        <w:rPr>
          <w:rFonts w:ascii="Times New Roman" w:hAnsi="Times New Roman" w:eastAsia="Times New Roman"/>
          <w:b w:val="0"/>
          <w:i w:val="0"/>
        </w:rPr>
        <w:t>4. tax paid in installments; and</w:t>
      </w:r>
    </w:p>
    <w:p>
      <w:pPr>
        <w:spacing w:after="20" w:line="259" w:lineRule="auto"/>
      </w:pPr>
      <w:r>
        <w:rPr>
          <w:rFonts w:ascii="Times New Roman" w:hAnsi="Times New Roman" w:eastAsia="Times New Roman"/>
          <w:b w:val="0"/>
          <w:i w:val="0"/>
        </w:rPr>
        <w:t>5. tax paid upon jeopardy assessment for a partial income year.</w:t>
      </w:r>
    </w:p>
    <w:p>
      <w:pPr>
        <w:spacing w:after="120" w:line="259" w:lineRule="auto"/>
        <w:ind w:firstLine="317"/>
      </w:pPr>
      <w:r>
        <w:rPr>
          <w:rFonts w:ascii="Times New Roman" w:hAnsi="Times New Roman" w:eastAsia="Times New Roman"/>
          <w:b w:val="0"/>
          <w:i w:val="0"/>
        </w:rPr>
        <w:t>The tax rates and the circumstances in which those rates apply are described in detail in Chapter 23 of this Directive.</w:t>
      </w:r>
    </w:p>
    <w:p>
      <w:r>
        <w:br w:type="page"/>
      </w:r>
    </w:p>
    <w:p>
      <w:pPr>
        <w:spacing w:after="160" w:line="259" w:lineRule="auto"/>
        <w:jc w:val="center"/>
      </w:pPr>
      <w:r>
        <w:rPr>
          <w:rFonts w:ascii="Times New Roman" w:hAnsi="Times New Roman" w:eastAsia="Times New Roman"/>
          <w:b/>
          <w:i w:val="0"/>
        </w:rPr>
        <w:t>Income Tax Directive, 2066</w:t>
      </w:r>
    </w:p>
    <w:p>
      <w:pPr>
        <w:spacing w:after="160" w:line="259" w:lineRule="auto"/>
        <w:jc w:val="center"/>
      </w:pPr>
      <w:r>
        <w:rPr>
          <w:rFonts w:ascii="Times New Roman" w:hAnsi="Times New Roman" w:eastAsia="Times New Roman"/>
          <w:b/>
          <w:i w:val="0"/>
        </w:rPr>
        <w:t>(Fifth Amendment, 2081)</w:t>
      </w:r>
    </w:p>
    <w:p>
      <w:pPr>
        <w:spacing w:after="160" w:line="259" w:lineRule="auto"/>
        <w:jc w:val="center"/>
      </w:pPr>
      <w:r>
        <w:rPr>
          <w:rFonts w:ascii="Times New Roman" w:hAnsi="Times New Roman" w:eastAsia="Times New Roman"/>
          <w:b/>
          <w:i w:val="0"/>
        </w:rPr>
        <w:t>English Translation - Part 6</w:t>
      </w:r>
    </w:p>
    <w:p>
      <w:pPr>
        <w:spacing w:after="160" w:line="259" w:lineRule="auto"/>
        <w:jc w:val="center"/>
      </w:pPr>
      <w:r>
        <w:rPr>
          <w:rFonts w:ascii="Times New Roman" w:hAnsi="Times New Roman" w:eastAsia="Times New Roman"/>
          <w:b/>
          <w:i w:val="0"/>
        </w:rPr>
        <w:t>Chapter 6: Amounts to be Included in Income</w:t>
      </w:r>
    </w:p>
    <w:p>
      <w:pPr>
        <w:spacing w:after="280" w:line="259" w:lineRule="auto"/>
        <w:jc w:val="center"/>
      </w:pPr>
      <w:r>
        <w:rPr>
          <w:rFonts w:ascii="Times New Roman" w:hAnsi="Times New Roman" w:eastAsia="Times New Roman"/>
          <w:b w:val="0"/>
          <w:i/>
        </w:rPr>
        <w:t>Translated from the uploaded Nepali PDF while preserving the structure, numbering and legal meaning as far as practicable. Statutory expressions have been aligned with the English terminology used in the Income Tax Act, 2002 (2058) wherever applicable.</w:t>
      </w:r>
    </w:p>
    <w:p>
      <w:r>
        <w:br w:type="page"/>
      </w:r>
    </w:p>
    <w:p>
      <w:pPr>
        <w:spacing w:after="40" w:line="259" w:lineRule="auto"/>
        <w:jc w:val="center"/>
      </w:pPr>
      <w:r>
        <w:rPr>
          <w:rFonts w:ascii="Times New Roman" w:hAnsi="Times New Roman" w:eastAsia="Times New Roman"/>
          <w:b/>
          <w:i w:val="0"/>
        </w:rPr>
        <w:t>Chapter 6</w:t>
      </w:r>
    </w:p>
    <w:p>
      <w:pPr>
        <w:spacing w:after="40" w:line="259" w:lineRule="auto"/>
        <w:jc w:val="center"/>
      </w:pPr>
      <w:r>
        <w:rPr>
          <w:rFonts w:ascii="Times New Roman" w:hAnsi="Times New Roman" w:eastAsia="Times New Roman"/>
          <w:b/>
          <w:i w:val="0"/>
        </w:rPr>
        <w:t>Amounts to be Included in Income</w:t>
      </w:r>
    </w:p>
    <w:p>
      <w:pPr>
        <w:spacing w:after="240" w:line="259" w:lineRule="auto"/>
        <w:jc w:val="center"/>
      </w:pPr>
      <w:r>
        <w:rPr>
          <w:rFonts w:ascii="Times New Roman" w:hAnsi="Times New Roman" w:eastAsia="Times New Roman"/>
          <w:b w:val="0"/>
          <w:i/>
        </w:rPr>
        <w:t>(Inclusions)</w:t>
      </w:r>
    </w:p>
    <w:p>
      <w:pPr>
        <w:pStyle w:val="Heading2"/>
        <w:spacing w:after="100" w:line="259" w:lineRule="auto"/>
      </w:pPr>
      <w:r>
        <w:rPr>
          <w:rFonts w:ascii="Times New Roman" w:hAnsi="Times New Roman" w:eastAsia="Times New Roman"/>
          <w:b w:val="0"/>
          <w:i w:val="0"/>
        </w:rPr>
        <w:t>6.1 Introduction</w:t>
      </w:r>
    </w:p>
    <w:p>
      <w:pPr>
        <w:spacing w:after="100" w:line="259" w:lineRule="auto"/>
        <w:ind w:firstLine="317"/>
      </w:pPr>
      <w:r>
        <w:rPr>
          <w:rFonts w:ascii="Times New Roman" w:hAnsi="Times New Roman" w:eastAsia="Times New Roman"/>
          <w:b w:val="0"/>
          <w:i w:val="0"/>
        </w:rPr>
        <w:t>The Income Tax Act, 2058 contains provisions for imposing tax on the taxable income of a person. The Act clearly provides for the heads of income and the amounts to be included in income. Income-earning activities are divided into four categories: income from employment, business, investment and windfall gain. These matters are described in detail in sections 7, 8 and 9 of Chapter 3 of the Act. The objective of this Chapter is to explain the provisions relating to amounts to be included in income.</w:t>
      </w:r>
    </w:p>
    <w:p>
      <w:pPr>
        <w:pStyle w:val="Heading2"/>
        <w:spacing w:after="100" w:line="259" w:lineRule="auto"/>
      </w:pPr>
      <w:r>
        <w:rPr>
          <w:rFonts w:ascii="Times New Roman" w:hAnsi="Times New Roman" w:eastAsia="Times New Roman"/>
          <w:b w:val="0"/>
          <w:i w:val="0"/>
        </w:rPr>
        <w:t>6.2 Amounts to be included in income from business</w:t>
      </w:r>
    </w:p>
    <w:p>
      <w:pPr>
        <w:pStyle w:val="Heading3"/>
        <w:spacing w:after="100" w:line="259" w:lineRule="auto"/>
      </w:pPr>
      <w:r>
        <w:rPr>
          <w:rFonts w:ascii="Times New Roman" w:hAnsi="Times New Roman" w:eastAsia="Times New Roman"/>
          <w:b w:val="0"/>
          <w:i w:val="0"/>
        </w:rPr>
        <w:t>6.2.1 Provision on computation of income from business</w:t>
      </w:r>
    </w:p>
    <w:p>
      <w:pPr>
        <w:spacing w:after="100" w:line="259" w:lineRule="auto"/>
        <w:ind w:firstLine="317"/>
      </w:pPr>
      <w:r>
        <w:rPr>
          <w:rFonts w:ascii="Times New Roman" w:hAnsi="Times New Roman" w:eastAsia="Times New Roman"/>
          <w:b w:val="0"/>
          <w:i w:val="0"/>
        </w:rPr>
        <w:t>Section 7(1) of the Act provides as follows in relation to the computation of income from business:</w:t>
      </w:r>
    </w:p>
    <w:p>
      <w:pPr>
        <w:spacing w:after="100" w:line="259" w:lineRule="auto"/>
        <w:ind w:left="317"/>
      </w:pPr>
      <w:r>
        <w:rPr>
          <w:rFonts w:ascii="Times New Roman" w:hAnsi="Times New Roman" w:eastAsia="Times New Roman"/>
          <w:b w:val="0"/>
          <w:i/>
          <w:sz w:val="18"/>
        </w:rPr>
        <w:t>7(1) The profits and gains of a person from conducting a business for an income year are the income of the person from that business for that year.</w:t>
      </w:r>
    </w:p>
    <w:p>
      <w:pPr>
        <w:spacing w:after="100" w:line="259" w:lineRule="auto"/>
        <w:ind w:firstLine="317"/>
      </w:pPr>
      <w:r>
        <w:rPr>
          <w:rFonts w:ascii="Times New Roman" w:hAnsi="Times New Roman" w:eastAsia="Times New Roman"/>
          <w:b w:val="0"/>
          <w:i w:val="0"/>
        </w:rPr>
        <w:t>Under section 2 of the Act, "business" means any industry, trade, profession or any other similar commercial transaction, and includes any past, present or prospective business of a similar kind. It does not include employment.</w:t>
      </w:r>
    </w:p>
    <w:p>
      <w:pPr>
        <w:spacing w:after="100" w:line="259" w:lineRule="auto"/>
        <w:ind w:firstLine="317"/>
      </w:pPr>
      <w:r>
        <w:rPr>
          <w:rFonts w:ascii="Times New Roman" w:hAnsi="Times New Roman" w:eastAsia="Times New Roman"/>
          <w:b w:val="0"/>
          <w:i w:val="0"/>
        </w:rPr>
        <w:t>The income of a business is the aggregate of the profit remaining after reducing expenses from receipts derived from conducting the business, and the gains arising from the disposal of other assets.</w:t>
      </w:r>
    </w:p>
    <w:p>
      <w:pPr>
        <w:pStyle w:val="Heading3"/>
        <w:spacing w:after="100" w:line="259" w:lineRule="auto"/>
      </w:pPr>
      <w:r>
        <w:rPr>
          <w:rFonts w:ascii="Times New Roman" w:hAnsi="Times New Roman" w:eastAsia="Times New Roman"/>
          <w:b w:val="0"/>
          <w:i w:val="0"/>
        </w:rPr>
        <w:t>6.2.2 Amounts to be included in business income</w:t>
      </w:r>
    </w:p>
    <w:p>
      <w:pPr>
        <w:spacing w:after="100" w:line="259" w:lineRule="auto"/>
        <w:ind w:firstLine="317"/>
      </w:pPr>
      <w:r>
        <w:rPr>
          <w:rFonts w:ascii="Times New Roman" w:hAnsi="Times New Roman" w:eastAsia="Times New Roman"/>
          <w:b w:val="0"/>
          <w:i w:val="0"/>
        </w:rPr>
        <w:t>In computing the income of a person from business, namely the profits and gains from business, the amounts mentioned in section 7(2) of the Act must be included.</w:t>
      </w:r>
    </w:p>
    <w:p>
      <w:pPr>
        <w:spacing w:after="100" w:line="259" w:lineRule="auto"/>
        <w:ind w:left="317"/>
      </w:pPr>
      <w:r>
        <w:rPr>
          <w:rFonts w:ascii="Times New Roman" w:hAnsi="Times New Roman" w:eastAsia="Times New Roman"/>
          <w:b w:val="0"/>
          <w:i/>
          <w:sz w:val="18"/>
        </w:rPr>
        <w:t>7(2) In calculating the profits and gains of a person from conducting a business for an income year, the following amounts derived by the person during that year shall be included:</w:t>
      </w:r>
    </w:p>
    <w:p>
      <w:pPr>
        <w:spacing w:after="40" w:line="259" w:lineRule="auto"/>
      </w:pPr>
      <w:r>
        <w:rPr>
          <w:rFonts w:ascii="Times New Roman" w:hAnsi="Times New Roman" w:eastAsia="Times New Roman"/>
          <w:b/>
          <w:i w:val="0"/>
        </w:rPr>
        <w:t>7(2)(a) Service charge</w:t>
      </w:r>
    </w:p>
    <w:p>
      <w:pPr>
        <w:spacing w:after="100" w:line="259" w:lineRule="auto"/>
        <w:ind w:firstLine="317"/>
      </w:pPr>
      <w:r>
        <w:rPr>
          <w:rFonts w:ascii="Times New Roman" w:hAnsi="Times New Roman" w:eastAsia="Times New Roman"/>
          <w:b w:val="0"/>
          <w:i w:val="0"/>
        </w:rPr>
        <w:t>A service charge means any fee paid to a person at market value for a service provided by that person. It includes meeting allowance, management fee and technical service charge. For example, a consultancy fee paid to a consultant for services rendered and remuneration paid to an auditor for audit services are service charges. However, salary paid to an employee working as an internal auditor falls under remuneration.</w:t>
      </w:r>
    </w:p>
    <w:p>
      <w:pPr>
        <w:spacing w:after="100" w:line="259" w:lineRule="auto"/>
        <w:ind w:firstLine="317"/>
      </w:pPr>
      <w:r>
        <w:rPr>
          <w:rFonts w:ascii="Times New Roman" w:hAnsi="Times New Roman" w:eastAsia="Times New Roman"/>
          <w:b w:val="0"/>
          <w:i w:val="0"/>
        </w:rPr>
        <w:t>Section 2 of the Act defines "service charge" as a fee paid at market value to a person for the service provided by that person, including meeting allowance, management fee or technical service charge.</w:t>
      </w:r>
    </w:p>
    <w:p>
      <w:pPr>
        <w:spacing w:after="40" w:line="259" w:lineRule="auto"/>
      </w:pPr>
      <w:r>
        <w:rPr>
          <w:rFonts w:ascii="Times New Roman" w:hAnsi="Times New Roman" w:eastAsia="Times New Roman"/>
          <w:b/>
          <w:i w:val="0"/>
        </w:rPr>
        <w:t>7(2)(b) Amounts derived from the disposal of stock-in-trade</w:t>
      </w:r>
    </w:p>
    <w:p>
      <w:pPr>
        <w:spacing w:after="100" w:line="259" w:lineRule="auto"/>
        <w:ind w:firstLine="317"/>
      </w:pPr>
      <w:r>
        <w:rPr>
          <w:rFonts w:ascii="Times New Roman" w:hAnsi="Times New Roman" w:eastAsia="Times New Roman"/>
          <w:b w:val="0"/>
          <w:i w:val="0"/>
        </w:rPr>
        <w:t>Amounts received from the sale or other disposal of stock-in-trade must be included in computing business income. Stock-in-trade means goods held for sale. Amounts derived from the main transaction of a business are treated as amounts derived from the disposal of stock-in-trade. Assets kept directly or indirectly for sale in the course of business, including packing materials, are stock-in-trade. Work-in-progress is also stock-in-trade. Depending on the nature of a person's business, the same item may have a different character. For a person trading in furniture, furniture is stock-in-trade; for another person, it may be a depreciable property.</w:t>
      </w:r>
    </w:p>
    <w:p>
      <w:pPr>
        <w:spacing w:after="100" w:line="259" w:lineRule="auto"/>
        <w:ind w:firstLine="317"/>
      </w:pPr>
      <w:r>
        <w:rPr>
          <w:rFonts w:ascii="Times New Roman" w:hAnsi="Times New Roman" w:eastAsia="Times New Roman"/>
          <w:b w:val="0"/>
          <w:i w:val="0"/>
        </w:rPr>
        <w:t>Under section 2 of the Act, "stock-in-trade" means any asset owned by a person and sold in the ordinary course of the regular business conducted by that person, an asset in work-in-progress, and stock of materials to be incorporated into such assets. It does not include an asset in foreign currency.</w:t>
      </w:r>
    </w:p>
    <w:p>
      <w:pPr>
        <w:spacing w:after="40" w:line="259" w:lineRule="auto"/>
      </w:pPr>
      <w:r>
        <w:rPr>
          <w:rFonts w:ascii="Times New Roman" w:hAnsi="Times New Roman" w:eastAsia="Times New Roman"/>
          <w:b/>
          <w:i w:val="0"/>
        </w:rPr>
        <w:t>7(2)(c) Net gains from the disposal of business assets or business liabilities computed under Chapter 8</w:t>
      </w:r>
    </w:p>
    <w:p>
      <w:pPr>
        <w:spacing w:after="100" w:line="259" w:lineRule="auto"/>
        <w:ind w:firstLine="317"/>
      </w:pPr>
      <w:r>
        <w:rPr>
          <w:rFonts w:ascii="Times New Roman" w:hAnsi="Times New Roman" w:eastAsia="Times New Roman"/>
          <w:b w:val="0"/>
          <w:i w:val="0"/>
        </w:rPr>
        <w:t>For service charges under clause (a) and amounts received from the disposal of stock-in-trade under clause (b), the gross amount paid or deemed to have been paid is included in income. Under clause (c), however, the full amount paid is not included. Instead, the net gain or profit is computed under Chapter 8 of the Act and only the net gain is included in income.</w:t>
      </w:r>
    </w:p>
    <w:p>
      <w:pPr>
        <w:spacing w:after="100" w:line="259" w:lineRule="auto"/>
        <w:ind w:firstLine="317"/>
      </w:pPr>
      <w:r>
        <w:rPr>
          <w:rFonts w:ascii="Times New Roman" w:hAnsi="Times New Roman" w:eastAsia="Times New Roman"/>
          <w:b w:val="0"/>
          <w:i w:val="0"/>
        </w:rPr>
        <w:t>The gain from the disposal of a business asset or business liability is computed under Chapter 8 of the Act. In the case of an asset, disposal includes sale, instalment sale, merger into another asset or liability, destruction, loss, partition, transfer of title, exchange, or any other means by which ownership is lost. In the case of a liability, disposal occurs when the liability is paid, released, merged into another asset or liability, cancelled, or otherwise discharged.</w:t>
      </w:r>
    </w:p>
    <w:p>
      <w:pPr>
        <w:spacing w:after="100" w:line="259" w:lineRule="auto"/>
        <w:ind w:firstLine="317"/>
      </w:pPr>
      <w:r>
        <w:rPr>
          <w:rFonts w:ascii="Times New Roman" w:hAnsi="Times New Roman" w:eastAsia="Times New Roman"/>
          <w:b w:val="0"/>
          <w:i w:val="0"/>
        </w:rPr>
        <w:t>Further explanation on the disposal of assets and liabilities is given in Chapter 22 of this Directive. Since the net gain computed under that Chapter is treated as business income, that net gain must be included while computing business income under this section. Business assets include assets other than stock-in-trade or depreciable property of a business, such as shares, land, receivables, advances, cash and bank balances. Section 2 defines "business asset" as an asset used in a business, but excludes stock-in-trade and depreciable property of the business. Additional explanation on business assets is provided in Chapter 2 of this Directive.</w:t>
      </w:r>
    </w:p>
    <w:p>
      <w:pPr>
        <w:spacing w:after="40" w:line="259" w:lineRule="auto"/>
      </w:pPr>
      <w:r>
        <w:rPr>
          <w:rFonts w:ascii="Times New Roman" w:hAnsi="Times New Roman" w:eastAsia="Times New Roman"/>
          <w:b/>
          <w:i w:val="0"/>
        </w:rPr>
        <w:t>7(2)(d) Amount deemed to be derived under paragraph (a) of section 4(2) of Schedule 2 from the disposal of depreciable property of a business</w:t>
      </w:r>
    </w:p>
    <w:p>
      <w:pPr>
        <w:spacing w:after="100" w:line="259" w:lineRule="auto"/>
        <w:ind w:firstLine="317"/>
      </w:pPr>
      <w:r>
        <w:rPr>
          <w:rFonts w:ascii="Times New Roman" w:hAnsi="Times New Roman" w:eastAsia="Times New Roman"/>
          <w:b w:val="0"/>
          <w:i w:val="0"/>
        </w:rPr>
        <w:t>An asset that is consumed, worn out or loses value because of use or the passage of time is treated as a depreciable property. Depending on the nature of the person's business, the same item can have different character. For a person buying and selling furniture, furniture is stock-in-trade; if used in another business or investment, it is a depreciable property. Generally, when an asset that is consumed, wears out or loses value by use or time is used for earning income, it is a depreciable property.</w:t>
      </w:r>
    </w:p>
    <w:p>
      <w:pPr>
        <w:spacing w:after="100" w:line="259" w:lineRule="auto"/>
        <w:ind w:firstLine="317"/>
      </w:pPr>
      <w:r>
        <w:rPr>
          <w:rFonts w:ascii="Times New Roman" w:hAnsi="Times New Roman" w:eastAsia="Times New Roman"/>
          <w:b w:val="0"/>
          <w:i w:val="0"/>
        </w:rPr>
        <w:t>Section 2 defines "depreciable property" as an asset used in a business or investment for earning income and which is likely to lose value because of wear and tear, obsolescence or the passage of time. It does not include stock-in-trade.</w:t>
      </w:r>
    </w:p>
    <w:p>
      <w:pPr>
        <w:spacing w:after="100" w:line="259" w:lineRule="auto"/>
        <w:ind w:firstLine="317"/>
      </w:pPr>
      <w:r>
        <w:rPr>
          <w:rFonts w:ascii="Times New Roman" w:hAnsi="Times New Roman" w:eastAsia="Times New Roman"/>
          <w:b w:val="0"/>
          <w:i w:val="0"/>
        </w:rPr>
        <w:t>If the amount derived from the sale or disposal of an asset within a pool of depreciable property exceeds the depreciation basis of all assets in that pool before depreciation expense is deducted, the excess amount is treated as a gain under this section and included in income. This is clarified by the following examples.</w:t>
      </w:r>
    </w:p>
    <w:p>
      <w:pPr>
        <w:spacing w:after="40" w:line="259" w:lineRule="auto"/>
      </w:pPr>
      <w:r>
        <w:rPr>
          <w:rFonts w:ascii="Times New Roman" w:hAnsi="Times New Roman" w:eastAsia="Times New Roman"/>
          <w:b/>
          <w:i w:val="0"/>
        </w:rPr>
        <w:t>Example 6.2.1</w:t>
      </w:r>
    </w:p>
    <w:p>
      <w:pPr>
        <w:spacing w:after="80" w:line="259" w:lineRule="auto"/>
        <w:ind w:firstLine="317"/>
      </w:pPr>
      <w:r>
        <w:rPr>
          <w:rFonts w:ascii="Times New Roman" w:hAnsi="Times New Roman" w:eastAsia="Times New Roman"/>
          <w:b w:val="0"/>
          <w:i w:val="0"/>
        </w:rPr>
        <w:t>Assume that ABC Company had the following class "B" assets for which depreciation was to be claimed for income year 2080/81. At the beginning of the year, the depreciation basis of furniture and computers in class "B" was Rs. 900,000. If furniture is sold for Rs. 1,000,000, the amount to be included in profits and gains is Rs. 100,000, computed as follows:</w:t>
      </w:r>
    </w:p>
    <w:tbl>
      <w:tblPr>
        <w:tblStyle w:val="TableGrid"/>
        <w:tblW w:type="auto" w:w="0"/>
        <w:jc w:val="center"/>
        <w:tblLook w:firstColumn="1" w:firstRow="1" w:lastColumn="0" w:lastRow="0" w:noHBand="0" w:noVBand="1" w:val="04A0"/>
      </w:tblPr>
      <w:tblGrid>
        <w:gridCol w:w="5162"/>
        <w:gridCol w:w="5162"/>
      </w:tblGrid>
      <w:tr>
        <w:tc>
          <w:tcPr>
            <w:tcW w:type="dxa" w:w="5162"/>
            <w:vAlign w:val="top"/>
            <w:shd w:fill="E7E6E6"/>
          </w:tcPr>
          <w:p>
            <w:pPr>
              <w:spacing w:after="0"/>
            </w:pPr>
            <w:r>
              <w:rPr>
                <w:rFonts w:ascii="Times New Roman" w:hAnsi="Times New Roman" w:eastAsia="Times New Roman"/>
                <w:sz w:val="16"/>
              </w:rPr>
            </w:r>
            <w:r>
              <w:rPr>
                <w:rFonts w:ascii="Times New Roman" w:hAnsi="Times New Roman" w:eastAsia="Times New Roman"/>
                <w:b/>
                <w:i w:val="0"/>
                <w:sz w:val="16"/>
              </w:rPr>
              <w:t>Particulars</w:t>
            </w:r>
          </w:p>
        </w:tc>
        <w:tc>
          <w:tcPr>
            <w:tcW w:type="dxa" w:w="5162"/>
            <w:vAlign w:val="top"/>
            <w:shd w:fill="E7E6E6"/>
          </w:tcPr>
          <w:p>
            <w:pPr>
              <w:spacing w:after="0"/>
            </w:pPr>
            <w:r>
              <w:rPr>
                <w:rFonts w:ascii="Times New Roman" w:hAnsi="Times New Roman" w:eastAsia="Times New Roman"/>
                <w:sz w:val="16"/>
              </w:rPr>
            </w:r>
            <w:r>
              <w:rPr>
                <w:rFonts w:ascii="Times New Roman" w:hAnsi="Times New Roman" w:eastAsia="Times New Roman"/>
                <w:b/>
                <w:i w:val="0"/>
                <w:sz w:val="16"/>
              </w:rPr>
              <w:t>Amount</w:t>
            </w:r>
          </w:p>
        </w:tc>
      </w:tr>
      <w:tr>
        <w:tc>
          <w:tcPr>
            <w:tcW w:type="dxa" w:w="5162"/>
            <w:vAlign w:val="top"/>
          </w:tcPr>
          <w:p>
            <w:pPr>
              <w:spacing w:after="0"/>
            </w:pPr>
            <w:r>
              <w:rPr>
                <w:rFonts w:ascii="Times New Roman" w:hAnsi="Times New Roman" w:eastAsia="Times New Roman"/>
                <w:sz w:val="16"/>
              </w:rPr>
            </w:r>
            <w:r>
              <w:rPr>
                <w:rFonts w:ascii="Times New Roman" w:hAnsi="Times New Roman" w:eastAsia="Times New Roman"/>
                <w:b w:val="0"/>
                <w:i w:val="0"/>
                <w:sz w:val="16"/>
              </w:rPr>
              <w:t>Depreciation basis of all assets in class "B" (A)</w:t>
            </w:r>
          </w:p>
        </w:tc>
        <w:tc>
          <w:tcPr>
            <w:tcW w:type="dxa" w:w="5162"/>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900,000</w:t>
            </w:r>
          </w:p>
        </w:tc>
      </w:tr>
      <w:tr>
        <w:tc>
          <w:tcPr>
            <w:tcW w:type="dxa" w:w="5162"/>
            <w:vAlign w:val="top"/>
          </w:tcPr>
          <w:p>
            <w:pPr>
              <w:spacing w:after="0"/>
            </w:pPr>
            <w:r>
              <w:rPr>
                <w:rFonts w:ascii="Times New Roman" w:hAnsi="Times New Roman" w:eastAsia="Times New Roman"/>
                <w:sz w:val="16"/>
              </w:rPr>
            </w:r>
            <w:r>
              <w:rPr>
                <w:rFonts w:ascii="Times New Roman" w:hAnsi="Times New Roman" w:eastAsia="Times New Roman"/>
                <w:b w:val="0"/>
                <w:i w:val="0"/>
                <w:sz w:val="16"/>
              </w:rPr>
              <w:t>Amount derived from disposal of furniture in class "B" (B)</w:t>
            </w:r>
          </w:p>
        </w:tc>
        <w:tc>
          <w:tcPr>
            <w:tcW w:type="dxa" w:w="5162"/>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1,000,000</w:t>
            </w:r>
          </w:p>
        </w:tc>
      </w:tr>
      <w:tr>
        <w:tc>
          <w:tcPr>
            <w:tcW w:type="dxa" w:w="5162"/>
            <w:vAlign w:val="top"/>
          </w:tcPr>
          <w:p>
            <w:pPr>
              <w:spacing w:after="0"/>
            </w:pPr>
            <w:r>
              <w:rPr>
                <w:rFonts w:ascii="Times New Roman" w:hAnsi="Times New Roman" w:eastAsia="Times New Roman"/>
                <w:sz w:val="16"/>
              </w:rPr>
            </w:r>
            <w:r>
              <w:rPr>
                <w:rFonts w:ascii="Times New Roman" w:hAnsi="Times New Roman" w:eastAsia="Times New Roman"/>
                <w:b w:val="0"/>
                <w:i w:val="0"/>
                <w:sz w:val="16"/>
              </w:rPr>
              <w:t>Gain (B - A)</w:t>
            </w:r>
          </w:p>
        </w:tc>
        <w:tc>
          <w:tcPr>
            <w:tcW w:type="dxa" w:w="5162"/>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100,000</w:t>
            </w:r>
          </w:p>
        </w:tc>
      </w:tr>
    </w:tbl>
    <w:p>
      <w:pPr>
        <w:spacing w:after="60" w:line="259" w:lineRule="auto"/>
      </w:pPr>
    </w:p>
    <w:p>
      <w:pPr>
        <w:spacing w:after="40" w:line="259" w:lineRule="auto"/>
      </w:pPr>
      <w:r>
        <w:rPr>
          <w:rFonts w:ascii="Times New Roman" w:hAnsi="Times New Roman" w:eastAsia="Times New Roman"/>
          <w:b/>
          <w:i w:val="0"/>
        </w:rPr>
        <w:t>Example 6.2.2</w:t>
      </w:r>
    </w:p>
    <w:p>
      <w:pPr>
        <w:spacing w:after="80" w:line="259" w:lineRule="auto"/>
        <w:ind w:firstLine="317"/>
      </w:pPr>
      <w:r>
        <w:rPr>
          <w:rFonts w:ascii="Times New Roman" w:hAnsi="Times New Roman" w:eastAsia="Times New Roman"/>
          <w:b w:val="0"/>
          <w:i w:val="0"/>
        </w:rPr>
        <w:t>If, in Example 6.2.1 above, the furniture is sold for only Rs. 800,000, the depreciation basis of class "B" assets will remain Rs. 100,000 and depreciation expense will be claimed accordingly.</w:t>
      </w:r>
    </w:p>
    <w:tbl>
      <w:tblPr>
        <w:tblStyle w:val="TableGrid"/>
        <w:tblW w:type="auto" w:w="0"/>
        <w:jc w:val="center"/>
        <w:tblLook w:firstColumn="1" w:firstRow="1" w:lastColumn="0" w:lastRow="0" w:noHBand="0" w:noVBand="1" w:val="04A0"/>
      </w:tblPr>
      <w:tblGrid>
        <w:gridCol w:w="5162"/>
        <w:gridCol w:w="5162"/>
      </w:tblGrid>
      <w:tr>
        <w:tc>
          <w:tcPr>
            <w:tcW w:type="dxa" w:w="5162"/>
            <w:vAlign w:val="top"/>
            <w:shd w:fill="E7E6E6"/>
          </w:tcPr>
          <w:p>
            <w:pPr>
              <w:spacing w:after="0"/>
            </w:pPr>
            <w:r>
              <w:rPr>
                <w:rFonts w:ascii="Times New Roman" w:hAnsi="Times New Roman" w:eastAsia="Times New Roman"/>
                <w:sz w:val="16"/>
              </w:rPr>
            </w:r>
            <w:r>
              <w:rPr>
                <w:rFonts w:ascii="Times New Roman" w:hAnsi="Times New Roman" w:eastAsia="Times New Roman"/>
                <w:b/>
                <w:i w:val="0"/>
                <w:sz w:val="16"/>
              </w:rPr>
              <w:t>Particulars</w:t>
            </w:r>
          </w:p>
        </w:tc>
        <w:tc>
          <w:tcPr>
            <w:tcW w:type="dxa" w:w="5162"/>
            <w:vAlign w:val="top"/>
            <w:shd w:fill="E7E6E6"/>
          </w:tcPr>
          <w:p>
            <w:pPr>
              <w:spacing w:after="0"/>
            </w:pPr>
            <w:r>
              <w:rPr>
                <w:rFonts w:ascii="Times New Roman" w:hAnsi="Times New Roman" w:eastAsia="Times New Roman"/>
                <w:sz w:val="16"/>
              </w:rPr>
            </w:r>
            <w:r>
              <w:rPr>
                <w:rFonts w:ascii="Times New Roman" w:hAnsi="Times New Roman" w:eastAsia="Times New Roman"/>
                <w:b/>
                <w:i w:val="0"/>
                <w:sz w:val="16"/>
              </w:rPr>
              <w:t>Amount</w:t>
            </w:r>
          </w:p>
        </w:tc>
      </w:tr>
      <w:tr>
        <w:tc>
          <w:tcPr>
            <w:tcW w:type="dxa" w:w="5162"/>
            <w:vAlign w:val="top"/>
          </w:tcPr>
          <w:p>
            <w:pPr>
              <w:spacing w:after="0"/>
            </w:pPr>
            <w:r>
              <w:rPr>
                <w:rFonts w:ascii="Times New Roman" w:hAnsi="Times New Roman" w:eastAsia="Times New Roman"/>
                <w:sz w:val="16"/>
              </w:rPr>
            </w:r>
            <w:r>
              <w:rPr>
                <w:rFonts w:ascii="Times New Roman" w:hAnsi="Times New Roman" w:eastAsia="Times New Roman"/>
                <w:b w:val="0"/>
                <w:i w:val="0"/>
                <w:sz w:val="16"/>
              </w:rPr>
              <w:t>Depreciation basis of all assets in class "B"</w:t>
            </w:r>
          </w:p>
        </w:tc>
        <w:tc>
          <w:tcPr>
            <w:tcW w:type="dxa" w:w="5162"/>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900,000</w:t>
            </w:r>
          </w:p>
        </w:tc>
      </w:tr>
      <w:tr>
        <w:tc>
          <w:tcPr>
            <w:tcW w:type="dxa" w:w="5162"/>
            <w:vAlign w:val="top"/>
          </w:tcPr>
          <w:p>
            <w:pPr>
              <w:spacing w:after="0"/>
            </w:pPr>
            <w:r>
              <w:rPr>
                <w:rFonts w:ascii="Times New Roman" w:hAnsi="Times New Roman" w:eastAsia="Times New Roman"/>
                <w:sz w:val="16"/>
              </w:rPr>
            </w:r>
            <w:r>
              <w:rPr>
                <w:rFonts w:ascii="Times New Roman" w:hAnsi="Times New Roman" w:eastAsia="Times New Roman"/>
                <w:b w:val="0"/>
                <w:i w:val="0"/>
                <w:sz w:val="16"/>
              </w:rPr>
              <w:t>Amount derived from disposal of furniture in class "B"</w:t>
            </w:r>
          </w:p>
        </w:tc>
        <w:tc>
          <w:tcPr>
            <w:tcW w:type="dxa" w:w="5162"/>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800,000</w:t>
            </w:r>
          </w:p>
        </w:tc>
      </w:tr>
      <w:tr>
        <w:tc>
          <w:tcPr>
            <w:tcW w:type="dxa" w:w="5162"/>
            <w:vAlign w:val="top"/>
          </w:tcPr>
          <w:p>
            <w:pPr>
              <w:spacing w:after="0"/>
            </w:pPr>
            <w:r>
              <w:rPr>
                <w:rFonts w:ascii="Times New Roman" w:hAnsi="Times New Roman" w:eastAsia="Times New Roman"/>
                <w:sz w:val="16"/>
              </w:rPr>
            </w:r>
            <w:r>
              <w:rPr>
                <w:rFonts w:ascii="Times New Roman" w:hAnsi="Times New Roman" w:eastAsia="Times New Roman"/>
                <w:b w:val="0"/>
                <w:i w:val="0"/>
                <w:sz w:val="16"/>
              </w:rPr>
              <w:t>Remaining depreciable basis</w:t>
            </w:r>
          </w:p>
        </w:tc>
        <w:tc>
          <w:tcPr>
            <w:tcW w:type="dxa" w:w="5162"/>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100,000</w:t>
            </w:r>
          </w:p>
        </w:tc>
      </w:tr>
    </w:tbl>
    <w:p>
      <w:pPr>
        <w:spacing w:after="60" w:line="259" w:lineRule="auto"/>
      </w:pPr>
    </w:p>
    <w:p>
      <w:pPr>
        <w:spacing w:after="100" w:line="259" w:lineRule="auto"/>
        <w:ind w:firstLine="317"/>
      </w:pPr>
      <w:r>
        <w:rPr>
          <w:rFonts w:ascii="Times New Roman" w:hAnsi="Times New Roman" w:eastAsia="Times New Roman"/>
          <w:b w:val="0"/>
          <w:i w:val="0"/>
        </w:rPr>
        <w:t>Even if profit from disposal of furniture is included in profit under financial accounting, for income tax purposes the gain must be computed on a pool basis. Asset-wise gain is not included in income. Only when all assets in a pool are disposed of is the gain or loss computed for income tax purposes and included in the income return as income or expense.</w:t>
      </w:r>
    </w:p>
    <w:p>
      <w:pPr>
        <w:spacing w:after="40" w:line="259" w:lineRule="auto"/>
      </w:pPr>
      <w:r>
        <w:rPr>
          <w:rFonts w:ascii="Times New Roman" w:hAnsi="Times New Roman" w:eastAsia="Times New Roman"/>
          <w:b/>
          <w:i w:val="0"/>
        </w:rPr>
        <w:t>Example 6.2.3</w:t>
      </w:r>
    </w:p>
    <w:p>
      <w:pPr>
        <w:spacing w:after="80" w:line="259" w:lineRule="auto"/>
        <w:ind w:firstLine="317"/>
      </w:pPr>
      <w:r>
        <w:rPr>
          <w:rFonts w:ascii="Times New Roman" w:hAnsi="Times New Roman" w:eastAsia="Times New Roman"/>
          <w:b w:val="0"/>
          <w:i w:val="0"/>
        </w:rPr>
        <w:t>In Example 6.2.1 above, if all furniture and computer items in class "B" are sold, the pool is considered to have been dissolved. Assume furniture is sold for Rs. 1,000,000 and computers for Rs. 500,000, total Rs. 1,500,000. The gain or loss from dissolution of the pool is computed as follows:</w:t>
      </w:r>
    </w:p>
    <w:tbl>
      <w:tblPr>
        <w:tblStyle w:val="TableGrid"/>
        <w:tblW w:type="auto" w:w="0"/>
        <w:jc w:val="center"/>
        <w:tblLook w:firstColumn="1" w:firstRow="1" w:lastColumn="0" w:lastRow="0" w:noHBand="0" w:noVBand="1" w:val="04A0"/>
      </w:tblPr>
      <w:tblGrid>
        <w:gridCol w:w="5162"/>
        <w:gridCol w:w="5162"/>
      </w:tblGrid>
      <w:tr>
        <w:tc>
          <w:tcPr>
            <w:tcW w:type="dxa" w:w="5162"/>
            <w:vAlign w:val="top"/>
            <w:shd w:fill="E7E6E6"/>
          </w:tcPr>
          <w:p>
            <w:pPr>
              <w:spacing w:after="0"/>
            </w:pPr>
            <w:r>
              <w:rPr>
                <w:rFonts w:ascii="Times New Roman" w:hAnsi="Times New Roman" w:eastAsia="Times New Roman"/>
                <w:sz w:val="16"/>
              </w:rPr>
            </w:r>
            <w:r>
              <w:rPr>
                <w:rFonts w:ascii="Times New Roman" w:hAnsi="Times New Roman" w:eastAsia="Times New Roman"/>
                <w:b/>
                <w:i w:val="0"/>
                <w:sz w:val="16"/>
              </w:rPr>
              <w:t>Particulars</w:t>
            </w:r>
          </w:p>
        </w:tc>
        <w:tc>
          <w:tcPr>
            <w:tcW w:type="dxa" w:w="5162"/>
            <w:vAlign w:val="top"/>
            <w:shd w:fill="E7E6E6"/>
          </w:tcPr>
          <w:p>
            <w:pPr>
              <w:spacing w:after="0"/>
            </w:pPr>
            <w:r>
              <w:rPr>
                <w:rFonts w:ascii="Times New Roman" w:hAnsi="Times New Roman" w:eastAsia="Times New Roman"/>
                <w:sz w:val="16"/>
              </w:rPr>
            </w:r>
            <w:r>
              <w:rPr>
                <w:rFonts w:ascii="Times New Roman" w:hAnsi="Times New Roman" w:eastAsia="Times New Roman"/>
                <w:b/>
                <w:i w:val="0"/>
                <w:sz w:val="16"/>
              </w:rPr>
              <w:t>Amount</w:t>
            </w:r>
          </w:p>
        </w:tc>
      </w:tr>
      <w:tr>
        <w:tc>
          <w:tcPr>
            <w:tcW w:type="dxa" w:w="5162"/>
            <w:vAlign w:val="top"/>
          </w:tcPr>
          <w:p>
            <w:pPr>
              <w:spacing w:after="0"/>
            </w:pPr>
            <w:r>
              <w:rPr>
                <w:rFonts w:ascii="Times New Roman" w:hAnsi="Times New Roman" w:eastAsia="Times New Roman"/>
                <w:sz w:val="16"/>
              </w:rPr>
            </w:r>
            <w:r>
              <w:rPr>
                <w:rFonts w:ascii="Times New Roman" w:hAnsi="Times New Roman" w:eastAsia="Times New Roman"/>
                <w:b w:val="0"/>
                <w:i w:val="0"/>
                <w:sz w:val="16"/>
              </w:rPr>
              <w:t>Amount derived from disposal of asset pool "B"</w:t>
            </w:r>
          </w:p>
        </w:tc>
        <w:tc>
          <w:tcPr>
            <w:tcW w:type="dxa" w:w="5162"/>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1,500,000</w:t>
            </w:r>
          </w:p>
        </w:tc>
      </w:tr>
      <w:tr>
        <w:tc>
          <w:tcPr>
            <w:tcW w:type="dxa" w:w="5162"/>
            <w:vAlign w:val="top"/>
          </w:tcPr>
          <w:p>
            <w:pPr>
              <w:spacing w:after="0"/>
            </w:pPr>
            <w:r>
              <w:rPr>
                <w:rFonts w:ascii="Times New Roman" w:hAnsi="Times New Roman" w:eastAsia="Times New Roman"/>
                <w:sz w:val="16"/>
              </w:rPr>
            </w:r>
            <w:r>
              <w:rPr>
                <w:rFonts w:ascii="Times New Roman" w:hAnsi="Times New Roman" w:eastAsia="Times New Roman"/>
                <w:b w:val="0"/>
                <w:i w:val="0"/>
                <w:sz w:val="16"/>
              </w:rPr>
              <w:t>Depreciation basis of asset pool "B"</w:t>
            </w:r>
          </w:p>
        </w:tc>
        <w:tc>
          <w:tcPr>
            <w:tcW w:type="dxa" w:w="5162"/>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900,000</w:t>
            </w:r>
          </w:p>
        </w:tc>
      </w:tr>
      <w:tr>
        <w:tc>
          <w:tcPr>
            <w:tcW w:type="dxa" w:w="5162"/>
            <w:vAlign w:val="top"/>
          </w:tcPr>
          <w:p>
            <w:pPr>
              <w:spacing w:after="0"/>
            </w:pPr>
            <w:r>
              <w:rPr>
                <w:rFonts w:ascii="Times New Roman" w:hAnsi="Times New Roman" w:eastAsia="Times New Roman"/>
                <w:sz w:val="16"/>
              </w:rPr>
            </w:r>
            <w:r>
              <w:rPr>
                <w:rFonts w:ascii="Times New Roman" w:hAnsi="Times New Roman" w:eastAsia="Times New Roman"/>
                <w:b w:val="0"/>
                <w:i w:val="0"/>
                <w:sz w:val="16"/>
              </w:rPr>
              <w:t>Gain from dissolution of asset pool "B"</w:t>
            </w:r>
          </w:p>
        </w:tc>
        <w:tc>
          <w:tcPr>
            <w:tcW w:type="dxa" w:w="5162"/>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600,000</w:t>
            </w:r>
          </w:p>
        </w:tc>
      </w:tr>
    </w:tbl>
    <w:p>
      <w:pPr>
        <w:spacing w:after="60" w:line="259" w:lineRule="auto"/>
      </w:pPr>
    </w:p>
    <w:p>
      <w:pPr>
        <w:spacing w:after="100" w:line="259" w:lineRule="auto"/>
        <w:ind w:firstLine="317"/>
      </w:pPr>
      <w:r>
        <w:rPr>
          <w:rFonts w:ascii="Times New Roman" w:hAnsi="Times New Roman" w:eastAsia="Times New Roman"/>
          <w:b w:val="0"/>
          <w:i w:val="0"/>
        </w:rPr>
        <w:t>The gain arising from dissolution of the pool must be included in income while computing income.</w:t>
      </w:r>
    </w:p>
    <w:p>
      <w:pPr>
        <w:spacing w:after="40" w:line="259" w:lineRule="auto"/>
      </w:pPr>
      <w:r>
        <w:rPr>
          <w:rFonts w:ascii="Times New Roman" w:hAnsi="Times New Roman" w:eastAsia="Times New Roman"/>
          <w:b/>
          <w:i w:val="0"/>
        </w:rPr>
        <w:t>Example 6.2.4</w:t>
      </w:r>
    </w:p>
    <w:p>
      <w:pPr>
        <w:spacing w:after="80" w:line="259" w:lineRule="auto"/>
        <w:ind w:firstLine="317"/>
      </w:pPr>
      <w:r>
        <w:rPr>
          <w:rFonts w:ascii="Times New Roman" w:hAnsi="Times New Roman" w:eastAsia="Times New Roman"/>
          <w:b w:val="0"/>
          <w:i w:val="0"/>
        </w:rPr>
        <w:t>In Example 6.2.1 above, suppose the computer becomes unusable or is stolen. In such a case it is treated as disposed of under section 40 of the Act and the computation is as follows:</w:t>
      </w:r>
    </w:p>
    <w:tbl>
      <w:tblPr>
        <w:tblStyle w:val="TableGrid"/>
        <w:tblW w:type="auto" w:w="0"/>
        <w:jc w:val="center"/>
        <w:tblLook w:firstColumn="1" w:firstRow="1" w:lastColumn="0" w:lastRow="0" w:noHBand="0" w:noVBand="1" w:val="04A0"/>
      </w:tblPr>
      <w:tblGrid>
        <w:gridCol w:w="5162"/>
        <w:gridCol w:w="5162"/>
      </w:tblGrid>
      <w:tr>
        <w:tc>
          <w:tcPr>
            <w:tcW w:type="dxa" w:w="5162"/>
            <w:vAlign w:val="top"/>
            <w:shd w:fill="E7E6E6"/>
          </w:tcPr>
          <w:p>
            <w:pPr>
              <w:spacing w:after="0"/>
            </w:pPr>
            <w:r>
              <w:rPr>
                <w:rFonts w:ascii="Times New Roman" w:hAnsi="Times New Roman" w:eastAsia="Times New Roman"/>
                <w:sz w:val="16"/>
              </w:rPr>
            </w:r>
            <w:r>
              <w:rPr>
                <w:rFonts w:ascii="Times New Roman" w:hAnsi="Times New Roman" w:eastAsia="Times New Roman"/>
                <w:b/>
                <w:i w:val="0"/>
                <w:sz w:val="16"/>
              </w:rPr>
              <w:t>Particulars</w:t>
            </w:r>
          </w:p>
        </w:tc>
        <w:tc>
          <w:tcPr>
            <w:tcW w:type="dxa" w:w="5162"/>
            <w:vAlign w:val="top"/>
            <w:shd w:fill="E7E6E6"/>
          </w:tcPr>
          <w:p>
            <w:pPr>
              <w:spacing w:after="0"/>
            </w:pPr>
            <w:r>
              <w:rPr>
                <w:rFonts w:ascii="Times New Roman" w:hAnsi="Times New Roman" w:eastAsia="Times New Roman"/>
                <w:sz w:val="16"/>
              </w:rPr>
            </w:r>
            <w:r>
              <w:rPr>
                <w:rFonts w:ascii="Times New Roman" w:hAnsi="Times New Roman" w:eastAsia="Times New Roman"/>
                <w:b/>
                <w:i w:val="0"/>
                <w:sz w:val="16"/>
              </w:rPr>
              <w:t>Amount</w:t>
            </w:r>
          </w:p>
        </w:tc>
      </w:tr>
      <w:tr>
        <w:tc>
          <w:tcPr>
            <w:tcW w:type="dxa" w:w="5162"/>
            <w:vAlign w:val="top"/>
          </w:tcPr>
          <w:p>
            <w:pPr>
              <w:spacing w:after="0"/>
            </w:pPr>
            <w:r>
              <w:rPr>
                <w:rFonts w:ascii="Times New Roman" w:hAnsi="Times New Roman" w:eastAsia="Times New Roman"/>
                <w:sz w:val="16"/>
              </w:rPr>
            </w:r>
            <w:r>
              <w:rPr>
                <w:rFonts w:ascii="Times New Roman" w:hAnsi="Times New Roman" w:eastAsia="Times New Roman"/>
                <w:b w:val="0"/>
                <w:i w:val="0"/>
                <w:sz w:val="16"/>
              </w:rPr>
              <w:t>Depreciation basis</w:t>
            </w:r>
          </w:p>
        </w:tc>
        <w:tc>
          <w:tcPr>
            <w:tcW w:type="dxa" w:w="5162"/>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900,000</w:t>
            </w:r>
          </w:p>
        </w:tc>
      </w:tr>
      <w:tr>
        <w:tc>
          <w:tcPr>
            <w:tcW w:type="dxa" w:w="5162"/>
            <w:vAlign w:val="top"/>
          </w:tcPr>
          <w:p>
            <w:pPr>
              <w:spacing w:after="0"/>
            </w:pPr>
            <w:r>
              <w:rPr>
                <w:rFonts w:ascii="Times New Roman" w:hAnsi="Times New Roman" w:eastAsia="Times New Roman"/>
                <w:sz w:val="16"/>
              </w:rPr>
            </w:r>
            <w:r>
              <w:rPr>
                <w:rFonts w:ascii="Times New Roman" w:hAnsi="Times New Roman" w:eastAsia="Times New Roman"/>
                <w:b w:val="0"/>
                <w:i w:val="0"/>
                <w:sz w:val="16"/>
              </w:rPr>
              <w:t>Amount derived from disposal</w:t>
            </w:r>
          </w:p>
        </w:tc>
        <w:tc>
          <w:tcPr>
            <w:tcW w:type="dxa" w:w="5162"/>
            <w:vAlign w:val="top"/>
          </w:tcPr>
          <w:p>
            <w:pPr>
              <w:spacing w:after="0"/>
            </w:pPr>
            <w:r>
              <w:rPr>
                <w:rFonts w:ascii="Times New Roman" w:hAnsi="Times New Roman" w:eastAsia="Times New Roman"/>
                <w:sz w:val="16"/>
              </w:rPr>
            </w:r>
            <w:r>
              <w:rPr>
                <w:rFonts w:ascii="Times New Roman" w:hAnsi="Times New Roman" w:eastAsia="Times New Roman"/>
                <w:b w:val="0"/>
                <w:i w:val="0"/>
                <w:sz w:val="16"/>
              </w:rPr>
              <w:t>Nil</w:t>
            </w:r>
          </w:p>
        </w:tc>
      </w:tr>
      <w:tr>
        <w:tc>
          <w:tcPr>
            <w:tcW w:type="dxa" w:w="5162"/>
            <w:vAlign w:val="top"/>
          </w:tcPr>
          <w:p>
            <w:pPr>
              <w:spacing w:after="0"/>
            </w:pPr>
            <w:r>
              <w:rPr>
                <w:rFonts w:ascii="Times New Roman" w:hAnsi="Times New Roman" w:eastAsia="Times New Roman"/>
                <w:sz w:val="16"/>
              </w:rPr>
            </w:r>
            <w:r>
              <w:rPr>
                <w:rFonts w:ascii="Times New Roman" w:hAnsi="Times New Roman" w:eastAsia="Times New Roman"/>
                <w:b w:val="0"/>
                <w:i w:val="0"/>
                <w:sz w:val="16"/>
              </w:rPr>
              <w:t>Remaining depreciation basis</w:t>
            </w:r>
          </w:p>
        </w:tc>
        <w:tc>
          <w:tcPr>
            <w:tcW w:type="dxa" w:w="5162"/>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900,000</w:t>
            </w:r>
          </w:p>
        </w:tc>
      </w:tr>
    </w:tbl>
    <w:p>
      <w:pPr>
        <w:spacing w:after="60" w:line="259" w:lineRule="auto"/>
      </w:pPr>
    </w:p>
    <w:p>
      <w:pPr>
        <w:spacing w:after="100" w:line="259" w:lineRule="auto"/>
        <w:ind w:firstLine="317"/>
      </w:pPr>
      <w:r>
        <w:rPr>
          <w:rFonts w:ascii="Times New Roman" w:hAnsi="Times New Roman" w:eastAsia="Times New Roman"/>
          <w:b w:val="0"/>
          <w:i w:val="0"/>
        </w:rPr>
        <w:t>In the above example, since all class "B" assets have not been dissolved, depreciation expense must be claimed in the following income year on the basis of the remaining depreciation basis.</w:t>
      </w:r>
    </w:p>
    <w:p>
      <w:pPr>
        <w:spacing w:after="40" w:line="259" w:lineRule="auto"/>
      </w:pPr>
      <w:r>
        <w:rPr>
          <w:rFonts w:ascii="Times New Roman" w:hAnsi="Times New Roman" w:eastAsia="Times New Roman"/>
          <w:b/>
          <w:i w:val="0"/>
        </w:rPr>
        <w:t>7(2)(e) Gifts received by a person in respect of the business</w:t>
      </w:r>
    </w:p>
    <w:p>
      <w:pPr>
        <w:spacing w:after="100" w:line="259" w:lineRule="auto"/>
        <w:ind w:firstLine="317"/>
      </w:pPr>
      <w:r>
        <w:rPr>
          <w:rFonts w:ascii="Times New Roman" w:hAnsi="Times New Roman" w:eastAsia="Times New Roman"/>
          <w:b w:val="0"/>
          <w:i w:val="0"/>
        </w:rPr>
        <w:t>If a person receives gifts in the course of business, those gifts must also be included in business income. The situation is illustrated below.</w:t>
      </w:r>
    </w:p>
    <w:p>
      <w:pPr>
        <w:spacing w:after="40" w:line="259" w:lineRule="auto"/>
      </w:pPr>
      <w:r>
        <w:rPr>
          <w:rFonts w:ascii="Times New Roman" w:hAnsi="Times New Roman" w:eastAsia="Times New Roman"/>
          <w:b/>
          <w:i w:val="0"/>
        </w:rPr>
        <w:t>Example 6.2.5</w:t>
      </w:r>
    </w:p>
    <w:p>
      <w:pPr>
        <w:spacing w:after="80" w:line="259" w:lineRule="auto"/>
        <w:ind w:firstLine="317"/>
      </w:pPr>
      <w:r>
        <w:rPr>
          <w:rFonts w:ascii="Times New Roman" w:hAnsi="Times New Roman" w:eastAsia="Times New Roman"/>
          <w:b w:val="0"/>
          <w:i w:val="0"/>
        </w:rPr>
        <w:t>Assume that Diwakar is a dealer of a television company. In income year 2080/81, because he achieved the target set by the company, the company provided him a music system worth Rs. 50,000 as a gift. This additional consideration is treated as a gift received in connection with business and must be included in business income.</w:t>
      </w:r>
    </w:p>
    <w:p>
      <w:pPr>
        <w:spacing w:after="100" w:line="259" w:lineRule="auto"/>
        <w:ind w:firstLine="317"/>
      </w:pPr>
      <w:r>
        <w:rPr>
          <w:rFonts w:ascii="Times New Roman" w:hAnsi="Times New Roman" w:eastAsia="Times New Roman"/>
          <w:b w:val="0"/>
          <w:i w:val="0"/>
        </w:rPr>
        <w:t>Section 2 defines "gift" as a payment without consideration, or, where a payment is made with consideration, the amount by which the market value of the payment exceeds the market value of the consideration.</w:t>
      </w:r>
    </w:p>
    <w:p>
      <w:pPr>
        <w:spacing w:after="40" w:line="259" w:lineRule="auto"/>
      </w:pPr>
      <w:r>
        <w:rPr>
          <w:rFonts w:ascii="Times New Roman" w:hAnsi="Times New Roman" w:eastAsia="Times New Roman"/>
          <w:b/>
          <w:i w:val="0"/>
        </w:rPr>
        <w:t>7(2)(f) Amounts received for accepting a restriction in respect of conducting a business</w:t>
      </w:r>
    </w:p>
    <w:p>
      <w:pPr>
        <w:spacing w:after="100" w:line="259" w:lineRule="auto"/>
        <w:ind w:firstLine="317"/>
      </w:pPr>
      <w:r>
        <w:rPr>
          <w:rFonts w:ascii="Times New Roman" w:hAnsi="Times New Roman" w:eastAsia="Times New Roman"/>
          <w:b w:val="0"/>
          <w:i w:val="0"/>
        </w:rPr>
        <w:t>Amounts received for accepting a restriction in relation to conducting business are explained by the following example.</w:t>
      </w:r>
    </w:p>
    <w:p>
      <w:pPr>
        <w:spacing w:after="40" w:line="259" w:lineRule="auto"/>
      </w:pPr>
      <w:r>
        <w:rPr>
          <w:rFonts w:ascii="Times New Roman" w:hAnsi="Times New Roman" w:eastAsia="Times New Roman"/>
          <w:b/>
          <w:i w:val="0"/>
        </w:rPr>
        <w:t>Example 6.2.6</w:t>
      </w:r>
    </w:p>
    <w:p>
      <w:pPr>
        <w:spacing w:after="80" w:line="259" w:lineRule="auto"/>
        <w:ind w:firstLine="317"/>
      </w:pPr>
      <w:r>
        <w:rPr>
          <w:rFonts w:ascii="Times New Roman" w:hAnsi="Times New Roman" w:eastAsia="Times New Roman"/>
          <w:b w:val="0"/>
          <w:i w:val="0"/>
        </w:rPr>
        <w:t>Assume that Nepal Rasberry Factory and Juiceberry Co. Pvt. Ltd. have entered into a contract under which Juiceberry will pay Rs. 100,000 per month to Rasberry for not selling its products in the Kamaladi area. In this case, Rasberry must include the Rs. 100,000 received for accepting that restriction in its income.</w:t>
      </w:r>
    </w:p>
    <w:p>
      <w:pPr>
        <w:spacing w:after="40" w:line="259" w:lineRule="auto"/>
      </w:pPr>
      <w:r>
        <w:rPr>
          <w:rFonts w:ascii="Times New Roman" w:hAnsi="Times New Roman" w:eastAsia="Times New Roman"/>
          <w:b/>
          <w:i w:val="0"/>
        </w:rPr>
        <w:t>7(2)(g) Amounts that are of a nature included in income from investment but are directly related to the business of the person</w:t>
      </w:r>
    </w:p>
    <w:p>
      <w:pPr>
        <w:spacing w:after="100" w:line="259" w:lineRule="auto"/>
        <w:ind w:firstLine="317"/>
      </w:pPr>
      <w:r>
        <w:rPr>
          <w:rFonts w:ascii="Times New Roman" w:hAnsi="Times New Roman" w:eastAsia="Times New Roman"/>
          <w:b w:val="0"/>
          <w:i w:val="0"/>
        </w:rPr>
        <w:t>Except in a few cases, the transactions of a company are business transactions only. In other words, a company generally has business income and not employment or investment income. In that context, even if a transaction appears to be an investment transaction, it falls within the scope of business transactions for a company. For example, interest income derived by banks and financial institutions from lending operations must be included under this clause for computing income under this section. Although income from lending is normally an investment return, since the main business itself is lending, the interest income must be included under this clause in the income statement.</w:t>
      </w:r>
    </w:p>
    <w:p>
      <w:pPr>
        <w:spacing w:after="40" w:line="259" w:lineRule="auto"/>
      </w:pPr>
      <w:r>
        <w:rPr>
          <w:rFonts w:ascii="Times New Roman" w:hAnsi="Times New Roman" w:eastAsia="Times New Roman"/>
          <w:b/>
          <w:i w:val="0"/>
        </w:rPr>
        <w:t>7(2)(h) Other amounts required to be included under Chapter 6 or Chapter 7, or section 56 or section 60</w:t>
      </w:r>
    </w:p>
    <w:p>
      <w:pPr>
        <w:spacing w:after="100" w:line="259" w:lineRule="auto"/>
        <w:ind w:firstLine="317"/>
      </w:pPr>
      <w:r>
        <w:rPr>
          <w:rFonts w:ascii="Times New Roman" w:hAnsi="Times New Roman" w:eastAsia="Times New Roman"/>
          <w:b w:val="0"/>
          <w:i w:val="0"/>
        </w:rPr>
        <w:t>Under Chapter 6 of the Act, if a person changes the method of accounting for tax purposes after obtaining approval from the Department, or if the accounting method changes because of provisions in that Chapter, adjustments must be made in the income year in which the change occurs so that no amount included, deducted, to be included or to be deducted is omitted or counted twice. This is clarified below.</w:t>
      </w:r>
    </w:p>
    <w:p>
      <w:pPr>
        <w:spacing w:after="40" w:line="259" w:lineRule="auto"/>
      </w:pPr>
      <w:r>
        <w:rPr>
          <w:rFonts w:ascii="Times New Roman" w:hAnsi="Times New Roman" w:eastAsia="Times New Roman"/>
          <w:b/>
          <w:i w:val="0"/>
        </w:rPr>
        <w:t>Example 6.2.7</w:t>
      </w:r>
    </w:p>
    <w:p>
      <w:pPr>
        <w:spacing w:after="80" w:line="259" w:lineRule="auto"/>
        <w:ind w:firstLine="317"/>
      </w:pPr>
      <w:r>
        <w:rPr>
          <w:rFonts w:ascii="Times New Roman" w:hAnsi="Times New Roman" w:eastAsia="Times New Roman"/>
          <w:b w:val="0"/>
          <w:i w:val="0"/>
        </w:rPr>
        <w:t>Assume that Deben Mahara is a legal practitioner. He has been accounting for income from his profession on a cash basis. For income year 2080/81, he applied to the Department to change the accounting method from cash basis to accrual basis. Since his accounts conformed to prevailing accounting principles, the Department approved the change with effect from income year 2080/81. Before the change, his accounts showed the following position:</w:t>
      </w:r>
    </w:p>
    <w:tbl>
      <w:tblPr>
        <w:tblStyle w:val="TableGrid"/>
        <w:tblW w:type="auto" w:w="0"/>
        <w:jc w:val="center"/>
        <w:tblLook w:firstColumn="1" w:firstRow="1" w:lastColumn="0" w:lastRow="0" w:noHBand="0" w:noVBand="1" w:val="04A0"/>
      </w:tblPr>
      <w:tblGrid>
        <w:gridCol w:w="5162"/>
        <w:gridCol w:w="5162"/>
      </w:tblGrid>
      <w:tr>
        <w:tc>
          <w:tcPr>
            <w:tcW w:type="dxa" w:w="5162"/>
            <w:vAlign w:val="top"/>
            <w:shd w:fill="E7E6E6"/>
          </w:tcPr>
          <w:p>
            <w:pPr>
              <w:spacing w:after="0"/>
            </w:pPr>
            <w:r>
              <w:rPr>
                <w:rFonts w:ascii="Times New Roman" w:hAnsi="Times New Roman" w:eastAsia="Times New Roman"/>
                <w:sz w:val="16"/>
              </w:rPr>
            </w:r>
            <w:r>
              <w:rPr>
                <w:rFonts w:ascii="Times New Roman" w:hAnsi="Times New Roman" w:eastAsia="Times New Roman"/>
                <w:b/>
                <w:i w:val="0"/>
                <w:sz w:val="16"/>
              </w:rPr>
              <w:t>Particulars</w:t>
            </w:r>
          </w:p>
        </w:tc>
        <w:tc>
          <w:tcPr>
            <w:tcW w:type="dxa" w:w="5162"/>
            <w:vAlign w:val="top"/>
            <w:shd w:fill="E7E6E6"/>
          </w:tcPr>
          <w:p>
            <w:pPr>
              <w:spacing w:after="0"/>
            </w:pPr>
            <w:r>
              <w:rPr>
                <w:rFonts w:ascii="Times New Roman" w:hAnsi="Times New Roman" w:eastAsia="Times New Roman"/>
                <w:sz w:val="16"/>
              </w:rPr>
            </w:r>
            <w:r>
              <w:rPr>
                <w:rFonts w:ascii="Times New Roman" w:hAnsi="Times New Roman" w:eastAsia="Times New Roman"/>
                <w:b/>
                <w:i w:val="0"/>
                <w:sz w:val="16"/>
              </w:rPr>
              <w:t>Amount</w:t>
            </w:r>
          </w:p>
        </w:tc>
      </w:tr>
      <w:tr>
        <w:tc>
          <w:tcPr>
            <w:tcW w:type="dxa" w:w="5162"/>
            <w:vAlign w:val="top"/>
          </w:tcPr>
          <w:p>
            <w:pPr>
              <w:spacing w:after="0"/>
            </w:pPr>
            <w:r>
              <w:rPr>
                <w:rFonts w:ascii="Times New Roman" w:hAnsi="Times New Roman" w:eastAsia="Times New Roman"/>
                <w:sz w:val="16"/>
              </w:rPr>
            </w:r>
            <w:r>
              <w:rPr>
                <w:rFonts w:ascii="Times New Roman" w:hAnsi="Times New Roman" w:eastAsia="Times New Roman"/>
                <w:b w:val="0"/>
                <w:i w:val="0"/>
                <w:sz w:val="16"/>
              </w:rPr>
              <w:t>Services already provided up to 2079/80 but cash not received, so not included in income for that year</w:t>
            </w:r>
          </w:p>
        </w:tc>
        <w:tc>
          <w:tcPr>
            <w:tcW w:type="dxa" w:w="5162"/>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80,000</w:t>
            </w:r>
          </w:p>
        </w:tc>
      </w:tr>
      <w:tr>
        <w:tc>
          <w:tcPr>
            <w:tcW w:type="dxa" w:w="5162"/>
            <w:vAlign w:val="top"/>
          </w:tcPr>
          <w:p>
            <w:pPr>
              <w:spacing w:after="0"/>
            </w:pPr>
            <w:r>
              <w:rPr>
                <w:rFonts w:ascii="Times New Roman" w:hAnsi="Times New Roman" w:eastAsia="Times New Roman"/>
                <w:sz w:val="16"/>
              </w:rPr>
            </w:r>
            <w:r>
              <w:rPr>
                <w:rFonts w:ascii="Times New Roman" w:hAnsi="Times New Roman" w:eastAsia="Times New Roman"/>
                <w:b w:val="0"/>
                <w:i w:val="0"/>
                <w:sz w:val="16"/>
              </w:rPr>
              <w:t>Advance received up to 2079/80 for services to be provided in 2080/81; included in income on cash basis though service was pending</w:t>
            </w:r>
          </w:p>
        </w:tc>
        <w:tc>
          <w:tcPr>
            <w:tcW w:type="dxa" w:w="5162"/>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30,000</w:t>
            </w:r>
          </w:p>
        </w:tc>
      </w:tr>
      <w:tr>
        <w:tc>
          <w:tcPr>
            <w:tcW w:type="dxa" w:w="5162"/>
            <w:vAlign w:val="top"/>
          </w:tcPr>
          <w:p>
            <w:pPr>
              <w:spacing w:after="0"/>
            </w:pPr>
            <w:r>
              <w:rPr>
                <w:rFonts w:ascii="Times New Roman" w:hAnsi="Times New Roman" w:eastAsia="Times New Roman"/>
                <w:sz w:val="16"/>
              </w:rPr>
            </w:r>
            <w:r>
              <w:rPr>
                <w:rFonts w:ascii="Times New Roman" w:hAnsi="Times New Roman" w:eastAsia="Times New Roman"/>
                <w:b w:val="0"/>
                <w:i w:val="0"/>
                <w:sz w:val="16"/>
              </w:rPr>
              <w:t>House rent for Magh 2079 to end of Poush 2080 paid in income year 2079/80 and claimed as expense on cash basis in 2079/80</w:t>
            </w:r>
          </w:p>
        </w:tc>
        <w:tc>
          <w:tcPr>
            <w:tcW w:type="dxa" w:w="5162"/>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48,000</w:t>
            </w:r>
          </w:p>
        </w:tc>
      </w:tr>
    </w:tbl>
    <w:p>
      <w:pPr>
        <w:spacing w:after="60" w:line="259" w:lineRule="auto"/>
      </w:pPr>
    </w:p>
    <w:p>
      <w:pPr>
        <w:spacing w:after="100" w:line="259" w:lineRule="auto"/>
        <w:ind w:firstLine="317"/>
      </w:pPr>
      <w:r>
        <w:rPr>
          <w:rFonts w:ascii="Times New Roman" w:hAnsi="Times New Roman" w:eastAsia="Times New Roman"/>
          <w:b w:val="0"/>
          <w:i w:val="0"/>
        </w:rPr>
        <w:t>In the above situation, he must adjust income and deduction claims in income year 2080/81 as follows:</w:t>
      </w:r>
    </w:p>
    <w:p>
      <w:pPr>
        <w:spacing w:after="40" w:line="259" w:lineRule="auto"/>
        <w:ind w:left="403" w:hanging="230"/>
      </w:pPr>
      <w:r>
        <w:rPr>
          <w:rFonts w:ascii="Times New Roman" w:hAnsi="Times New Roman" w:eastAsia="Times New Roman"/>
          <w:b w:val="0"/>
          <w:i w:val="0"/>
        </w:rPr>
        <w:t>1. Rs. 80,000 receivable for services provided up to income year 2079/80 must be included in income in income year 2080/81 on accrual basis.</w:t>
      </w:r>
    </w:p>
    <w:p>
      <w:pPr>
        <w:spacing w:after="40" w:line="259" w:lineRule="auto"/>
        <w:ind w:left="403" w:hanging="230"/>
      </w:pPr>
      <w:r>
        <w:rPr>
          <w:rFonts w:ascii="Times New Roman" w:hAnsi="Times New Roman" w:eastAsia="Times New Roman"/>
          <w:b w:val="0"/>
          <w:i w:val="0"/>
        </w:rPr>
        <w:t>2. The advance of Rs. 30,000 received before providing the service up to 2079/80 was already included in income in 2079/80. Although the service is provided in 2080/81, it must not be included again in income for 2080/81.</w:t>
      </w:r>
    </w:p>
    <w:p>
      <w:pPr>
        <w:spacing w:after="40" w:line="259" w:lineRule="auto"/>
        <w:ind w:left="403" w:hanging="230"/>
      </w:pPr>
      <w:r>
        <w:rPr>
          <w:rFonts w:ascii="Times New Roman" w:hAnsi="Times New Roman" w:eastAsia="Times New Roman"/>
          <w:b w:val="0"/>
          <w:i w:val="0"/>
        </w:rPr>
        <w:t>3. Out of the advance house rent of Rs. 48,000, Rs. 24,000 relates to six months of income year 2080/81. However, since it was already claimed as deduction in 2079/80 on cash basis, it cannot be claimed again in 2080/81.</w:t>
      </w:r>
    </w:p>
    <w:p>
      <w:pPr>
        <w:spacing w:after="100" w:line="259" w:lineRule="auto"/>
        <w:ind w:firstLine="317"/>
      </w:pPr>
      <w:r>
        <w:rPr>
          <w:rFonts w:ascii="Times New Roman" w:hAnsi="Times New Roman" w:eastAsia="Times New Roman"/>
          <w:b w:val="0"/>
          <w:i w:val="0"/>
        </w:rPr>
        <w:t>After making such adjustments in income year 2080/81 so that income and deduction claims are not duplicated, accounting must be made on the accrual basis for subsequent income years.</w:t>
      </w:r>
    </w:p>
    <w:p>
      <w:pPr>
        <w:spacing w:after="100" w:line="259" w:lineRule="auto"/>
        <w:ind w:firstLine="317"/>
      </w:pPr>
      <w:r>
        <w:rPr>
          <w:rFonts w:ascii="Times New Roman" w:hAnsi="Times New Roman" w:eastAsia="Times New Roman"/>
          <w:b w:val="0"/>
          <w:i w:val="0"/>
        </w:rPr>
        <w:t>Under Chapter 7 of the Act, where payment in a transaction is made not only in cash but by transferring an asset, the amount equal to the market value of the transferred asset must be included in income. The value stated in the agreement between the parties or the book value is not treated as the official transaction value. Instead, the market value of the asset at the time of transfer is treated as the official value for the purposes of the Act and included in income. Since the transaction relates to business, it must be included while computing business income. The situation is illustrated below.</w:t>
      </w:r>
    </w:p>
    <w:p>
      <w:pPr>
        <w:spacing w:after="40" w:line="259" w:lineRule="auto"/>
      </w:pPr>
      <w:r>
        <w:rPr>
          <w:rFonts w:ascii="Times New Roman" w:hAnsi="Times New Roman" w:eastAsia="Times New Roman"/>
          <w:b/>
          <w:i w:val="0"/>
        </w:rPr>
        <w:t>Example 6.2.8</w:t>
      </w:r>
    </w:p>
    <w:p>
      <w:pPr>
        <w:spacing w:after="80" w:line="259" w:lineRule="auto"/>
        <w:ind w:firstLine="317"/>
      </w:pPr>
      <w:r>
        <w:rPr>
          <w:rFonts w:ascii="Times New Roman" w:hAnsi="Times New Roman" w:eastAsia="Times New Roman"/>
          <w:b w:val="0"/>
          <w:i w:val="0"/>
        </w:rPr>
        <w:t>Assume that Digam Bantawa provided services to an entity named Scott Nepal Pvt. Ltd. Instead of paying cash for the service, the entity gave him a television. If the market value of the television is Rs. 50,000, Bantawa will be treated as having received payment of Rs. 50,000 even though he did not receive cash.</w:t>
      </w:r>
    </w:p>
    <w:p>
      <w:pPr>
        <w:spacing w:after="100" w:line="259" w:lineRule="auto"/>
        <w:ind w:firstLine="317"/>
      </w:pPr>
      <w:r>
        <w:rPr>
          <w:rFonts w:ascii="Times New Roman" w:hAnsi="Times New Roman" w:eastAsia="Times New Roman"/>
          <w:b w:val="0"/>
          <w:i w:val="0"/>
        </w:rPr>
        <w:t>Under section 56 of the Act, gains from the disposal of assets or liabilities in transactions between an entity and its beneficiaries must be included under this clause in income. A detailed explanation is given in Chapter 13 of this Directive.</w:t>
      </w:r>
    </w:p>
    <w:p>
      <w:pPr>
        <w:spacing w:after="100" w:line="259" w:lineRule="auto"/>
        <w:ind w:firstLine="317"/>
      </w:pPr>
      <w:r>
        <w:rPr>
          <w:rFonts w:ascii="Times New Roman" w:hAnsi="Times New Roman" w:eastAsia="Times New Roman"/>
          <w:b w:val="0"/>
          <w:i w:val="0"/>
        </w:rPr>
        <w:t>Under section 60 of the Act, income from a general insurance business must be included under this clause. A detailed explanation is given in Chapter 19 of this Directive.</w:t>
      </w:r>
    </w:p>
    <w:p>
      <w:pPr>
        <w:pStyle w:val="Heading3"/>
        <w:spacing w:after="100" w:line="259" w:lineRule="auto"/>
      </w:pPr>
      <w:r>
        <w:rPr>
          <w:rFonts w:ascii="Times New Roman" w:hAnsi="Times New Roman" w:eastAsia="Times New Roman"/>
          <w:b w:val="0"/>
          <w:i w:val="0"/>
        </w:rPr>
        <w:t>6.2.3 Amounts not to be included in business income</w:t>
      </w:r>
    </w:p>
    <w:p>
      <w:pPr>
        <w:spacing w:after="100" w:line="259" w:lineRule="auto"/>
        <w:ind w:firstLine="317"/>
      </w:pPr>
      <w:r>
        <w:rPr>
          <w:rFonts w:ascii="Times New Roman" w:hAnsi="Times New Roman" w:eastAsia="Times New Roman"/>
          <w:b w:val="0"/>
          <w:i w:val="0"/>
        </w:rPr>
        <w:t>Section 7(3) of the Act provides as follows regarding amounts not to be included in business income:</w:t>
      </w:r>
    </w:p>
    <w:p>
      <w:pPr>
        <w:spacing w:after="100" w:line="259" w:lineRule="auto"/>
        <w:ind w:left="317"/>
      </w:pPr>
      <w:r>
        <w:rPr>
          <w:rFonts w:ascii="Times New Roman" w:hAnsi="Times New Roman" w:eastAsia="Times New Roman"/>
          <w:b w:val="0"/>
          <w:i/>
          <w:sz w:val="18"/>
        </w:rPr>
        <w:t>7(3) Notwithstanding anything contained in subsection (2), exempt amounts under sections 10, 54 and 69 and payments subject to final withholding tax shall not be included in computing profits and gains from conducting a business.</w:t>
      </w:r>
    </w:p>
    <w:p>
      <w:pPr>
        <w:spacing w:after="100" w:line="259" w:lineRule="auto"/>
        <w:ind w:firstLine="317"/>
      </w:pPr>
      <w:r>
        <w:rPr>
          <w:rFonts w:ascii="Times New Roman" w:hAnsi="Times New Roman" w:eastAsia="Times New Roman"/>
          <w:b w:val="0"/>
          <w:i w:val="0"/>
        </w:rPr>
        <w:t>The following amounts under section 10 of the Act are not to be included in income.</w:t>
      </w:r>
    </w:p>
    <w:p>
      <w:pPr>
        <w:spacing w:after="40" w:line="259" w:lineRule="auto"/>
      </w:pPr>
      <w:r>
        <w:rPr>
          <w:rFonts w:ascii="Times New Roman" w:hAnsi="Times New Roman" w:eastAsia="Times New Roman"/>
          <w:b/>
          <w:i w:val="0"/>
        </w:rPr>
        <w:t>10(a) Tax-exempt amounts received by a person entitled to tax exemption under a bilateral or multilateral treaty or agreement between the Government of Nepal and a foreign country or an international organisation.</w:t>
      </w:r>
    </w:p>
    <w:p>
      <w:pPr>
        <w:spacing w:after="100" w:line="259" w:lineRule="auto"/>
        <w:ind w:firstLine="317"/>
      </w:pPr>
      <w:r>
        <w:rPr>
          <w:rFonts w:ascii="Times New Roman" w:hAnsi="Times New Roman" w:eastAsia="Times New Roman"/>
          <w:b w:val="0"/>
          <w:i w:val="0"/>
        </w:rPr>
        <w:t>Amounts received subject to a bilateral treaty or agreement between the Government of Nepal and any foreign country or international organisation by a person entitled to the benefit of tax exemption under that treaty are tax-exempt amounts.</w:t>
      </w:r>
    </w:p>
    <w:p>
      <w:pPr>
        <w:spacing w:after="40" w:line="259" w:lineRule="auto"/>
      </w:pPr>
      <w:r>
        <w:rPr>
          <w:rFonts w:ascii="Times New Roman" w:hAnsi="Times New Roman" w:eastAsia="Times New Roman"/>
          <w:b/>
          <w:i w:val="0"/>
        </w:rPr>
        <w:t>10(g) Amounts received by an exempt organisation as follows:</w:t>
      </w:r>
    </w:p>
    <w:p>
      <w:pPr>
        <w:spacing w:after="40" w:line="259" w:lineRule="auto"/>
        <w:ind w:left="403" w:hanging="230"/>
      </w:pPr>
      <w:r>
        <w:rPr>
          <w:rFonts w:ascii="Times New Roman" w:hAnsi="Times New Roman" w:eastAsia="Times New Roman"/>
          <w:b w:val="0"/>
          <w:i w:val="0"/>
        </w:rPr>
        <w:t>1. donations or gifts;</w:t>
      </w:r>
    </w:p>
    <w:p>
      <w:pPr>
        <w:spacing w:after="40" w:line="259" w:lineRule="auto"/>
        <w:ind w:left="403" w:hanging="230"/>
      </w:pPr>
      <w:r>
        <w:rPr>
          <w:rFonts w:ascii="Times New Roman" w:hAnsi="Times New Roman" w:eastAsia="Times New Roman"/>
          <w:b w:val="0"/>
          <w:i w:val="0"/>
        </w:rPr>
        <w:t>2. other contributions directly related to the functions of an exempt organisation referred to in section 2, made without consideration or expectation of consideration;</w:t>
      </w:r>
    </w:p>
    <w:p>
      <w:pPr>
        <w:spacing w:after="40" w:line="259" w:lineRule="auto"/>
        <w:ind w:left="403" w:hanging="230"/>
      </w:pPr>
      <w:r>
        <w:rPr>
          <w:rFonts w:ascii="Times New Roman" w:hAnsi="Times New Roman" w:eastAsia="Times New Roman"/>
          <w:b w:val="0"/>
          <w:i w:val="0"/>
        </w:rPr>
        <w:t>3. ...</w:t>
      </w:r>
    </w:p>
    <w:p>
      <w:pPr>
        <w:spacing w:after="100" w:line="259" w:lineRule="auto"/>
        <w:ind w:firstLine="317"/>
      </w:pPr>
      <w:r>
        <w:rPr>
          <w:rFonts w:ascii="Times New Roman" w:hAnsi="Times New Roman" w:eastAsia="Times New Roman"/>
          <w:b w:val="0"/>
          <w:i w:val="0"/>
        </w:rPr>
        <w:t>Donations, gifts or other contributions received by an exempt organisation, directly related to the organisation's functions and made without consideration or expectation of consideration, are tax-exempt amounts. The situation is illustrated below.</w:t>
      </w:r>
    </w:p>
    <w:p>
      <w:pPr>
        <w:spacing w:after="40" w:line="259" w:lineRule="auto"/>
      </w:pPr>
      <w:r>
        <w:rPr>
          <w:rFonts w:ascii="Times New Roman" w:hAnsi="Times New Roman" w:eastAsia="Times New Roman"/>
          <w:b/>
          <w:i w:val="0"/>
        </w:rPr>
        <w:t>Example 6.2.9</w:t>
      </w:r>
    </w:p>
    <w:p>
      <w:pPr>
        <w:spacing w:after="80" w:line="259" w:lineRule="auto"/>
        <w:ind w:firstLine="317"/>
      </w:pPr>
      <w:r>
        <w:rPr>
          <w:rFonts w:ascii="Times New Roman" w:hAnsi="Times New Roman" w:eastAsia="Times New Roman"/>
          <w:b w:val="0"/>
          <w:i w:val="0"/>
        </w:rPr>
        <w:t>Assume that Nepal Dalit Development Forum is an entity registered with the Department as an exempt organisation. It receives donations of Rs. 500,000 from different donors. It also receives a grant of Rs. 1,000,000 from the Government of Nepal to be spent on Dalit upliftment activities. Both amounts are tax-exempt for that entity and need not be included in income for income tax purposes.</w:t>
      </w:r>
    </w:p>
    <w:p>
      <w:pPr>
        <w:spacing w:after="40" w:line="259" w:lineRule="auto"/>
      </w:pPr>
      <w:r>
        <w:rPr>
          <w:rFonts w:ascii="Times New Roman" w:hAnsi="Times New Roman" w:eastAsia="Times New Roman"/>
          <w:b/>
          <w:i w:val="0"/>
        </w:rPr>
        <w:t>10(j) Amounts derived by Nepal Rastra Bank in accordance with its objectives.</w:t>
      </w:r>
    </w:p>
    <w:p>
      <w:pPr>
        <w:spacing w:after="100" w:line="259" w:lineRule="auto"/>
        <w:ind w:firstLine="317"/>
      </w:pPr>
      <w:r>
        <w:rPr>
          <w:rFonts w:ascii="Times New Roman" w:hAnsi="Times New Roman" w:eastAsia="Times New Roman"/>
          <w:b w:val="0"/>
          <w:i w:val="0"/>
        </w:rPr>
        <w:t>Amounts derived by Nepal Rastra Bank in accordance with its objectives are also treated as tax-exempt and need not be included in income. The situation is illustrated below.</w:t>
      </w:r>
    </w:p>
    <w:p>
      <w:pPr>
        <w:spacing w:after="40" w:line="259" w:lineRule="auto"/>
      </w:pPr>
      <w:r>
        <w:rPr>
          <w:rFonts w:ascii="Times New Roman" w:hAnsi="Times New Roman" w:eastAsia="Times New Roman"/>
          <w:b/>
          <w:i w:val="0"/>
        </w:rPr>
        <w:t>Example 6.2.10</w:t>
      </w:r>
    </w:p>
    <w:p>
      <w:pPr>
        <w:spacing w:after="80" w:line="259" w:lineRule="auto"/>
        <w:ind w:firstLine="317"/>
      </w:pPr>
      <w:r>
        <w:rPr>
          <w:rFonts w:ascii="Times New Roman" w:hAnsi="Times New Roman" w:eastAsia="Times New Roman"/>
          <w:b w:val="0"/>
          <w:i w:val="0"/>
        </w:rPr>
        <w:t>Assume that Nepal Rastra Bank has allocated Rs. 200 million to a banking development fund. The amount in the fund is deposited in various banks and financial institutions and Nepal Rastra Bank earns interest income of Rs. 10 million from the deposits. Since this is income of a fund to be spent in accordance with the objectives of Nepal Rastra Bank, it is treated as exempt income. The person paying the interest is not required to withhold tax at source from that interest payment.</w:t>
      </w:r>
    </w:p>
    <w:p>
      <w:pPr>
        <w:spacing w:after="40" w:line="259" w:lineRule="auto"/>
      </w:pPr>
      <w:r>
        <w:rPr>
          <w:rFonts w:ascii="Times New Roman" w:hAnsi="Times New Roman" w:eastAsia="Times New Roman"/>
          <w:b/>
          <w:i w:val="0"/>
        </w:rPr>
        <w:t>10(k) ...</w:t>
      </w:r>
    </w:p>
    <w:p>
      <w:pPr>
        <w:spacing w:after="40" w:line="259" w:lineRule="auto"/>
      </w:pPr>
      <w:r>
        <w:rPr>
          <w:rFonts w:ascii="Times New Roman" w:hAnsi="Times New Roman" w:eastAsia="Times New Roman"/>
          <w:b/>
          <w:i w:val="0"/>
        </w:rPr>
        <w:t>10(l) Amounts derived by a mutual fund approved by the Securities Board of Nepal in accordance with its objectives.</w:t>
      </w:r>
    </w:p>
    <w:p>
      <w:pPr>
        <w:spacing w:after="100" w:line="259" w:lineRule="auto"/>
        <w:ind w:firstLine="317"/>
      </w:pPr>
      <w:r>
        <w:rPr>
          <w:rFonts w:ascii="Times New Roman" w:hAnsi="Times New Roman" w:eastAsia="Times New Roman"/>
          <w:b w:val="0"/>
          <w:i w:val="0"/>
        </w:rPr>
        <w:t>Amounts derived by a mutual fund approved by the Securities Board of Nepal in accordance with its objectives are also tax-exempt amounts and need not be included in income.</w:t>
      </w:r>
    </w:p>
    <w:p>
      <w:pPr>
        <w:spacing w:after="40" w:line="259" w:lineRule="auto"/>
      </w:pPr>
      <w:r>
        <w:rPr>
          <w:rFonts w:ascii="Times New Roman" w:hAnsi="Times New Roman" w:eastAsia="Times New Roman"/>
          <w:b/>
          <w:i w:val="0"/>
        </w:rPr>
        <w:t>10(m) Amounts derived in accordance with the objectives of an educational institution established and operated on the basis of a memorandum of understanding with the Government of Nepal, with the objective of not earning or distributing profit.</w:t>
      </w:r>
    </w:p>
    <w:p>
      <w:pPr>
        <w:spacing w:after="100" w:line="259" w:lineRule="auto"/>
        <w:ind w:firstLine="317"/>
      </w:pPr>
      <w:r>
        <w:rPr>
          <w:rFonts w:ascii="Times New Roman" w:hAnsi="Times New Roman" w:eastAsia="Times New Roman"/>
          <w:b w:val="0"/>
          <w:i w:val="0"/>
        </w:rPr>
        <w:t>Amounts derived by such an educational institution in accordance with its objectives are tax-exempt and need not be included in income.</w:t>
      </w:r>
    </w:p>
    <w:p>
      <w:pPr>
        <w:spacing w:after="100" w:line="259" w:lineRule="auto"/>
        <w:ind w:firstLine="317"/>
      </w:pPr>
      <w:r>
        <w:rPr>
          <w:rFonts w:ascii="Times New Roman" w:hAnsi="Times New Roman" w:eastAsia="Times New Roman"/>
          <w:b w:val="0"/>
          <w:i w:val="0"/>
        </w:rPr>
        <w:t>Under section 54 of the Act, dividends distributed by a company or partnership firm are taxed by the final withholding method. Where distributions are made by other entities, tax is not imposed. Detailed provisions are set out in Chapter 13 of this Directive.</w:t>
      </w:r>
    </w:p>
    <w:p>
      <w:pPr>
        <w:spacing w:after="100" w:line="259" w:lineRule="auto"/>
        <w:ind w:firstLine="317"/>
      </w:pPr>
      <w:r>
        <w:rPr>
          <w:rFonts w:ascii="Times New Roman" w:hAnsi="Times New Roman" w:eastAsia="Times New Roman"/>
          <w:b w:val="0"/>
          <w:i w:val="0"/>
        </w:rPr>
        <w:t>Since income derived by controlled foreign entities is assessed in the same income year under section 69 of the Act, amounts actually distributed by such entities need not be included for income computation purposes. Detailed explanation is given in Chapter 14 of this Directive.</w:t>
      </w:r>
    </w:p>
    <w:p>
      <w:pPr>
        <w:spacing w:after="100" w:line="259" w:lineRule="auto"/>
        <w:ind w:firstLine="317"/>
      </w:pPr>
      <w:r>
        <w:rPr>
          <w:rFonts w:ascii="Times New Roman" w:hAnsi="Times New Roman" w:eastAsia="Times New Roman"/>
          <w:b w:val="0"/>
          <w:i w:val="0"/>
        </w:rPr>
        <w:t>Among the payments subject to final withholding under section 92 of the Act, if a payment relates to business, the amount received from that payment need not be included in income. For example, dividends received from a Nepal-source payment after tax has been withheld are treated under section 92 as payments made with final withholding tax and therefore are not included in income. Detailed explanation is given in Chapter 16 of this Directive.</w:t>
      </w:r>
    </w:p>
    <w:p>
      <w:pPr>
        <w:pStyle w:val="Heading2"/>
        <w:spacing w:after="100" w:line="259" w:lineRule="auto"/>
      </w:pPr>
      <w:r>
        <w:rPr>
          <w:rFonts w:ascii="Times New Roman" w:hAnsi="Times New Roman" w:eastAsia="Times New Roman"/>
          <w:b w:val="0"/>
          <w:i w:val="0"/>
        </w:rPr>
        <w:t>6.3 Amounts to be included in income from employment</w:t>
      </w:r>
    </w:p>
    <w:p>
      <w:pPr>
        <w:pStyle w:val="Heading3"/>
        <w:spacing w:after="100" w:line="259" w:lineRule="auto"/>
      </w:pPr>
      <w:r>
        <w:rPr>
          <w:rFonts w:ascii="Times New Roman" w:hAnsi="Times New Roman" w:eastAsia="Times New Roman"/>
          <w:b w:val="0"/>
          <w:i w:val="0"/>
        </w:rPr>
        <w:t>6.3.1 Remuneration from employment</w:t>
      </w:r>
    </w:p>
    <w:p>
      <w:pPr>
        <w:spacing w:after="100" w:line="259" w:lineRule="auto"/>
        <w:ind w:firstLine="317"/>
      </w:pPr>
      <w:r>
        <w:rPr>
          <w:rFonts w:ascii="Times New Roman" w:hAnsi="Times New Roman" w:eastAsia="Times New Roman"/>
          <w:b w:val="0"/>
          <w:i w:val="0"/>
        </w:rPr>
        <w:t>Under section 8(1) of the Act, the remuneration derived by a natural person from employment during an income year must be computed as the income of that person from employment for that year.</w:t>
      </w:r>
    </w:p>
    <w:p>
      <w:pPr>
        <w:spacing w:after="100" w:line="259" w:lineRule="auto"/>
        <w:ind w:firstLine="317"/>
      </w:pPr>
      <w:r>
        <w:rPr>
          <w:rFonts w:ascii="Times New Roman" w:hAnsi="Times New Roman" w:eastAsia="Times New Roman"/>
          <w:b w:val="0"/>
          <w:i w:val="0"/>
        </w:rPr>
        <w:t>Section 2 of the Income Tax Act, 2058 defines employment as any past, present or prospective employment.</w:t>
      </w:r>
    </w:p>
    <w:p>
      <w:pPr>
        <w:spacing w:after="100" w:line="259" w:lineRule="auto"/>
        <w:ind w:firstLine="317"/>
      </w:pPr>
      <w:r>
        <w:rPr>
          <w:rFonts w:ascii="Times New Roman" w:hAnsi="Times New Roman" w:eastAsia="Times New Roman"/>
          <w:b w:val="0"/>
          <w:i w:val="0"/>
        </w:rPr>
        <w:t>Accordingly, it includes employment previously performed by a natural person, employment currently being performed, and employment to be performed in the future under any condition. Employment income means cash, benefits in kind and other facilities received by a natural person for providing services under the terms of employment by using knowledge, experience, skill, effort and labour.</w:t>
      </w:r>
    </w:p>
    <w:p>
      <w:pPr>
        <w:spacing w:after="100" w:line="259" w:lineRule="auto"/>
        <w:ind w:firstLine="317"/>
      </w:pPr>
      <w:r>
        <w:rPr>
          <w:rFonts w:ascii="Times New Roman" w:hAnsi="Times New Roman" w:eastAsia="Times New Roman"/>
          <w:b w:val="0"/>
          <w:i w:val="0"/>
        </w:rPr>
        <w:t>Detailed explanation on employment is provided in Chapter 17 of this Directive.</w:t>
      </w:r>
    </w:p>
    <w:p>
      <w:pPr>
        <w:pStyle w:val="Heading3"/>
        <w:spacing w:after="100" w:line="259" w:lineRule="auto"/>
      </w:pPr>
      <w:r>
        <w:rPr>
          <w:rFonts w:ascii="Times New Roman" w:hAnsi="Times New Roman" w:eastAsia="Times New Roman"/>
          <w:b w:val="0"/>
          <w:i w:val="0"/>
        </w:rPr>
        <w:t>6.3.2 Amounts to be included in computation of employment income</w:t>
      </w:r>
    </w:p>
    <w:p>
      <w:pPr>
        <w:spacing w:after="100" w:line="259" w:lineRule="auto"/>
        <w:ind w:firstLine="317"/>
      </w:pPr>
      <w:r>
        <w:rPr>
          <w:rFonts w:ascii="Times New Roman" w:hAnsi="Times New Roman" w:eastAsia="Times New Roman"/>
          <w:b w:val="0"/>
          <w:i w:val="0"/>
        </w:rPr>
        <w:t>In computing employment income, amounts of cash, kind, service or facility received directly or indirectly by the employee from the employer in the course of employment must be included. Section 8(2) of the Act provides as follows:</w:t>
      </w:r>
    </w:p>
    <w:p>
      <w:pPr>
        <w:spacing w:after="100" w:line="259" w:lineRule="auto"/>
        <w:ind w:left="317"/>
      </w:pPr>
      <w:r>
        <w:rPr>
          <w:rFonts w:ascii="Times New Roman" w:hAnsi="Times New Roman" w:eastAsia="Times New Roman"/>
          <w:b w:val="0"/>
          <w:i/>
          <w:sz w:val="18"/>
        </w:rPr>
        <w:t>The following payments made to a natural person during an income year shall be included in computing the remuneration derived by that natural person from employment for that income year:</w:t>
      </w:r>
    </w:p>
    <w:p>
      <w:pPr>
        <w:spacing w:after="40" w:line="259" w:lineRule="auto"/>
        <w:ind w:left="403" w:hanging="230"/>
      </w:pPr>
      <w:r>
        <w:rPr>
          <w:rFonts w:ascii="Times New Roman" w:hAnsi="Times New Roman" w:eastAsia="Times New Roman"/>
          <w:b w:val="0"/>
          <w:i w:val="0"/>
        </w:rPr>
        <w:t>• 8(2)(a) payments of wages, salary, leave pay, overtime pay, fees, commission, prizes, gifts, bonus and other facilities;</w:t>
      </w:r>
    </w:p>
    <w:p>
      <w:pPr>
        <w:spacing w:after="40" w:line="259" w:lineRule="auto"/>
        <w:ind w:left="403" w:hanging="230"/>
      </w:pPr>
      <w:r>
        <w:rPr>
          <w:rFonts w:ascii="Times New Roman" w:hAnsi="Times New Roman" w:eastAsia="Times New Roman"/>
          <w:b w:val="0"/>
          <w:i w:val="0"/>
        </w:rPr>
        <w:t>• 8(2)(b) payments of any personal allowance, including dearness allowance, living cost, rent, entertainment or transportation allowance;</w:t>
      </w:r>
    </w:p>
    <w:p>
      <w:pPr>
        <w:spacing w:after="40" w:line="259" w:lineRule="auto"/>
        <w:ind w:left="403" w:hanging="230"/>
      </w:pPr>
      <w:r>
        <w:rPr>
          <w:rFonts w:ascii="Times New Roman" w:hAnsi="Times New Roman" w:eastAsia="Times New Roman"/>
          <w:b w:val="0"/>
          <w:i w:val="0"/>
        </w:rPr>
        <w:t>• 8(2)(c) payments received as settlement or reimbursement of expenses incurred by the person or an associated person of that person for personal purposes;</w:t>
      </w:r>
    </w:p>
    <w:p>
      <w:pPr>
        <w:spacing w:after="40" w:line="259" w:lineRule="auto"/>
        <w:ind w:left="403" w:hanging="230"/>
      </w:pPr>
      <w:r>
        <w:rPr>
          <w:rFonts w:ascii="Times New Roman" w:hAnsi="Times New Roman" w:eastAsia="Times New Roman"/>
          <w:b w:val="0"/>
          <w:i w:val="0"/>
        </w:rPr>
        <w:t>• 8(2)(d) payments made for agreeing to any conditions of employment;</w:t>
      </w:r>
    </w:p>
    <w:p>
      <w:pPr>
        <w:spacing w:after="40" w:line="259" w:lineRule="auto"/>
        <w:ind w:left="403" w:hanging="230"/>
      </w:pPr>
      <w:r>
        <w:rPr>
          <w:rFonts w:ascii="Times New Roman" w:hAnsi="Times New Roman" w:eastAsia="Times New Roman"/>
          <w:b w:val="0"/>
          <w:i w:val="0"/>
        </w:rPr>
        <w:t>• 8(2)(e) payments made for termination, loss or compulsory retirement from employment;</w:t>
      </w:r>
    </w:p>
    <w:p>
      <w:pPr>
        <w:spacing w:after="40" w:line="259" w:lineRule="auto"/>
        <w:ind w:left="403" w:hanging="230"/>
      </w:pPr>
      <w:r>
        <w:rPr>
          <w:rFonts w:ascii="Times New Roman" w:hAnsi="Times New Roman" w:eastAsia="Times New Roman"/>
          <w:b w:val="0"/>
          <w:i w:val="0"/>
        </w:rPr>
        <w:t>• 8(2)(f) retirement payments and retirement contributions, including amounts deposited by the employer in a retirement fund for that employee;</w:t>
      </w:r>
    </w:p>
    <w:p>
      <w:pPr>
        <w:spacing w:after="100" w:line="259" w:lineRule="auto"/>
        <w:ind w:firstLine="317"/>
      </w:pPr>
      <w:r>
        <w:rPr>
          <w:rFonts w:ascii="Times New Roman" w:hAnsi="Times New Roman" w:eastAsia="Times New Roman"/>
          <w:b w:val="0"/>
          <w:i w:val="0"/>
        </w:rPr>
        <w:t>Under section 2 of the Act, "retirement payment" means a payment made to a natural person on retirement, or a payment made to the dependent of a natural person on the death of that person. The above provisions are explained in detail in Chapter 12 of this Directive.</w:t>
      </w:r>
    </w:p>
    <w:p>
      <w:pPr>
        <w:spacing w:after="40" w:line="259" w:lineRule="auto"/>
        <w:ind w:left="403" w:hanging="230"/>
      </w:pPr>
      <w:r>
        <w:rPr>
          <w:rFonts w:ascii="Times New Roman" w:hAnsi="Times New Roman" w:eastAsia="Times New Roman"/>
          <w:b w:val="0"/>
          <w:i w:val="0"/>
        </w:rPr>
        <w:t>• 8(2)(g) other payments made in respect of employment;</w:t>
      </w:r>
    </w:p>
    <w:p>
      <w:pPr>
        <w:spacing w:after="40" w:line="259" w:lineRule="auto"/>
        <w:ind w:left="403" w:hanging="230"/>
      </w:pPr>
      <w:r>
        <w:rPr>
          <w:rFonts w:ascii="Times New Roman" w:hAnsi="Times New Roman" w:eastAsia="Times New Roman"/>
          <w:b w:val="0"/>
          <w:i w:val="0"/>
        </w:rPr>
        <w:t>• 8(2)(h) other amounts required to be included under Chapter 6 or Chapter 7.</w:t>
      </w:r>
    </w:p>
    <w:p>
      <w:pPr>
        <w:spacing w:after="100" w:line="259" w:lineRule="auto"/>
        <w:ind w:firstLine="317"/>
      </w:pPr>
      <w:r>
        <w:rPr>
          <w:rFonts w:ascii="Times New Roman" w:hAnsi="Times New Roman" w:eastAsia="Times New Roman"/>
          <w:b w:val="0"/>
          <w:i w:val="0"/>
        </w:rPr>
        <w:t>In addition to the payments listed above, any other payment made by an employer to an employee in respect of employment, such as holiday trips, shopping or similar personal expenses, must also be included in employment income.</w:t>
      </w:r>
    </w:p>
    <w:p>
      <w:pPr>
        <w:spacing w:after="100" w:line="259" w:lineRule="auto"/>
        <w:ind w:firstLine="317"/>
      </w:pPr>
      <w:r>
        <w:rPr>
          <w:rFonts w:ascii="Times New Roman" w:hAnsi="Times New Roman" w:eastAsia="Times New Roman"/>
          <w:b w:val="0"/>
          <w:i w:val="0"/>
        </w:rPr>
        <w:t>A person must quantify and characterise the various facilities provided by the employer and include them in income.</w:t>
      </w:r>
    </w:p>
    <w:p>
      <w:pPr>
        <w:pStyle w:val="Heading3"/>
        <w:spacing w:after="100" w:line="259" w:lineRule="auto"/>
      </w:pPr>
      <w:r>
        <w:rPr>
          <w:rFonts w:ascii="Times New Roman" w:hAnsi="Times New Roman" w:eastAsia="Times New Roman"/>
          <w:b w:val="0"/>
          <w:i w:val="0"/>
        </w:rPr>
        <w:t>6.3.3 Method and timing of tax accounting for employment income</w:t>
      </w:r>
    </w:p>
    <w:p>
      <w:pPr>
        <w:spacing w:after="100" w:line="259" w:lineRule="auto"/>
        <w:ind w:firstLine="317"/>
      </w:pPr>
      <w:r>
        <w:rPr>
          <w:rFonts w:ascii="Times New Roman" w:hAnsi="Times New Roman" w:eastAsia="Times New Roman"/>
          <w:b w:val="0"/>
          <w:i w:val="0"/>
        </w:rPr>
        <w:t>Tax accounting for employment income must be done under section 22(1) and (2) of the Act as follows:</w:t>
      </w:r>
    </w:p>
    <w:p>
      <w:pPr>
        <w:spacing w:after="40" w:line="259" w:lineRule="auto"/>
        <w:ind w:left="403" w:hanging="230"/>
      </w:pPr>
      <w:r>
        <w:rPr>
          <w:rFonts w:ascii="Times New Roman" w:hAnsi="Times New Roman" w:eastAsia="Times New Roman"/>
          <w:b w:val="0"/>
          <w:i w:val="0"/>
        </w:rPr>
        <w:t>1. Subject to the Act, the determination of when a person derives income or incurs expenditure shall be made in accordance with generally accepted accounting principles.</w:t>
      </w:r>
    </w:p>
    <w:p>
      <w:pPr>
        <w:spacing w:after="40" w:line="259" w:lineRule="auto"/>
        <w:ind w:left="403" w:hanging="230"/>
      </w:pPr>
      <w:r>
        <w:rPr>
          <w:rFonts w:ascii="Times New Roman" w:hAnsi="Times New Roman" w:eastAsia="Times New Roman"/>
          <w:b w:val="0"/>
          <w:i w:val="0"/>
        </w:rPr>
        <w:t>2. A natural person must account for income from employment and investment for tax purposes on a cash basis.</w:t>
      </w:r>
    </w:p>
    <w:p>
      <w:pPr>
        <w:spacing w:after="100" w:line="259" w:lineRule="auto"/>
        <w:ind w:firstLine="317"/>
      </w:pPr>
      <w:r>
        <w:rPr>
          <w:rFonts w:ascii="Times New Roman" w:hAnsi="Times New Roman" w:eastAsia="Times New Roman"/>
          <w:b w:val="0"/>
          <w:i w:val="0"/>
        </w:rPr>
        <w:t>However, where a natural person receives a lump-sum payment of remuneration for past income years after the disposal of a court case relating to employment, the remuneration must be accounted for, for tax purposes, on an accrual basis in the relevant income years.</w:t>
      </w:r>
    </w:p>
    <w:p>
      <w:pPr>
        <w:spacing w:after="100" w:line="259" w:lineRule="auto"/>
        <w:ind w:firstLine="317"/>
      </w:pPr>
      <w:r>
        <w:rPr>
          <w:rFonts w:ascii="Times New Roman" w:hAnsi="Times New Roman" w:eastAsia="Times New Roman"/>
          <w:b w:val="0"/>
          <w:i w:val="0"/>
        </w:rPr>
        <w:t>Under section 23(a) and (b) of the Act, in computing income from employment, a natural person must account on a cash basis for tax purposes as follows:</w:t>
      </w:r>
    </w:p>
    <w:p>
      <w:pPr>
        <w:spacing w:after="40" w:line="259" w:lineRule="auto"/>
        <w:ind w:left="403" w:hanging="230"/>
      </w:pPr>
      <w:r>
        <w:rPr>
          <w:rFonts w:ascii="Times New Roman" w:hAnsi="Times New Roman" w:eastAsia="Times New Roman"/>
          <w:b w:val="0"/>
          <w:i w:val="0"/>
        </w:rPr>
        <w:t>1. An amount is treated as derived and included in the computation of income only when the person receives payment or the payment is made available to the person.</w:t>
      </w:r>
    </w:p>
    <w:p>
      <w:pPr>
        <w:spacing w:after="40" w:line="259" w:lineRule="auto"/>
        <w:ind w:left="403" w:hanging="230"/>
      </w:pPr>
      <w:r>
        <w:rPr>
          <w:rFonts w:ascii="Times New Roman" w:hAnsi="Times New Roman" w:eastAsia="Times New Roman"/>
          <w:b w:val="0"/>
          <w:i w:val="0"/>
        </w:rPr>
        <w:t>2. An amount is deductible as an expense only after the person makes the payment.</w:t>
      </w:r>
    </w:p>
    <w:p>
      <w:pPr>
        <w:spacing w:after="100" w:line="259" w:lineRule="auto"/>
        <w:ind w:firstLine="317"/>
      </w:pPr>
      <w:r>
        <w:rPr>
          <w:rFonts w:ascii="Times New Roman" w:hAnsi="Times New Roman" w:eastAsia="Times New Roman"/>
          <w:b w:val="0"/>
          <w:i w:val="0"/>
        </w:rPr>
        <w:t>The system under which an employee includes income only when cash is received or credited to the employee's account, and claims an expense only after payment is made, is called cash-basis accounting.</w:t>
      </w:r>
    </w:p>
    <w:p>
      <w:pPr>
        <w:spacing w:after="100" w:line="259" w:lineRule="auto"/>
        <w:ind w:firstLine="317"/>
      </w:pPr>
      <w:r>
        <w:rPr>
          <w:rFonts w:ascii="Times New Roman" w:hAnsi="Times New Roman" w:eastAsia="Times New Roman"/>
          <w:b w:val="0"/>
          <w:i w:val="0"/>
        </w:rPr>
        <w:t>The provisions relating to the method and timing of tax accounting are explained in detail in Chapter 8 of this Directive.</w:t>
      </w:r>
    </w:p>
    <w:p>
      <w:pPr>
        <w:pStyle w:val="Heading3"/>
        <w:spacing w:after="100" w:line="259" w:lineRule="auto"/>
      </w:pPr>
      <w:r>
        <w:rPr>
          <w:rFonts w:ascii="Times New Roman" w:hAnsi="Times New Roman" w:eastAsia="Times New Roman"/>
          <w:b w:val="0"/>
          <w:i w:val="0"/>
        </w:rPr>
        <w:t>6.3.4 Facilities to be included in employment income and characterisation</w:t>
      </w:r>
    </w:p>
    <w:p>
      <w:pPr>
        <w:spacing w:after="100" w:line="259" w:lineRule="auto"/>
        <w:ind w:firstLine="317"/>
      </w:pPr>
      <w:r>
        <w:rPr>
          <w:rFonts w:ascii="Times New Roman" w:hAnsi="Times New Roman" w:eastAsia="Times New Roman"/>
          <w:b w:val="0"/>
          <w:i w:val="0"/>
        </w:rPr>
        <w:t>Quantification of amounts: section 27 of the Act provides for quantifying payments received otherwise than in cash. The facilities covered by that section must be determined in monetary terms and included accordingly in the employee's income. In addition, compensation payments must be characterised and included in income under section 31 of the Act.</w:t>
      </w:r>
    </w:p>
    <w:p>
      <w:pPr>
        <w:spacing w:after="100" w:line="259" w:lineRule="auto"/>
        <w:ind w:firstLine="317"/>
      </w:pPr>
      <w:r>
        <w:rPr>
          <w:rFonts w:ascii="Times New Roman" w:hAnsi="Times New Roman" w:eastAsia="Times New Roman"/>
          <w:b w:val="0"/>
          <w:i w:val="0"/>
        </w:rPr>
        <w:t>The amounts of payments under section 27(1)(a) to (e) are quantified as follows:</w:t>
      </w:r>
    </w:p>
    <w:p>
      <w:pPr>
        <w:spacing w:after="40" w:line="259" w:lineRule="auto"/>
      </w:pPr>
      <w:r>
        <w:rPr>
          <w:rFonts w:ascii="Times New Roman" w:hAnsi="Times New Roman" w:eastAsia="Times New Roman"/>
          <w:b/>
          <w:i w:val="0"/>
        </w:rPr>
        <w:t>27(1)(a) In the case of a payment made by one person to another by transferring an asset, the amount is equal to the market value of the transferred asset.</w:t>
      </w:r>
    </w:p>
    <w:p>
      <w:pPr>
        <w:spacing w:after="100" w:line="259" w:lineRule="auto"/>
        <w:ind w:firstLine="317"/>
      </w:pPr>
      <w:r>
        <w:rPr>
          <w:rFonts w:ascii="Times New Roman" w:hAnsi="Times New Roman" w:eastAsia="Times New Roman"/>
          <w:b w:val="0"/>
          <w:i w:val="0"/>
        </w:rPr>
        <w:t>Where an employer transfers movable or immovable property to workers or employees in place of cash benefits, the amount equal to the market value of the transferred asset must be included in the employment income of the recipient employee. Under section 27(2), the time when a payment is earned, received, given, borne or otherwise accounted for tax purposes is treated as the time at which the amount is quantified, i.e. the time at which the payment is deemed to have been made.</w:t>
      </w:r>
    </w:p>
    <w:p>
      <w:pPr>
        <w:spacing w:after="40" w:line="259" w:lineRule="auto"/>
      </w:pPr>
      <w:r>
        <w:rPr>
          <w:rFonts w:ascii="Times New Roman" w:hAnsi="Times New Roman" w:eastAsia="Times New Roman"/>
          <w:b/>
          <w:i w:val="0"/>
        </w:rPr>
        <w:t>27(1)(b) For payments in respect of providing the following items, the amount determined as prescribed or, where no method is prescribed, the amount determined under clause (e):</w:t>
      </w:r>
    </w:p>
    <w:p>
      <w:pPr>
        <w:spacing w:after="40" w:line="259" w:lineRule="auto"/>
        <w:ind w:left="403" w:hanging="230"/>
      </w:pPr>
      <w:r>
        <w:rPr>
          <w:rFonts w:ascii="Times New Roman" w:hAnsi="Times New Roman" w:eastAsia="Times New Roman"/>
          <w:b w:val="0"/>
          <w:i w:val="0"/>
        </w:rPr>
        <w:t>1. a vehicle used or made available for full or partial personal use of the payee;</w:t>
      </w:r>
    </w:p>
    <w:p>
      <w:pPr>
        <w:spacing w:after="40" w:line="259" w:lineRule="auto"/>
        <w:ind w:left="403" w:hanging="230"/>
      </w:pPr>
      <w:r>
        <w:rPr>
          <w:rFonts w:ascii="Times New Roman" w:hAnsi="Times New Roman" w:eastAsia="Times New Roman"/>
          <w:b w:val="0"/>
          <w:i w:val="0"/>
        </w:rPr>
        <w:t>2. a building provided for the payee.</w:t>
      </w:r>
    </w:p>
    <w:p>
      <w:pPr>
        <w:spacing w:after="100" w:line="259" w:lineRule="auto"/>
        <w:ind w:firstLine="317"/>
      </w:pPr>
      <w:r>
        <w:rPr>
          <w:rFonts w:ascii="Times New Roman" w:hAnsi="Times New Roman" w:eastAsia="Times New Roman"/>
          <w:b w:val="0"/>
          <w:i w:val="0"/>
        </w:rPr>
        <w:t>Where an employer provides a vehicle, fully or partly, for personal use of workers or employees in accordance with the rules, an amount equal to 0.5 percent of the salary being received (initial salary and grade) is treated as payment received and included in remuneration income.</w:t>
      </w:r>
    </w:p>
    <w:p>
      <w:pPr>
        <w:spacing w:after="100" w:line="259" w:lineRule="auto"/>
        <w:ind w:firstLine="317"/>
      </w:pPr>
      <w:r>
        <w:rPr>
          <w:rFonts w:ascii="Times New Roman" w:hAnsi="Times New Roman" w:eastAsia="Times New Roman"/>
          <w:b w:val="0"/>
          <w:i w:val="0"/>
        </w:rPr>
        <w:t>Where an employer provides residence to monthly paid workers or employees in a building owned or rented by the employer, an amount equal to 2 percent of the salary being received (initial salary and grade) is treated as payment received and included in remuneration income of the employee enjoying that facility.</w:t>
      </w:r>
    </w:p>
    <w:p>
      <w:pPr>
        <w:spacing w:after="40" w:line="259" w:lineRule="auto"/>
      </w:pPr>
      <w:r>
        <w:rPr>
          <w:rFonts w:ascii="Times New Roman" w:hAnsi="Times New Roman" w:eastAsia="Times New Roman"/>
          <w:b/>
          <w:i w:val="0"/>
        </w:rPr>
        <w:t>27(1)(c) The amount remaining after deducting the contribution of the payee from the cost incurred by the payer for providing the following:</w:t>
      </w:r>
    </w:p>
    <w:p>
      <w:pPr>
        <w:spacing w:after="40" w:line="259" w:lineRule="auto"/>
        <w:ind w:left="403" w:hanging="230"/>
      </w:pPr>
      <w:r>
        <w:rPr>
          <w:rFonts w:ascii="Times New Roman" w:hAnsi="Times New Roman" w:eastAsia="Times New Roman"/>
          <w:b w:val="0"/>
          <w:i w:val="0"/>
        </w:rPr>
        <w:t>1. services of a housekeeper, cook, driver, gardener or other domestic assistant;</w:t>
      </w:r>
    </w:p>
    <w:p>
      <w:pPr>
        <w:spacing w:after="40" w:line="259" w:lineRule="auto"/>
        <w:ind w:left="403" w:hanging="230"/>
      </w:pPr>
      <w:r>
        <w:rPr>
          <w:rFonts w:ascii="Times New Roman" w:hAnsi="Times New Roman" w:eastAsia="Times New Roman"/>
          <w:b w:val="0"/>
          <w:i w:val="0"/>
        </w:rPr>
        <w:t>2. any meal, refreshment or entertainment; or</w:t>
      </w:r>
    </w:p>
    <w:p>
      <w:pPr>
        <w:spacing w:after="40" w:line="259" w:lineRule="auto"/>
        <w:ind w:left="403" w:hanging="230"/>
      </w:pPr>
      <w:r>
        <w:rPr>
          <w:rFonts w:ascii="Times New Roman" w:hAnsi="Times New Roman" w:eastAsia="Times New Roman"/>
          <w:b w:val="0"/>
          <w:i w:val="0"/>
        </w:rPr>
        <w:t>3. services such as water, electricity and telephone installed at the residence of the payee.</w:t>
      </w:r>
    </w:p>
    <w:p>
      <w:pPr>
        <w:spacing w:after="100" w:line="259" w:lineRule="auto"/>
        <w:ind w:firstLine="317"/>
      </w:pPr>
      <w:r>
        <w:rPr>
          <w:rFonts w:ascii="Times New Roman" w:hAnsi="Times New Roman" w:eastAsia="Times New Roman"/>
          <w:b w:val="0"/>
          <w:i w:val="0"/>
        </w:rPr>
        <w:t>If an entity provides, under its rules, services of a housekeeper, cook, driver, gardener or other domestic assistant to an employee, the amount remaining after deducting any payment made by the person receiving the facility must be included in that person's employment income.</w:t>
      </w:r>
    </w:p>
    <w:p>
      <w:pPr>
        <w:spacing w:after="100" w:line="259" w:lineRule="auto"/>
        <w:ind w:firstLine="317"/>
      </w:pPr>
      <w:r>
        <w:rPr>
          <w:rFonts w:ascii="Times New Roman" w:hAnsi="Times New Roman" w:eastAsia="Times New Roman"/>
          <w:b w:val="0"/>
          <w:i w:val="0"/>
        </w:rPr>
        <w:t>If the entity provides services such as water, electricity or telephone installed at the residence of the person receiving the facility, the charges paid by the entity for providing those services must be included in the employment income of the person using the facility.</w:t>
      </w:r>
    </w:p>
    <w:p>
      <w:pPr>
        <w:spacing w:after="40" w:line="259" w:lineRule="auto"/>
      </w:pPr>
      <w:r>
        <w:rPr>
          <w:rFonts w:ascii="Times New Roman" w:hAnsi="Times New Roman" w:eastAsia="Times New Roman"/>
          <w:b/>
          <w:i w:val="0"/>
        </w:rPr>
        <w:t>27(1)(d) Where interest paid by a person required to receive payment during an income year on a loan is less than the interest payable at the prevailing interest rate, the amount of the shortfall.</w:t>
      </w:r>
    </w:p>
    <w:p>
      <w:pPr>
        <w:spacing w:after="100" w:line="259" w:lineRule="auto"/>
        <w:ind w:firstLine="317"/>
      </w:pPr>
      <w:r>
        <w:rPr>
          <w:rFonts w:ascii="Times New Roman" w:hAnsi="Times New Roman" w:eastAsia="Times New Roman"/>
          <w:b w:val="0"/>
          <w:i w:val="0"/>
        </w:rPr>
        <w:t>The benefit of an interest-free loan or a loan at a concessional rate provided by an employer to an employee must also be included in income.</w:t>
      </w:r>
    </w:p>
    <w:p>
      <w:pPr>
        <w:spacing w:after="40" w:line="259" w:lineRule="auto"/>
      </w:pPr>
      <w:r>
        <w:rPr>
          <w:rFonts w:ascii="Times New Roman" w:hAnsi="Times New Roman" w:eastAsia="Times New Roman"/>
          <w:b/>
          <w:i w:val="0"/>
        </w:rPr>
        <w:t>27(1)(e) In respect of payments other than those mentioned in clauses (a), (b), (c) and (d), where a third person receives payment instead of the payee, the amount equal to the value of the benefit ordinarily receivable.</w:t>
      </w:r>
    </w:p>
    <w:p>
      <w:pPr>
        <w:spacing w:after="100" w:line="259" w:lineRule="auto"/>
        <w:ind w:firstLine="317"/>
      </w:pPr>
      <w:r>
        <w:rPr>
          <w:rFonts w:ascii="Times New Roman" w:hAnsi="Times New Roman" w:eastAsia="Times New Roman"/>
          <w:b w:val="0"/>
          <w:i w:val="0"/>
        </w:rPr>
        <w:t>The provisions relating to facilities, characterisation and quantification of amounts are explained in detail in Chapter 7 of this Directive.</w:t>
      </w:r>
    </w:p>
    <w:p>
      <w:pPr>
        <w:pStyle w:val="Heading3"/>
        <w:spacing w:after="100" w:line="259" w:lineRule="auto"/>
      </w:pPr>
      <w:r>
        <w:rPr>
          <w:rFonts w:ascii="Times New Roman" w:hAnsi="Times New Roman" w:eastAsia="Times New Roman"/>
          <w:b w:val="0"/>
          <w:i w:val="0"/>
        </w:rPr>
        <w:t>6.3.5 Income not to be included in employment income</w:t>
      </w:r>
    </w:p>
    <w:p>
      <w:pPr>
        <w:spacing w:after="100" w:line="259" w:lineRule="auto"/>
        <w:ind w:firstLine="317"/>
      </w:pPr>
      <w:r>
        <w:rPr>
          <w:rFonts w:ascii="Times New Roman" w:hAnsi="Times New Roman" w:eastAsia="Times New Roman"/>
          <w:b w:val="0"/>
          <w:i w:val="0"/>
        </w:rPr>
        <w:t>Section 8(3) of the Act provides as follows regarding amounts not required to be included in computing employment income derived by a natural person from employment:</w:t>
      </w:r>
    </w:p>
    <w:p>
      <w:pPr>
        <w:spacing w:after="100" w:line="259" w:lineRule="auto"/>
        <w:ind w:left="317"/>
      </w:pPr>
      <w:r>
        <w:rPr>
          <w:rFonts w:ascii="Times New Roman" w:hAnsi="Times New Roman" w:eastAsia="Times New Roman"/>
          <w:b w:val="0"/>
          <w:i/>
          <w:sz w:val="18"/>
        </w:rPr>
        <w:t>8(3) Notwithstanding anything contained in subsection (2), the following matters shall not be included in computing remuneration derived by a natural person from employment:</w:t>
      </w:r>
    </w:p>
    <w:p>
      <w:pPr>
        <w:spacing w:after="40" w:line="259" w:lineRule="auto"/>
      </w:pPr>
      <w:r>
        <w:rPr>
          <w:rFonts w:ascii="Times New Roman" w:hAnsi="Times New Roman" w:eastAsia="Times New Roman"/>
          <w:b/>
          <w:i w:val="0"/>
        </w:rPr>
        <w:t>8(3)(a) exempt amounts under section 10 and payments subject to final withholding tax.</w:t>
      </w:r>
    </w:p>
    <w:p>
      <w:pPr>
        <w:spacing w:after="40" w:line="259" w:lineRule="auto"/>
      </w:pPr>
      <w:r>
        <w:rPr>
          <w:rFonts w:ascii="Times New Roman" w:hAnsi="Times New Roman" w:eastAsia="Times New Roman"/>
          <w:b/>
          <w:i w:val="0"/>
        </w:rPr>
        <w:t>(1) Exempt amounts referred to in section 10 of the Act:</w:t>
      </w:r>
    </w:p>
    <w:p>
      <w:pPr>
        <w:spacing w:after="40" w:line="259" w:lineRule="auto"/>
        <w:ind w:left="403" w:hanging="230"/>
      </w:pPr>
      <w:r>
        <w:rPr>
          <w:rFonts w:ascii="Times New Roman" w:hAnsi="Times New Roman" w:eastAsia="Times New Roman"/>
          <w:b w:val="0"/>
          <w:i w:val="0"/>
        </w:rPr>
        <w:t>• Under section 10(a), a tax-exempt amount received by a person entitled to tax exemption under a bilateral or multilateral treaty or agreement between the Government of Nepal and a foreign country or international organisation. For example, income of employees of international organisations such as the United Nations, SAARC Secretariat and Asian Development Bank is not subject to income tax to the extent provided in the treaty or agreement with the organisation.</w:t>
      </w:r>
    </w:p>
    <w:p>
      <w:pPr>
        <w:spacing w:after="40" w:line="259" w:lineRule="auto"/>
        <w:ind w:left="403" w:hanging="230"/>
      </w:pPr>
      <w:r>
        <w:rPr>
          <w:rFonts w:ascii="Times New Roman" w:hAnsi="Times New Roman" w:eastAsia="Times New Roman"/>
          <w:b w:val="0"/>
          <w:i w:val="0"/>
        </w:rPr>
        <w:t>• Under section 10(b), amounts received by a natural person for employment in the public service of a foreign government, provided that the person is resident or non-resident only by reason of the employment and the amount is paid from the public fund of that foreign country.</w:t>
      </w:r>
    </w:p>
    <w:p>
      <w:pPr>
        <w:spacing w:after="40" w:line="259" w:lineRule="auto"/>
        <w:ind w:left="403" w:hanging="230"/>
      </w:pPr>
      <w:r>
        <w:rPr>
          <w:rFonts w:ascii="Times New Roman" w:hAnsi="Times New Roman" w:eastAsia="Times New Roman"/>
          <w:b w:val="0"/>
          <w:i w:val="0"/>
        </w:rPr>
        <w:t>• Under section 10(c), amounts received from the public fund of a foreign country by a non-Nepali citizen natural person, or by a member of that person's immediate family, who is resident in Nepal only by reason of employment.</w:t>
      </w:r>
    </w:p>
    <w:p>
      <w:pPr>
        <w:spacing w:after="40" w:line="259" w:lineRule="auto"/>
        <w:ind w:left="403" w:hanging="230"/>
      </w:pPr>
      <w:r>
        <w:rPr>
          <w:rFonts w:ascii="Times New Roman" w:hAnsi="Times New Roman" w:eastAsia="Times New Roman"/>
          <w:b w:val="0"/>
          <w:i w:val="0"/>
        </w:rPr>
        <w:t>• Under section 10(d), amounts received by a non-Nepali citizen appointed in the service of the Government of Nepal on the condition that tax is not payable.</w:t>
      </w:r>
    </w:p>
    <w:p>
      <w:pPr>
        <w:spacing w:after="40" w:line="259" w:lineRule="auto"/>
        <w:ind w:left="403" w:hanging="230"/>
      </w:pPr>
      <w:r>
        <w:rPr>
          <w:rFonts w:ascii="Times New Roman" w:hAnsi="Times New Roman" w:eastAsia="Times New Roman"/>
          <w:b w:val="0"/>
          <w:i w:val="0"/>
        </w:rPr>
        <w:t>• Under section 10(e), all types of allowances given by the Government of Nepal, a Province or a Local Level as social security.</w:t>
      </w:r>
    </w:p>
    <w:p>
      <w:pPr>
        <w:spacing w:after="40" w:line="259" w:lineRule="auto"/>
        <w:ind w:left="403" w:hanging="230"/>
      </w:pPr>
      <w:r>
        <w:rPr>
          <w:rFonts w:ascii="Times New Roman" w:hAnsi="Times New Roman" w:eastAsia="Times New Roman"/>
          <w:b w:val="0"/>
          <w:i w:val="0"/>
        </w:rPr>
        <w:t>• Under section 10(f), pension amounts received from the public fund of a foreign country by a Nepali citizen retired from the army or police service of that country.</w:t>
      </w:r>
    </w:p>
    <w:p>
      <w:pPr>
        <w:spacing w:after="100" w:line="259" w:lineRule="auto"/>
        <w:ind w:firstLine="317"/>
      </w:pPr>
      <w:r>
        <w:rPr>
          <w:rFonts w:ascii="Times New Roman" w:hAnsi="Times New Roman" w:eastAsia="Times New Roman"/>
          <w:b w:val="0"/>
          <w:i w:val="0"/>
        </w:rPr>
        <w:t>The provisions relating to income not included in remuneration income are explained in detail in Chapter 17 of this Directive.</w:t>
      </w:r>
    </w:p>
    <w:p>
      <w:pPr>
        <w:spacing w:after="40" w:line="259" w:lineRule="auto"/>
      </w:pPr>
      <w:r>
        <w:rPr>
          <w:rFonts w:ascii="Times New Roman" w:hAnsi="Times New Roman" w:eastAsia="Times New Roman"/>
          <w:b/>
          <w:i w:val="0"/>
        </w:rPr>
        <w:t>(2) Payments subject to final withholding tax:</w:t>
      </w:r>
    </w:p>
    <w:p>
      <w:pPr>
        <w:spacing w:after="100" w:line="259" w:lineRule="auto"/>
        <w:ind w:firstLine="317"/>
      </w:pPr>
      <w:r>
        <w:rPr>
          <w:rFonts w:ascii="Times New Roman" w:hAnsi="Times New Roman" w:eastAsia="Times New Roman"/>
          <w:b w:val="0"/>
          <w:i w:val="0"/>
        </w:rPr>
        <w:t>Section 92 of the Act provides for payments subject to final withholding of advance tax. Income received after final withholding is not included while computing employment income. Those payments are as follows:</w:t>
      </w:r>
    </w:p>
    <w:p>
      <w:pPr>
        <w:spacing w:after="40" w:line="259" w:lineRule="auto"/>
        <w:ind w:left="403" w:hanging="230"/>
      </w:pPr>
      <w:r>
        <w:rPr>
          <w:rFonts w:ascii="Times New Roman" w:hAnsi="Times New Roman" w:eastAsia="Times New Roman"/>
          <w:b w:val="0"/>
          <w:i w:val="0"/>
        </w:rPr>
        <w:t>• dividends paid by a resident company or partnership firm;</w:t>
      </w:r>
    </w:p>
    <w:p>
      <w:pPr>
        <w:spacing w:after="40" w:line="259" w:lineRule="auto"/>
        <w:ind w:left="403" w:hanging="230"/>
      </w:pPr>
      <w:r>
        <w:rPr>
          <w:rFonts w:ascii="Times New Roman" w:hAnsi="Times New Roman" w:eastAsia="Times New Roman"/>
          <w:b w:val="0"/>
          <w:i w:val="0"/>
        </w:rPr>
        <w:t>• rent with a source in Nepal paid to a natural person, other than a person conducting business, for land or a building and fixtures or equipment attached to it;</w:t>
      </w:r>
    </w:p>
    <w:p>
      <w:pPr>
        <w:spacing w:after="40" w:line="259" w:lineRule="auto"/>
        <w:ind w:left="403" w:hanging="230"/>
      </w:pPr>
      <w:r>
        <w:rPr>
          <w:rFonts w:ascii="Times New Roman" w:hAnsi="Times New Roman" w:eastAsia="Times New Roman"/>
          <w:b w:val="0"/>
          <w:i w:val="0"/>
        </w:rPr>
        <w:t>• gain paid by a resident person under investment insurance;</w:t>
      </w:r>
    </w:p>
    <w:p>
      <w:pPr>
        <w:spacing w:after="40" w:line="259" w:lineRule="auto"/>
        <w:ind w:left="403" w:hanging="230"/>
      </w:pPr>
      <w:r>
        <w:rPr>
          <w:rFonts w:ascii="Times New Roman" w:hAnsi="Times New Roman" w:eastAsia="Times New Roman"/>
          <w:b w:val="0"/>
          <w:i w:val="0"/>
        </w:rPr>
        <w:t>• gain paid by a resident person in respect of an interest in an unapproved retirement fund;</w:t>
      </w:r>
    </w:p>
    <w:p>
      <w:pPr>
        <w:spacing w:after="40" w:line="259" w:lineRule="auto"/>
        <w:ind w:left="403" w:hanging="230"/>
      </w:pPr>
      <w:r>
        <w:rPr>
          <w:rFonts w:ascii="Times New Roman" w:hAnsi="Times New Roman" w:eastAsia="Times New Roman"/>
          <w:b w:val="0"/>
          <w:i w:val="0"/>
        </w:rPr>
        <w:t>• interest, as referred to in section 88(3), paid by a bank, financial institution, cooperative, other entity issuing debentures, or a company or cooperative listed under prevailing law, to a natural person or exempt organisation in respect of a Nepal-source payment not connected with conducting business;</w:t>
      </w:r>
    </w:p>
    <w:p>
      <w:pPr>
        <w:spacing w:after="40" w:line="259" w:lineRule="auto"/>
        <w:ind w:left="403" w:hanging="230"/>
      </w:pPr>
      <w:r>
        <w:rPr>
          <w:rFonts w:ascii="Times New Roman" w:hAnsi="Times New Roman" w:eastAsia="Times New Roman"/>
          <w:b w:val="0"/>
          <w:i w:val="0"/>
        </w:rPr>
        <w:t>• payments subject to withholding made to a non-resident person under section 87, 88, 88A or 89;</w:t>
      </w:r>
    </w:p>
    <w:p>
      <w:pPr>
        <w:spacing w:after="40" w:line="259" w:lineRule="auto"/>
        <w:ind w:left="403" w:hanging="230"/>
      </w:pPr>
      <w:r>
        <w:rPr>
          <w:rFonts w:ascii="Times New Roman" w:hAnsi="Times New Roman" w:eastAsia="Times New Roman"/>
          <w:b w:val="0"/>
          <w:i w:val="0"/>
        </w:rPr>
        <w:t>• all types of retirement payments, including retirement payments made by the Government of Nepal, an approved retirement fund or an unapproved retirement fund, except regularly paid pension;</w:t>
      </w:r>
    </w:p>
    <w:p>
      <w:pPr>
        <w:spacing w:after="40" w:line="259" w:lineRule="auto"/>
        <w:ind w:left="403" w:hanging="230"/>
      </w:pPr>
      <w:r>
        <w:rPr>
          <w:rFonts w:ascii="Times New Roman" w:hAnsi="Times New Roman" w:eastAsia="Times New Roman"/>
          <w:b w:val="0"/>
          <w:i w:val="0"/>
        </w:rPr>
        <w:t>• meeting allowance up to Rs. 20,000 per meeting, and payments for occasional teaching, preparation of question papers or checking answer sheets;</w:t>
      </w:r>
    </w:p>
    <w:p>
      <w:pPr>
        <w:spacing w:after="40" w:line="259" w:lineRule="auto"/>
        <w:ind w:left="403" w:hanging="230"/>
      </w:pPr>
      <w:r>
        <w:rPr>
          <w:rFonts w:ascii="Times New Roman" w:hAnsi="Times New Roman" w:eastAsia="Times New Roman"/>
          <w:b w:val="0"/>
          <w:i w:val="0"/>
        </w:rPr>
        <w:t>• payments of windfall gain;</w:t>
      </w:r>
    </w:p>
    <w:p>
      <w:pPr>
        <w:spacing w:after="40" w:line="259" w:lineRule="auto"/>
        <w:ind w:left="403" w:hanging="230"/>
      </w:pPr>
      <w:r>
        <w:rPr>
          <w:rFonts w:ascii="Times New Roman" w:hAnsi="Times New Roman" w:eastAsia="Times New Roman"/>
          <w:b w:val="0"/>
          <w:i w:val="0"/>
        </w:rPr>
        <w:t>• returns distributed to a natural person by a mutual fund; and</w:t>
      </w:r>
    </w:p>
    <w:p>
      <w:pPr>
        <w:spacing w:after="40" w:line="259" w:lineRule="auto"/>
        <w:ind w:left="403" w:hanging="230"/>
      </w:pPr>
      <w:r>
        <w:rPr>
          <w:rFonts w:ascii="Times New Roman" w:hAnsi="Times New Roman" w:eastAsia="Times New Roman"/>
          <w:b w:val="0"/>
          <w:i w:val="0"/>
        </w:rPr>
        <w:t>• payments to a natural person, other than a sole proprietorship firm, for hire of vehicle or transport vehicle or for transportation service.</w:t>
      </w:r>
    </w:p>
    <w:p>
      <w:pPr>
        <w:spacing w:after="40" w:line="259" w:lineRule="auto"/>
      </w:pPr>
      <w:r>
        <w:rPr>
          <w:rFonts w:ascii="Times New Roman" w:hAnsi="Times New Roman" w:eastAsia="Times New Roman"/>
          <w:b/>
          <w:i w:val="0"/>
        </w:rPr>
        <w:t>8(3)(b) Meals and snacks provided by the employer at the workplace to employees, where the same terms are available to all employees.</w:t>
      </w:r>
    </w:p>
    <w:p>
      <w:pPr>
        <w:spacing w:after="40" w:line="259" w:lineRule="auto"/>
      </w:pPr>
      <w:r>
        <w:rPr>
          <w:rFonts w:ascii="Times New Roman" w:hAnsi="Times New Roman" w:eastAsia="Times New Roman"/>
          <w:b/>
          <w:i w:val="0"/>
        </w:rPr>
        <w:t>8(3)(c) Settlement or reimbursement of expenses incurred by an employee where the expenditure fulfils the business purpose of the employer, or where the expenditure is deductible, or would be deductible, in computing the natural person's income from business or investment.</w:t>
      </w:r>
    </w:p>
    <w:p>
      <w:pPr>
        <w:spacing w:after="100" w:line="259" w:lineRule="auto"/>
        <w:ind w:firstLine="317"/>
      </w:pPr>
      <w:r>
        <w:rPr>
          <w:rFonts w:ascii="Times New Roman" w:hAnsi="Times New Roman" w:eastAsia="Times New Roman"/>
          <w:b w:val="0"/>
          <w:i w:val="0"/>
        </w:rPr>
        <w:t>Amounts settled or reimbursed by the employer to the employee for fulfilling the employer's business purpose are not included in the employee's employment income.</w:t>
      </w:r>
    </w:p>
    <w:p>
      <w:pPr>
        <w:spacing w:after="40" w:line="259" w:lineRule="auto"/>
      </w:pPr>
      <w:r>
        <w:rPr>
          <w:rFonts w:ascii="Times New Roman" w:hAnsi="Times New Roman" w:eastAsia="Times New Roman"/>
          <w:b/>
          <w:i w:val="0"/>
        </w:rPr>
        <w:t>8(3)(d) Small payments, as prescribed, for which keeping accounts is impractical or administratively difficult.</w:t>
      </w:r>
    </w:p>
    <w:p>
      <w:pPr>
        <w:spacing w:after="100" w:line="259" w:lineRule="auto"/>
        <w:ind w:firstLine="317"/>
      </w:pPr>
      <w:r>
        <w:rPr>
          <w:rFonts w:ascii="Times New Roman" w:hAnsi="Times New Roman" w:eastAsia="Times New Roman"/>
          <w:b w:val="0"/>
          <w:i w:val="0"/>
        </w:rPr>
        <w:t>Small expenses for which keeping accounts is impractical or administratively difficult, up to Rs. 500 at a time, received by an employee are not required to be included in income. Such minor expenses are referred to in rule 6 of the Income Tax Rules.</w:t>
      </w:r>
    </w:p>
    <w:p>
      <w:pPr>
        <w:spacing w:after="40" w:line="259" w:lineRule="auto"/>
      </w:pPr>
      <w:r>
        <w:rPr>
          <w:rFonts w:ascii="Times New Roman" w:hAnsi="Times New Roman" w:eastAsia="Times New Roman"/>
          <w:b/>
          <w:i w:val="0"/>
        </w:rPr>
        <w:t>Explanation: For the purposes of this section, "payment" means a payment made as follows:</w:t>
      </w:r>
    </w:p>
    <w:p>
      <w:pPr>
        <w:spacing w:after="40" w:line="259" w:lineRule="auto"/>
        <w:ind w:left="403" w:hanging="230"/>
      </w:pPr>
      <w:r>
        <w:rPr>
          <w:rFonts w:ascii="Times New Roman" w:hAnsi="Times New Roman" w:eastAsia="Times New Roman"/>
          <w:b w:val="0"/>
          <w:i w:val="0"/>
        </w:rPr>
        <w:t>1. by the employer;</w:t>
      </w:r>
    </w:p>
    <w:p>
      <w:pPr>
        <w:spacing w:after="40" w:line="259" w:lineRule="auto"/>
        <w:ind w:left="403" w:hanging="230"/>
      </w:pPr>
      <w:r>
        <w:rPr>
          <w:rFonts w:ascii="Times New Roman" w:hAnsi="Times New Roman" w:eastAsia="Times New Roman"/>
          <w:b w:val="0"/>
          <w:i w:val="0"/>
        </w:rPr>
        <w:t>2. by an associated person of the employer; or</w:t>
      </w:r>
    </w:p>
    <w:p>
      <w:pPr>
        <w:spacing w:after="40" w:line="259" w:lineRule="auto"/>
        <w:ind w:left="403" w:hanging="230"/>
      </w:pPr>
      <w:r>
        <w:rPr>
          <w:rFonts w:ascii="Times New Roman" w:hAnsi="Times New Roman" w:eastAsia="Times New Roman"/>
          <w:b w:val="0"/>
          <w:i w:val="0"/>
        </w:rPr>
        <w:t>3. by any third person under an agreement with the employer or an associated person of the employer.</w:t>
      </w:r>
    </w:p>
    <w:p>
      <w:pPr>
        <w:spacing w:after="100" w:line="259" w:lineRule="auto"/>
        <w:ind w:firstLine="317"/>
      </w:pPr>
      <w:r>
        <w:rPr>
          <w:rFonts w:ascii="Times New Roman" w:hAnsi="Times New Roman" w:eastAsia="Times New Roman"/>
          <w:b w:val="0"/>
          <w:i w:val="0"/>
        </w:rPr>
        <w:t>Detailed explanation of the above provisions is provided in Chapter 17 of this Directive.</w:t>
      </w:r>
    </w:p>
    <w:p>
      <w:pPr>
        <w:pStyle w:val="Heading2"/>
        <w:spacing w:after="100" w:line="259" w:lineRule="auto"/>
      </w:pPr>
      <w:r>
        <w:rPr>
          <w:rFonts w:ascii="Times New Roman" w:hAnsi="Times New Roman" w:eastAsia="Times New Roman"/>
          <w:b w:val="0"/>
          <w:i w:val="0"/>
        </w:rPr>
        <w:t>6.4 Amounts to be included in income from investment</w:t>
      </w:r>
    </w:p>
    <w:p>
      <w:pPr>
        <w:pStyle w:val="Heading3"/>
        <w:spacing w:after="100" w:line="259" w:lineRule="auto"/>
      </w:pPr>
      <w:r>
        <w:rPr>
          <w:rFonts w:ascii="Times New Roman" w:hAnsi="Times New Roman" w:eastAsia="Times New Roman"/>
          <w:b w:val="0"/>
          <w:i w:val="0"/>
        </w:rPr>
        <w:t>6.4.1 Meaning of investment</w:t>
      </w:r>
    </w:p>
    <w:p>
      <w:pPr>
        <w:spacing w:after="100" w:line="259" w:lineRule="auto"/>
        <w:ind w:firstLine="317"/>
      </w:pPr>
      <w:r>
        <w:rPr>
          <w:rFonts w:ascii="Times New Roman" w:hAnsi="Times New Roman" w:eastAsia="Times New Roman"/>
          <w:b w:val="0"/>
          <w:i w:val="0"/>
        </w:rPr>
        <w:t>Investment means the holding of one or more assets or the investment of assets. Section 2 of the Act defines investment as follows:</w:t>
      </w:r>
    </w:p>
    <w:p>
      <w:pPr>
        <w:spacing w:after="100" w:line="259" w:lineRule="auto"/>
        <w:ind w:left="317"/>
      </w:pPr>
      <w:r>
        <w:rPr>
          <w:rFonts w:ascii="Times New Roman" w:hAnsi="Times New Roman" w:eastAsia="Times New Roman"/>
          <w:b w:val="0"/>
          <w:i/>
          <w:sz w:val="18"/>
        </w:rPr>
        <w:t>"Investment" means the act of holding one or more assets or investing such assets, except: (1) holding an asset used by the owner of the asset for personal use; and (2) employment or business. However, holding a non-business taxable asset shall be treated as investment.</w:t>
      </w:r>
    </w:p>
    <w:p>
      <w:pPr>
        <w:spacing w:after="100" w:line="259" w:lineRule="auto"/>
        <w:ind w:firstLine="317"/>
      </w:pPr>
      <w:r>
        <w:rPr>
          <w:rFonts w:ascii="Times New Roman" w:hAnsi="Times New Roman" w:eastAsia="Times New Roman"/>
          <w:b w:val="0"/>
          <w:i w:val="0"/>
        </w:rPr>
        <w:t>The act of holding assets to earn income is investment. Holding assets other than assets used personally by the owner or assets used in employment or business, and holding non-business taxable assets, are investment activities. Generally, continuous active engagement of the person earning income is not required for earning investment income. Dividends, interest, natural resource payments, rent, royalties, gains from investment insurance, gains from an interest in an unapproved retirement fund or retirement payments made by an approved retirement fund, and net gains from the disposal of non-business taxable assets are investment income or returns. Ordinarily, continuous involvement of the person earning such income is not mandatory in the process of earning that income.</w:t>
      </w:r>
    </w:p>
    <w:p>
      <w:pPr>
        <w:pStyle w:val="Heading3"/>
        <w:spacing w:after="100" w:line="259" w:lineRule="auto"/>
      </w:pPr>
      <w:r>
        <w:rPr>
          <w:rFonts w:ascii="Times New Roman" w:hAnsi="Times New Roman" w:eastAsia="Times New Roman"/>
          <w:b w:val="0"/>
          <w:i w:val="0"/>
        </w:rPr>
        <w:t>6.4.2 Non-business taxable asset</w:t>
      </w:r>
    </w:p>
    <w:p>
      <w:pPr>
        <w:spacing w:after="100" w:line="259" w:lineRule="auto"/>
        <w:ind w:firstLine="317"/>
      </w:pPr>
      <w:r>
        <w:rPr>
          <w:rFonts w:ascii="Times New Roman" w:hAnsi="Times New Roman" w:eastAsia="Times New Roman"/>
          <w:b w:val="0"/>
          <w:i w:val="0"/>
        </w:rPr>
        <w:t>Under section 2 of the Act, "non-business taxable asset" means land, a building, or an interest or security in an entity, except the following assets:</w:t>
      </w:r>
    </w:p>
    <w:p>
      <w:pPr>
        <w:spacing w:after="40" w:line="259" w:lineRule="auto"/>
      </w:pPr>
      <w:r>
        <w:rPr>
          <w:rFonts w:ascii="Times New Roman" w:hAnsi="Times New Roman" w:eastAsia="Times New Roman"/>
          <w:b/>
          <w:i w:val="0"/>
        </w:rPr>
        <w:t>2(d)(1) Business asset, depreciable property or stock-in-trade.</w:t>
      </w:r>
    </w:p>
    <w:p>
      <w:pPr>
        <w:spacing w:after="40" w:line="259" w:lineRule="auto"/>
        <w:ind w:left="403" w:hanging="230"/>
      </w:pPr>
      <w:r>
        <w:rPr>
          <w:rFonts w:ascii="Times New Roman" w:hAnsi="Times New Roman" w:eastAsia="Times New Roman"/>
          <w:b w:val="0"/>
          <w:i w:val="0"/>
        </w:rPr>
        <w:t>• Business asset: a business asset means all assets used in business. However, stock-in-trade, i.e. assets held for sale, and depreciable property are not treated as business assets.</w:t>
      </w:r>
    </w:p>
    <w:p>
      <w:pPr>
        <w:spacing w:after="40" w:line="259" w:lineRule="auto"/>
        <w:ind w:left="403" w:hanging="230"/>
      </w:pPr>
      <w:r>
        <w:rPr>
          <w:rFonts w:ascii="Times New Roman" w:hAnsi="Times New Roman" w:eastAsia="Times New Roman"/>
          <w:b w:val="0"/>
          <w:i w:val="0"/>
        </w:rPr>
        <w:t>• Depreciable property: a depreciable property means an asset used in an investment for earning income, the value of which decreases due to wear and tear, obsolescence or the passage of time. It does not include stock-in-trade.</w:t>
      </w:r>
    </w:p>
    <w:p>
      <w:pPr>
        <w:spacing w:after="40" w:line="259" w:lineRule="auto"/>
        <w:ind w:left="403" w:hanging="230"/>
      </w:pPr>
      <w:r>
        <w:rPr>
          <w:rFonts w:ascii="Times New Roman" w:hAnsi="Times New Roman" w:eastAsia="Times New Roman"/>
          <w:b w:val="0"/>
          <w:i w:val="0"/>
        </w:rPr>
        <w:t>• Stock-in-trade: stock-in-trade means assets kept for sale or for consumption in production. It includes assets owned by a person and sold in the ordinary course of the regular business conducted by that person, assets in work-in-progress, and stock of materials such as packing materials used in such assets.</w:t>
      </w:r>
    </w:p>
    <w:p>
      <w:pPr>
        <w:spacing w:after="40" w:line="259" w:lineRule="auto"/>
      </w:pPr>
      <w:r>
        <w:rPr>
          <w:rFonts w:ascii="Times New Roman" w:hAnsi="Times New Roman" w:eastAsia="Times New Roman"/>
          <w:b/>
          <w:i w:val="0"/>
        </w:rPr>
        <w:t>Example 6.4.1</w:t>
      </w:r>
    </w:p>
    <w:p>
      <w:pPr>
        <w:spacing w:after="80" w:line="259" w:lineRule="auto"/>
        <w:ind w:firstLine="317"/>
      </w:pPr>
      <w:r>
        <w:rPr>
          <w:rFonts w:ascii="Times New Roman" w:hAnsi="Times New Roman" w:eastAsia="Times New Roman"/>
          <w:b w:val="0"/>
          <w:i w:val="0"/>
        </w:rPr>
        <w:t>Assume that Hada Furniture Pvt. Ltd. buys and sells furniture. In income year 2080/81, it purchased ten chairs for Rs. 100,000 and sold six of them for Rs. 70,000. The ten chairs held for sale in that income year are stock-in-trade of that company.</w:t>
      </w:r>
    </w:p>
    <w:p>
      <w:pPr>
        <w:spacing w:after="40" w:line="259" w:lineRule="auto"/>
      </w:pPr>
      <w:r>
        <w:rPr>
          <w:rFonts w:ascii="Times New Roman" w:hAnsi="Times New Roman" w:eastAsia="Times New Roman"/>
          <w:b/>
          <w:i w:val="0"/>
        </w:rPr>
        <w:t>2(d)(2) The personal building of a natural person that satisfies the following conditions:</w:t>
      </w:r>
    </w:p>
    <w:p>
      <w:pPr>
        <w:spacing w:after="40" w:line="259" w:lineRule="auto"/>
        <w:ind w:left="403" w:hanging="230"/>
      </w:pPr>
      <w:r>
        <w:rPr>
          <w:rFonts w:ascii="Times New Roman" w:hAnsi="Times New Roman" w:eastAsia="Times New Roman"/>
          <w:b w:val="0"/>
          <w:i w:val="0"/>
        </w:rPr>
        <w:t>1. it has been owned continuously for ten years or more; and</w:t>
      </w:r>
    </w:p>
    <w:p>
      <w:pPr>
        <w:spacing w:after="40" w:line="259" w:lineRule="auto"/>
        <w:ind w:left="403" w:hanging="230"/>
      </w:pPr>
      <w:r>
        <w:rPr>
          <w:rFonts w:ascii="Times New Roman" w:hAnsi="Times New Roman" w:eastAsia="Times New Roman"/>
          <w:b w:val="0"/>
          <w:i w:val="0"/>
        </w:rPr>
        <w:t>2. the person has resided in it continuously or intermittently for an aggregate period of ten years or more.</w:t>
      </w:r>
    </w:p>
    <w:p>
      <w:pPr>
        <w:spacing w:after="100" w:line="259" w:lineRule="auto"/>
        <w:ind w:firstLine="317"/>
      </w:pPr>
      <w:r>
        <w:rPr>
          <w:rFonts w:ascii="Times New Roman" w:hAnsi="Times New Roman" w:eastAsia="Times New Roman"/>
          <w:b w:val="0"/>
          <w:i w:val="0"/>
        </w:rPr>
        <w:t>Explanation: For the purposes of this clause, "personal building" means the building, the land occupied by the building, and additional land equal to the area occupied by the building or one ropani of land, whichever is less.</w:t>
      </w:r>
    </w:p>
    <w:p>
      <w:pPr>
        <w:spacing w:after="100" w:line="259" w:lineRule="auto"/>
        <w:ind w:firstLine="317"/>
      </w:pPr>
      <w:r>
        <w:rPr>
          <w:rFonts w:ascii="Times New Roman" w:hAnsi="Times New Roman" w:eastAsia="Times New Roman"/>
          <w:b w:val="0"/>
          <w:i w:val="0"/>
        </w:rPr>
        <w:t>A personal building of a natural person that has been owned continuously for ten years or more and in which the person has resided continuously or intermittently for an aggregate of ten years or more is treated as a non-taxable asset. For a personal building not to be treated as a non-business taxable asset, both conditions must be satisfied: the building must have been held under the person's ownership continuously for ten years or more, and the person must have resided in it for ten years or more, either continuously or intermittently. For this purpose, personal building means the building and the lesser of the land area equal to the area occupied by the building or one ropani (5,476 square feet or 508.74 square metres). Detailed explanation regarding non-business taxable assets is provided in Chapter 2 of this Directive.</w:t>
      </w:r>
    </w:p>
    <w:p>
      <w:pPr>
        <w:spacing w:after="40" w:line="259" w:lineRule="auto"/>
      </w:pPr>
      <w:r>
        <w:rPr>
          <w:rFonts w:ascii="Times New Roman" w:hAnsi="Times New Roman" w:eastAsia="Times New Roman"/>
          <w:b/>
          <w:i w:val="0"/>
        </w:rPr>
        <w:t>2(d)(3) The interest of a beneficiary in a retirement fund.</w:t>
      </w:r>
    </w:p>
    <w:p>
      <w:pPr>
        <w:spacing w:after="100" w:line="259" w:lineRule="auto"/>
        <w:ind w:firstLine="317"/>
      </w:pPr>
      <w:r>
        <w:rPr>
          <w:rFonts w:ascii="Times New Roman" w:hAnsi="Times New Roman" w:eastAsia="Times New Roman"/>
          <w:b w:val="0"/>
          <w:i w:val="0"/>
        </w:rPr>
        <w:t>Every person contributing to a retirement fund is a beneficiary in relation to the investment held in that retirement fund. Therefore, the beneficiary's interest in that retirement fund is not treated as a non-business taxable asset. Investments of that person in entities other than a retirement fund are treated as non-business taxable assets. The situation is illustrated below.</w:t>
      </w:r>
    </w:p>
    <w:p>
      <w:pPr>
        <w:spacing w:after="40" w:line="259" w:lineRule="auto"/>
      </w:pPr>
      <w:r>
        <w:rPr>
          <w:rFonts w:ascii="Times New Roman" w:hAnsi="Times New Roman" w:eastAsia="Times New Roman"/>
          <w:b/>
          <w:i w:val="0"/>
        </w:rPr>
        <w:t>Example 6.4.2</w:t>
      </w:r>
    </w:p>
    <w:p>
      <w:pPr>
        <w:spacing w:after="80" w:line="259" w:lineRule="auto"/>
        <w:ind w:firstLine="317"/>
      </w:pPr>
      <w:r>
        <w:rPr>
          <w:rFonts w:ascii="Times New Roman" w:hAnsi="Times New Roman" w:eastAsia="Times New Roman"/>
          <w:b w:val="0"/>
          <w:i w:val="0"/>
        </w:rPr>
        <w:t>Assume that Ram Prasad contributes Rs. 4,000 every month to a retirement fund. He has also purchased shares of a financial institution worth Rs. 100,000. The amount deposited through contributions to the retirement fund is not treated as a non-business taxable asset. However, his investment in the shares of the financial institution is treated as a non-business taxable asset.</w:t>
      </w:r>
    </w:p>
    <w:p>
      <w:pPr>
        <w:spacing w:after="40" w:line="259" w:lineRule="auto"/>
      </w:pPr>
      <w:r>
        <w:rPr>
          <w:rFonts w:ascii="Times New Roman" w:hAnsi="Times New Roman" w:eastAsia="Times New Roman"/>
          <w:b/>
          <w:i w:val="0"/>
        </w:rPr>
        <w:t>2(d)(4) Land, land and building, and personal building disposed of by a natural person for a value of less than Rs. 1,000,000.</w:t>
      </w:r>
    </w:p>
    <w:p>
      <w:pPr>
        <w:spacing w:after="100" w:line="259" w:lineRule="auto"/>
        <w:ind w:firstLine="317"/>
      </w:pPr>
      <w:r>
        <w:rPr>
          <w:rFonts w:ascii="Times New Roman" w:hAnsi="Times New Roman" w:eastAsia="Times New Roman"/>
          <w:b w:val="0"/>
          <w:i w:val="0"/>
        </w:rPr>
        <w:t>If a natural person disposes of land or a personal house for less than Rs. 1,000,000, such asset is not treated as a non-business taxable asset. If it is disposed of for a value exceeding that amount, the asset is treated as a non-business taxable asset. The situation is illustrated below.</w:t>
      </w:r>
    </w:p>
    <w:p>
      <w:pPr>
        <w:spacing w:after="40" w:line="259" w:lineRule="auto"/>
      </w:pPr>
      <w:r>
        <w:rPr>
          <w:rFonts w:ascii="Times New Roman" w:hAnsi="Times New Roman" w:eastAsia="Times New Roman"/>
          <w:b/>
          <w:i w:val="0"/>
        </w:rPr>
        <w:t>Example 6.4.3</w:t>
      </w:r>
    </w:p>
    <w:p>
      <w:pPr>
        <w:spacing w:after="80" w:line="259" w:lineRule="auto"/>
        <w:ind w:firstLine="317"/>
      </w:pPr>
      <w:r>
        <w:rPr>
          <w:rFonts w:ascii="Times New Roman" w:hAnsi="Times New Roman" w:eastAsia="Times New Roman"/>
          <w:b w:val="0"/>
          <w:i w:val="0"/>
        </w:rPr>
        <w:t>Assume that Suresh purchased a house on 2069/03/31 for Rs. 2,000,000 and sold it on 2081/10/05 for Rs. 8,000,000. Since the house was disposed of for a value exceeding Rs. 1,000,000, it is his non-business taxable asset. The amount received on disposal is treated as non-business chargeable income, and the net gain computed under Chapter 8 of the Act must be included as investment income. However, if he had purchased the house ten years or more earlier and had resided in it continuously or intermittently for an aggregate of ten years or more, the house would not be treated as a non-business taxable asset and the gain from disposal would not be included in his investment income.</w:t>
      </w:r>
    </w:p>
    <w:p>
      <w:pPr>
        <w:spacing w:after="40" w:line="259" w:lineRule="auto"/>
      </w:pPr>
      <w:r>
        <w:rPr>
          <w:rFonts w:ascii="Times New Roman" w:hAnsi="Times New Roman" w:eastAsia="Times New Roman"/>
          <w:b/>
          <w:i w:val="0"/>
        </w:rPr>
        <w:t>2(d)(5) Property transferred and disposed of within three generations otherwise than by purchase and sale.</w:t>
      </w:r>
    </w:p>
    <w:p>
      <w:pPr>
        <w:spacing w:after="100" w:line="259" w:lineRule="auto"/>
        <w:ind w:firstLine="317"/>
      </w:pPr>
      <w:r>
        <w:rPr>
          <w:rFonts w:ascii="Times New Roman" w:hAnsi="Times New Roman" w:eastAsia="Times New Roman"/>
          <w:b w:val="0"/>
          <w:i w:val="0"/>
        </w:rPr>
        <w:t>Ordinarily, property is transferred within three generations not through purchase and sale but through partition, gift deed and similar modes. However, in some cases property may be purchased and sold within three generations. In such a case, the sale value of the property is treated as non-business chargeable income. If property within three generations is transferred by a mode other than purchase and sale, the transaction is not treated as non-business chargeable income or as investment for tax purposes. Even if sold within three generations, if the value of the property is less than Rs. 1,000,000, it is not treated as a non-business taxable asset.</w:t>
      </w:r>
    </w:p>
    <w:p>
      <w:pPr>
        <w:pStyle w:val="Heading3"/>
        <w:spacing w:after="100" w:line="259" w:lineRule="auto"/>
      </w:pPr>
      <w:r>
        <w:rPr>
          <w:rFonts w:ascii="Times New Roman" w:hAnsi="Times New Roman" w:eastAsia="Times New Roman"/>
          <w:b w:val="0"/>
          <w:i w:val="0"/>
        </w:rPr>
        <w:t>6.4.3 Amounts to be included in computation of income from investment</w:t>
      </w:r>
    </w:p>
    <w:p>
      <w:pPr>
        <w:spacing w:after="100" w:line="259" w:lineRule="auto"/>
        <w:ind w:firstLine="317"/>
      </w:pPr>
      <w:r>
        <w:rPr>
          <w:rFonts w:ascii="Times New Roman" w:hAnsi="Times New Roman" w:eastAsia="Times New Roman"/>
          <w:b w:val="0"/>
          <w:i w:val="0"/>
        </w:rPr>
        <w:t>In computing profits and gains, dividends, interest, rent, royalties, gains from disposal of non-business taxable assets and similar amounts derived from investment are included. In computing a person's income from investment, the amounts mentioned in section 9(2) of the Act must be included.</w:t>
      </w:r>
    </w:p>
    <w:p>
      <w:pPr>
        <w:spacing w:after="100" w:line="259" w:lineRule="auto"/>
        <w:ind w:left="317"/>
      </w:pPr>
      <w:r>
        <w:rPr>
          <w:rFonts w:ascii="Times New Roman" w:hAnsi="Times New Roman" w:eastAsia="Times New Roman"/>
          <w:b w:val="0"/>
          <w:i/>
          <w:sz w:val="18"/>
        </w:rPr>
        <w:t>9(2) In calculating the profits and gains of a person from investment for an income year, the following amounts derived by that person during the year shall be included:</w:t>
      </w:r>
    </w:p>
    <w:p>
      <w:pPr>
        <w:spacing w:after="40" w:line="259" w:lineRule="auto"/>
      </w:pPr>
      <w:r>
        <w:rPr>
          <w:rFonts w:ascii="Times New Roman" w:hAnsi="Times New Roman" w:eastAsia="Times New Roman"/>
          <w:b/>
          <w:i w:val="0"/>
        </w:rPr>
        <w:t>9(2)(a) Dividends, interest, natural resource payments, rent, royalties, gains from investment insurance, gains from an interest in an unapproved retirement fund under section 63(1), or retirement payments made by an approved retirement fund.</w:t>
      </w:r>
    </w:p>
    <w:p>
      <w:pPr>
        <w:spacing w:after="100" w:line="259" w:lineRule="auto"/>
        <w:ind w:firstLine="317"/>
      </w:pPr>
      <w:r>
        <w:rPr>
          <w:rFonts w:ascii="Times New Roman" w:hAnsi="Times New Roman" w:eastAsia="Times New Roman"/>
          <w:b w:val="0"/>
          <w:i w:val="0"/>
        </w:rPr>
        <w:t>Dividends received by a person for share investment, interest received for deposits or lending, rent, gains from an unapproved retirement fund, retirement payments received from an approved retirement fund and similar amounts must all be included for computing income from investment. Likewise, amounts received by an entity for granting approval to extract petroleum or royalties received for technical assistance or use of a trademark must be included in investment income.</w:t>
      </w:r>
    </w:p>
    <w:p>
      <w:pPr>
        <w:spacing w:after="100" w:line="259" w:lineRule="auto"/>
        <w:ind w:firstLine="317"/>
      </w:pPr>
      <w:r>
        <w:rPr>
          <w:rFonts w:ascii="Times New Roman" w:hAnsi="Times New Roman" w:eastAsia="Times New Roman"/>
          <w:b w:val="0"/>
          <w:i w:val="0"/>
        </w:rPr>
        <w:t>However, amounts received as dividends, interest and rent received by a natural person other than in a business capacity, gains from investment insurance, and retirement payments from a retirement fund which are received after advance tax withholding under section 88 are treated under section 92 as payments made with final withholding tax. Such amounts are not required to be included in investment income. If such income is paid by a non-resident, the income must be included in profits and gains, except dividends where the non-resident entity is a controlled foreign entity under section 69. The situation is illustrated below.</w:t>
      </w:r>
    </w:p>
    <w:p>
      <w:pPr>
        <w:spacing w:after="40" w:line="259" w:lineRule="auto"/>
      </w:pPr>
      <w:r>
        <w:rPr>
          <w:rFonts w:ascii="Times New Roman" w:hAnsi="Times New Roman" w:eastAsia="Times New Roman"/>
          <w:b/>
          <w:i w:val="0"/>
        </w:rPr>
        <w:t>Example 6.4.4</w:t>
      </w:r>
    </w:p>
    <w:p>
      <w:pPr>
        <w:spacing w:after="80" w:line="259" w:lineRule="auto"/>
        <w:ind w:firstLine="317"/>
      </w:pPr>
      <w:r>
        <w:rPr>
          <w:rFonts w:ascii="Times New Roman" w:hAnsi="Times New Roman" w:eastAsia="Times New Roman"/>
          <w:b w:val="0"/>
          <w:i w:val="0"/>
        </w:rPr>
        <w:t>Assume that Haris &amp; Co. made a loan investment of Rs. 100,000 in ABC Company Ltd. at 10 percent interest. The company withheld advance tax of Rs. 1,500 at 15 percent under section 88(1) from the interest of Rs. 10,000 and paid the balance of Rs. 8,500. In this case, Haris &amp; Co. must include the full amount of Rs. 10,000 in investment income. Similarly, if an individual named Haris invested his personal money of Rs. 100,000 in ABC Company Ltd., an entity not approved to issue debentures, at 10 percent interest, and the company withheld Rs. 1,500 under section 88(1) and paid Rs. 8,500, Haris must include the full amount of Rs. 10,000 in investment income and file an income return. However, if he had deposited the amount in a bank or an entity approved to issue debentures and received interest after withholding, that interest would be treated as a payment subject to final withholding tax and Haris would not need to include that interest in investment income.</w:t>
      </w:r>
    </w:p>
    <w:p>
      <w:pPr>
        <w:spacing w:after="40" w:line="259" w:lineRule="auto"/>
      </w:pPr>
      <w:r>
        <w:rPr>
          <w:rFonts w:ascii="Times New Roman" w:hAnsi="Times New Roman" w:eastAsia="Times New Roman"/>
          <w:b/>
          <w:i w:val="0"/>
        </w:rPr>
        <w:t>9(2)(b) Net gains from the disposal of the person's non-business taxable assets of that investment, computed under Chapter 8.</w:t>
      </w:r>
    </w:p>
    <w:p>
      <w:pPr>
        <w:spacing w:after="100" w:line="259" w:lineRule="auto"/>
        <w:ind w:firstLine="317"/>
      </w:pPr>
      <w:r>
        <w:rPr>
          <w:rFonts w:ascii="Times New Roman" w:hAnsi="Times New Roman" w:eastAsia="Times New Roman"/>
          <w:b w:val="0"/>
          <w:i w:val="0"/>
        </w:rPr>
        <w:t>Where a non-business taxable asset - land, building, or an interest in an entity that is not directly used in business or investment and falls within the definition of a non-business taxable asset - is disposed of, the net gain derived at the time of disposal must be included in income. In computing such net gain, the remaining gain after deducting expenses from receipts and reducing any unrelieved loss is treated as net gain.</w:t>
      </w:r>
    </w:p>
    <w:p>
      <w:pPr>
        <w:spacing w:after="40" w:line="259" w:lineRule="auto"/>
      </w:pPr>
      <w:r>
        <w:rPr>
          <w:rFonts w:ascii="Times New Roman" w:hAnsi="Times New Roman" w:eastAsia="Times New Roman"/>
          <w:b/>
          <w:i w:val="0"/>
        </w:rPr>
        <w:t>9(2)(c) Where, upon disposal of a depreciable property of that investment, the incomings exceed the written-down value including outgoings for assets in the pool of depreciable property under paragraph (a) of section 4(2) of Schedule 2, the excess amount.</w:t>
      </w:r>
    </w:p>
    <w:p>
      <w:pPr>
        <w:spacing w:after="100" w:line="259" w:lineRule="auto"/>
        <w:ind w:firstLine="317"/>
      </w:pPr>
      <w:r>
        <w:rPr>
          <w:rFonts w:ascii="Times New Roman" w:hAnsi="Times New Roman" w:eastAsia="Times New Roman"/>
          <w:b w:val="0"/>
          <w:i w:val="0"/>
        </w:rPr>
        <w:t>If a gain arises on disposal of a depreciable property used in investment, that gain must be included in investment income.</w:t>
      </w:r>
    </w:p>
    <w:p>
      <w:pPr>
        <w:spacing w:after="40" w:line="259" w:lineRule="auto"/>
      </w:pPr>
      <w:r>
        <w:rPr>
          <w:rFonts w:ascii="Times New Roman" w:hAnsi="Times New Roman" w:eastAsia="Times New Roman"/>
          <w:b/>
          <w:i w:val="0"/>
        </w:rPr>
        <w:t>9(2)(d) Gifts received by the person in respect of the investment.</w:t>
      </w:r>
    </w:p>
    <w:p>
      <w:pPr>
        <w:spacing w:after="100" w:line="259" w:lineRule="auto"/>
        <w:ind w:firstLine="317"/>
      </w:pPr>
      <w:r>
        <w:rPr>
          <w:rFonts w:ascii="Times New Roman" w:hAnsi="Times New Roman" w:eastAsia="Times New Roman"/>
          <w:b w:val="0"/>
          <w:i w:val="0"/>
        </w:rPr>
        <w:t>A gift received in the context of investment must be included in investment income. The situation is illustrated below.</w:t>
      </w:r>
    </w:p>
    <w:p>
      <w:pPr>
        <w:spacing w:after="40" w:line="259" w:lineRule="auto"/>
      </w:pPr>
      <w:r>
        <w:rPr>
          <w:rFonts w:ascii="Times New Roman" w:hAnsi="Times New Roman" w:eastAsia="Times New Roman"/>
          <w:b/>
          <w:i w:val="0"/>
        </w:rPr>
        <w:t>Example 6.4.5</w:t>
      </w:r>
    </w:p>
    <w:p>
      <w:pPr>
        <w:spacing w:after="80" w:line="259" w:lineRule="auto"/>
        <w:ind w:firstLine="317"/>
      </w:pPr>
      <w:r>
        <w:rPr>
          <w:rFonts w:ascii="Times New Roman" w:hAnsi="Times New Roman" w:eastAsia="Times New Roman"/>
          <w:b w:val="0"/>
          <w:i w:val="0"/>
        </w:rPr>
        <w:t>Assume that Haris has invested Rs. 20 million in shares of Sampanna Bank Ltd. In an income year, the bank gives a one-tola gold coin as a Dashain gift to shareholders investing more than Rs. 10 million. Since Haris received the gold coin because of his investment, the gift must be valued at market value and included in investment income.</w:t>
      </w:r>
    </w:p>
    <w:p>
      <w:pPr>
        <w:spacing w:after="40" w:line="259" w:lineRule="auto"/>
      </w:pPr>
      <w:r>
        <w:rPr>
          <w:rFonts w:ascii="Times New Roman" w:hAnsi="Times New Roman" w:eastAsia="Times New Roman"/>
          <w:b/>
          <w:i w:val="0"/>
        </w:rPr>
        <w:t>9(2)(e) Retirement payments made in respect of that investment and retirement contributions, including amounts deposited in a retirement fund for that person.</w:t>
      </w:r>
    </w:p>
    <w:p>
      <w:pPr>
        <w:spacing w:after="100" w:line="259" w:lineRule="auto"/>
        <w:ind w:firstLine="317"/>
      </w:pPr>
      <w:r>
        <w:rPr>
          <w:rFonts w:ascii="Times New Roman" w:hAnsi="Times New Roman" w:eastAsia="Times New Roman"/>
          <w:b w:val="0"/>
          <w:i w:val="0"/>
        </w:rPr>
        <w:t>Retirement payments received in consideration of investment and contributions made to a retirement fund to receive such payments must also be included in investment income.</w:t>
      </w:r>
    </w:p>
    <w:p>
      <w:pPr>
        <w:spacing w:after="40" w:line="259" w:lineRule="auto"/>
      </w:pPr>
      <w:r>
        <w:rPr>
          <w:rFonts w:ascii="Times New Roman" w:hAnsi="Times New Roman" w:eastAsia="Times New Roman"/>
          <w:b/>
          <w:i w:val="0"/>
        </w:rPr>
        <w:t>9(2)(f) Amounts received for accepting a restriction in respect of the investment.</w:t>
      </w:r>
    </w:p>
    <w:p>
      <w:pPr>
        <w:spacing w:after="100" w:line="259" w:lineRule="auto"/>
        <w:ind w:firstLine="317"/>
      </w:pPr>
      <w:r>
        <w:rPr>
          <w:rFonts w:ascii="Times New Roman" w:hAnsi="Times New Roman" w:eastAsia="Times New Roman"/>
          <w:b w:val="0"/>
          <w:i w:val="0"/>
        </w:rPr>
        <w:t>Amounts received because of a condition not to invest or any similar condition or restriction must be included in investment income.</w:t>
      </w:r>
    </w:p>
    <w:p>
      <w:pPr>
        <w:spacing w:after="40" w:line="259" w:lineRule="auto"/>
      </w:pPr>
      <w:r>
        <w:rPr>
          <w:rFonts w:ascii="Times New Roman" w:hAnsi="Times New Roman" w:eastAsia="Times New Roman"/>
          <w:b/>
          <w:i w:val="0"/>
        </w:rPr>
        <w:t>9(2)(g) Other amounts required to be included under Chapter 6 or Chapter 7, or section 56.</w:t>
      </w:r>
    </w:p>
    <w:p>
      <w:pPr>
        <w:spacing w:after="100" w:line="259" w:lineRule="auto"/>
        <w:ind w:firstLine="317"/>
      </w:pPr>
      <w:r>
        <w:rPr>
          <w:rFonts w:ascii="Times New Roman" w:hAnsi="Times New Roman" w:eastAsia="Times New Roman"/>
          <w:b w:val="0"/>
          <w:i w:val="0"/>
        </w:rPr>
        <w:t>Under Chapter 6 of the Act, if a person changes the method of accounting for tax purposes with approval from the Department, or if the accounting method changes because of any provision of that Chapter, adjustments must be made in the income year in which the change occurs so that no amounts included, deducted, to be included or to be deducted are omitted or duplicated.</w:t>
      </w:r>
    </w:p>
    <w:p>
      <w:pPr>
        <w:spacing w:after="100" w:line="259" w:lineRule="auto"/>
        <w:ind w:firstLine="317"/>
      </w:pPr>
      <w:r>
        <w:rPr>
          <w:rFonts w:ascii="Times New Roman" w:hAnsi="Times New Roman" w:eastAsia="Times New Roman"/>
          <w:b w:val="0"/>
          <w:i w:val="0"/>
        </w:rPr>
        <w:t>Under Chapter 7 of the Act, where payment in a transaction made by a person is made not only in cash but by transferring an asset, an amount equal to the market value of the transferred asset must be included in income. The value mentioned in the agreement between the parties or the book value is not treated as the official transaction value. The value determined according to the market value of the asset at the time of transfer is treated as the official value for the purposes of the Act and must be included in investment income.</w:t>
      </w:r>
    </w:p>
    <w:p>
      <w:pPr>
        <w:spacing w:after="100" w:line="259" w:lineRule="auto"/>
        <w:ind w:firstLine="317"/>
      </w:pPr>
      <w:r>
        <w:rPr>
          <w:rFonts w:ascii="Times New Roman" w:hAnsi="Times New Roman" w:eastAsia="Times New Roman"/>
          <w:b w:val="0"/>
          <w:i w:val="0"/>
        </w:rPr>
        <w:t>Under section 56 of the Act, gains from disposal of assets or liabilities in transactions between an entity and its beneficiaries must be included under this clause. Detailed explanation is given in Chapter 13 of this Directive.</w:t>
      </w:r>
    </w:p>
    <w:p>
      <w:pPr>
        <w:pStyle w:val="Heading3"/>
        <w:spacing w:after="100" w:line="259" w:lineRule="auto"/>
      </w:pPr>
      <w:r>
        <w:rPr>
          <w:rFonts w:ascii="Times New Roman" w:hAnsi="Times New Roman" w:eastAsia="Times New Roman"/>
          <w:b w:val="0"/>
          <w:i w:val="0"/>
        </w:rPr>
        <w:t>6.4.4 Amounts not to be included in computation of income from investment</w:t>
      </w:r>
    </w:p>
    <w:p>
      <w:pPr>
        <w:spacing w:after="100" w:line="259" w:lineRule="auto"/>
        <w:ind w:left="317"/>
      </w:pPr>
      <w:r>
        <w:rPr>
          <w:rFonts w:ascii="Times New Roman" w:hAnsi="Times New Roman" w:eastAsia="Times New Roman"/>
          <w:b w:val="0"/>
          <w:i/>
          <w:sz w:val="18"/>
        </w:rPr>
        <w:t>9(3) Notwithstanding anything contained in subsection (2), the following matters shall not be included in calculating profits and gains derived by a person from investment:</w:t>
      </w:r>
    </w:p>
    <w:p>
      <w:pPr>
        <w:spacing w:after="40" w:line="259" w:lineRule="auto"/>
      </w:pPr>
      <w:r>
        <w:rPr>
          <w:rFonts w:ascii="Times New Roman" w:hAnsi="Times New Roman" w:eastAsia="Times New Roman"/>
          <w:b/>
          <w:i w:val="0"/>
        </w:rPr>
        <w:t>9(3)(a) exempt amounts under sections 10, 54 and 69 and payments subject to final withholding tax; and</w:t>
      </w:r>
    </w:p>
    <w:p>
      <w:pPr>
        <w:spacing w:after="100" w:line="259" w:lineRule="auto"/>
        <w:ind w:firstLine="317"/>
      </w:pPr>
      <w:r>
        <w:rPr>
          <w:rFonts w:ascii="Times New Roman" w:hAnsi="Times New Roman" w:eastAsia="Times New Roman"/>
          <w:b w:val="0"/>
          <w:i w:val="0"/>
        </w:rPr>
        <w:t>The following amounts under section 10 of the Act are not to be included in income.</w:t>
      </w:r>
    </w:p>
    <w:p>
      <w:pPr>
        <w:spacing w:after="40" w:line="259" w:lineRule="auto"/>
      </w:pPr>
      <w:r>
        <w:rPr>
          <w:rFonts w:ascii="Times New Roman" w:hAnsi="Times New Roman" w:eastAsia="Times New Roman"/>
          <w:b/>
          <w:i w:val="0"/>
        </w:rPr>
        <w:t>10(a) Tax-exempt amounts received by a person entitled to tax exemption under a bilateral or multilateral treaty or agreement between the Government of Nepal and a foreign country or international organisation.</w:t>
      </w:r>
    </w:p>
    <w:p>
      <w:pPr>
        <w:spacing w:after="100" w:line="259" w:lineRule="auto"/>
        <w:ind w:firstLine="317"/>
      </w:pPr>
      <w:r>
        <w:rPr>
          <w:rFonts w:ascii="Times New Roman" w:hAnsi="Times New Roman" w:eastAsia="Times New Roman"/>
          <w:b w:val="0"/>
          <w:i w:val="0"/>
        </w:rPr>
        <w:t>Amounts received by a person entitled to tax exemption under a bilateral or multilateral treaty or agreement between the Government of Nepal and any foreign country or international organisation, subject to that treaty or agreement, are tax-exempt amounts.</w:t>
      </w:r>
    </w:p>
    <w:p>
      <w:pPr>
        <w:spacing w:after="100" w:line="259" w:lineRule="auto"/>
        <w:ind w:firstLine="317"/>
      </w:pPr>
      <w:r>
        <w:rPr>
          <w:rFonts w:ascii="Times New Roman" w:hAnsi="Times New Roman" w:eastAsia="Times New Roman"/>
          <w:b w:val="0"/>
          <w:i w:val="0"/>
        </w:rPr>
        <w:t>Under section 54 of the Act, dividends distributed by a company or partnership firm are taxed by the final withholding method. Where distributions are made by other entities, tax is not imposed. Detailed explanation is given in Chapter 13 of this Directive.</w:t>
      </w:r>
    </w:p>
    <w:p>
      <w:pPr>
        <w:spacing w:after="100" w:line="259" w:lineRule="auto"/>
        <w:ind w:firstLine="317"/>
      </w:pPr>
      <w:r>
        <w:rPr>
          <w:rFonts w:ascii="Times New Roman" w:hAnsi="Times New Roman" w:eastAsia="Times New Roman"/>
          <w:b w:val="0"/>
          <w:i w:val="0"/>
        </w:rPr>
        <w:t>Amounts distributed by controlled foreign entities under section 69 of the Act are not included for income computation purposes. Detailed explanation is given in Chapter 14 of this Directive.</w:t>
      </w:r>
    </w:p>
    <w:p>
      <w:pPr>
        <w:spacing w:after="100" w:line="259" w:lineRule="auto"/>
        <w:ind w:firstLine="317"/>
      </w:pPr>
      <w:r>
        <w:rPr>
          <w:rFonts w:ascii="Times New Roman" w:hAnsi="Times New Roman" w:eastAsia="Times New Roman"/>
          <w:b w:val="0"/>
          <w:i w:val="0"/>
        </w:rPr>
        <w:t>Among payments subject to final withholding under section 92 of the Act, if a payment relates to investment, the amount received from that payment need not be included in income. For example, dividends received from a Nepal-source payment after tax withholding are treated under section 92 as payments made with final withholding tax and therefore are not included in income. Detailed explanation is given in Chapter 16 of this Directive.</w:t>
      </w:r>
    </w:p>
    <w:p>
      <w:pPr>
        <w:spacing w:after="40" w:line="259" w:lineRule="auto"/>
      </w:pPr>
      <w:r>
        <w:rPr>
          <w:rFonts w:ascii="Times New Roman" w:hAnsi="Times New Roman" w:eastAsia="Times New Roman"/>
          <w:b/>
          <w:i w:val="0"/>
        </w:rPr>
        <w:t>9(3)(b) Amounts included in computing the person's income from employment or business.</w:t>
      </w:r>
    </w:p>
    <w:p>
      <w:pPr>
        <w:spacing w:after="100" w:line="259" w:lineRule="auto"/>
        <w:ind w:firstLine="317"/>
      </w:pPr>
      <w:r>
        <w:rPr>
          <w:rFonts w:ascii="Times New Roman" w:hAnsi="Times New Roman" w:eastAsia="Times New Roman"/>
          <w:b w:val="0"/>
          <w:i w:val="0"/>
        </w:rPr>
        <w:t>To avoid duplication in computing a person's income, an amount included in computing that person's income from employment or business must not be included again in investment income. Amounts included in business income under section 7 or employment income under section 8 are not included when computing investment income. In this sense, investment income is residual income, which is computed or characterised only after income from employment and business has been computed.</w:t>
      </w:r>
    </w:p>
    <w:p>
      <w:r>
        <w:br w:type="page"/>
      </w:r>
    </w:p>
    <w:p>
      <w:pPr>
        <w:spacing w:after="160" w:line="252" w:lineRule="auto"/>
        <w:jc w:val="center"/>
      </w:pPr>
      <w:r>
        <w:rPr>
          <w:rFonts w:ascii="Times New Roman" w:hAnsi="Times New Roman" w:eastAsia="Times New Roman"/>
          <w:b/>
          <w:i w:val="0"/>
        </w:rPr>
        <w:t>Income Tax Directive, 2066</w:t>
      </w:r>
    </w:p>
    <w:p>
      <w:pPr>
        <w:spacing w:after="160" w:line="252" w:lineRule="auto"/>
        <w:jc w:val="center"/>
      </w:pPr>
      <w:r>
        <w:rPr>
          <w:rFonts w:ascii="Times New Roman" w:hAnsi="Times New Roman" w:eastAsia="Times New Roman"/>
          <w:b/>
          <w:i w:val="0"/>
        </w:rPr>
        <w:t>(Fifth Amendment, 2081)</w:t>
      </w:r>
    </w:p>
    <w:p>
      <w:pPr>
        <w:spacing w:after="160" w:line="252" w:lineRule="auto"/>
        <w:jc w:val="center"/>
      </w:pPr>
      <w:r>
        <w:rPr>
          <w:rFonts w:ascii="Times New Roman" w:hAnsi="Times New Roman" w:eastAsia="Times New Roman"/>
          <w:b/>
          <w:i w:val="0"/>
        </w:rPr>
        <w:t>English Translation - Part 7</w:t>
      </w:r>
    </w:p>
    <w:p>
      <w:pPr>
        <w:spacing w:after="160" w:line="252" w:lineRule="auto"/>
        <w:jc w:val="center"/>
      </w:pPr>
      <w:r>
        <w:rPr>
          <w:rFonts w:ascii="Times New Roman" w:hAnsi="Times New Roman" w:eastAsia="Times New Roman"/>
          <w:b/>
          <w:i w:val="0"/>
        </w:rPr>
        <w:t>Chapter 7: Quantification, Allocation and Characterisation of Amounts</w:t>
      </w:r>
    </w:p>
    <w:p>
      <w:pPr>
        <w:spacing w:after="280" w:line="252" w:lineRule="auto"/>
        <w:jc w:val="center"/>
      </w:pPr>
      <w:r>
        <w:rPr>
          <w:rFonts w:ascii="Times New Roman" w:hAnsi="Times New Roman" w:eastAsia="Times New Roman"/>
          <w:b w:val="0"/>
          <w:i/>
        </w:rPr>
        <w:t>Translated from the uploaded Nepali PDF while preserving the structure, numbering and legal meaning as far as practicable. Statutory expressions are aligned with the English terminology used in the Income Tax Act, 2002 (2058), published by the Inland Revenue Department, wherever applicable.</w:t>
      </w:r>
    </w:p>
    <w:p>
      <w:r>
        <w:br w:type="page"/>
      </w:r>
    </w:p>
    <w:p>
      <w:pPr>
        <w:spacing w:after="40" w:line="252" w:lineRule="auto"/>
        <w:jc w:val="center"/>
      </w:pPr>
      <w:r>
        <w:rPr>
          <w:rFonts w:ascii="Times New Roman" w:hAnsi="Times New Roman" w:eastAsia="Times New Roman"/>
          <w:b/>
          <w:i w:val="0"/>
        </w:rPr>
        <w:t>Chapter 7</w:t>
      </w:r>
    </w:p>
    <w:p>
      <w:pPr>
        <w:spacing w:after="40" w:line="252" w:lineRule="auto"/>
        <w:jc w:val="center"/>
      </w:pPr>
      <w:r>
        <w:rPr>
          <w:rFonts w:ascii="Times New Roman" w:hAnsi="Times New Roman" w:eastAsia="Times New Roman"/>
          <w:b/>
          <w:i w:val="0"/>
        </w:rPr>
        <w:t>Quantification, Allocation and Characterisation of Amounts</w:t>
      </w:r>
    </w:p>
    <w:p>
      <w:pPr>
        <w:spacing w:after="240" w:line="252" w:lineRule="auto"/>
        <w:jc w:val="center"/>
      </w:pPr>
      <w:r>
        <w:rPr>
          <w:rFonts w:ascii="Times New Roman" w:hAnsi="Times New Roman" w:eastAsia="Times New Roman"/>
          <w:b w:val="0"/>
          <w:i/>
        </w:rPr>
        <w:t>(Quantification, Allocation and Characterization of Amounts)</w:t>
      </w:r>
    </w:p>
    <w:p>
      <w:pPr>
        <w:pStyle w:val="Heading2"/>
        <w:spacing w:after="80" w:line="252" w:lineRule="auto"/>
      </w:pPr>
      <w:r>
        <w:rPr>
          <w:rFonts w:ascii="Times New Roman" w:hAnsi="Times New Roman" w:eastAsia="Times New Roman"/>
          <w:b w:val="0"/>
          <w:i w:val="0"/>
        </w:rPr>
        <w:t>7.1 Introduction</w:t>
      </w:r>
    </w:p>
    <w:p>
      <w:pPr>
        <w:spacing w:after="80" w:line="252" w:lineRule="auto"/>
        <w:ind w:firstLine="317"/>
      </w:pPr>
      <w:r>
        <w:rPr>
          <w:rFonts w:ascii="Times New Roman" w:hAnsi="Times New Roman" w:eastAsia="Times New Roman"/>
          <w:b w:val="0"/>
          <w:i w:val="0"/>
        </w:rPr>
        <w:t>While computing income, the Income Tax Act, 2058 requires inclusion in income not only of payments made in cash, but also of payments made in kind or by other means, and of benefits and services made available. Accordingly, non-cash payments such as payment in kind, benefit payments and service payments must be quantified in monetary terms and included in income, and such payments are brought within the scope of tax. Chapter 7 of the Act contains provisions for converting payments made otherwise than in cash into cash amounts. The purpose of this Chapter is to clarify the process of characterising, quantifying and allocating payments made otherwise than in cash for income tax purposes.</w:t>
      </w:r>
    </w:p>
    <w:p>
      <w:pPr>
        <w:pStyle w:val="Heading2"/>
        <w:spacing w:after="80" w:line="252" w:lineRule="auto"/>
      </w:pPr>
      <w:r>
        <w:rPr>
          <w:rFonts w:ascii="Times New Roman" w:hAnsi="Times New Roman" w:eastAsia="Times New Roman"/>
          <w:b w:val="0"/>
          <w:i w:val="0"/>
        </w:rPr>
        <w:t>7.2 Quantification of Amounts</w:t>
      </w:r>
    </w:p>
    <w:p>
      <w:pPr>
        <w:pStyle w:val="Heading3"/>
        <w:spacing w:after="80" w:line="252" w:lineRule="auto"/>
      </w:pPr>
      <w:r>
        <w:rPr>
          <w:rFonts w:ascii="Times New Roman" w:hAnsi="Times New Roman" w:eastAsia="Times New Roman"/>
          <w:b w:val="0"/>
          <w:i w:val="0"/>
        </w:rPr>
        <w:t>7.2.1 Provision relating to quantification</w:t>
      </w:r>
    </w:p>
    <w:p>
      <w:pPr>
        <w:spacing w:after="80" w:line="252" w:lineRule="auto"/>
        <w:ind w:firstLine="317"/>
      </w:pPr>
      <w:r>
        <w:rPr>
          <w:rFonts w:ascii="Times New Roman" w:hAnsi="Times New Roman" w:eastAsia="Times New Roman"/>
          <w:b w:val="0"/>
          <w:i w:val="0"/>
        </w:rPr>
        <w:t>Section 27(1) of the Act provides as follows in relation to the quantification of amounts:</w:t>
      </w:r>
    </w:p>
    <w:p>
      <w:pPr>
        <w:spacing w:after="80" w:line="252" w:lineRule="auto"/>
        <w:ind w:left="317"/>
      </w:pPr>
      <w:r>
        <w:rPr>
          <w:rFonts w:ascii="Times New Roman" w:hAnsi="Times New Roman" w:eastAsia="Times New Roman"/>
          <w:b w:val="0"/>
          <w:i/>
          <w:sz w:val="18"/>
        </w:rPr>
        <w:t>27(1) A payment shall be quantified in an amount equal to the following:</w:t>
      </w:r>
    </w:p>
    <w:p>
      <w:pPr>
        <w:spacing w:after="80" w:line="252" w:lineRule="auto"/>
        <w:ind w:left="317"/>
      </w:pPr>
      <w:r>
        <w:rPr>
          <w:rFonts w:ascii="Times New Roman" w:hAnsi="Times New Roman" w:eastAsia="Times New Roman"/>
          <w:b w:val="0"/>
          <w:i/>
          <w:sz w:val="18"/>
        </w:rPr>
        <w:t>27(1)(a) In the case of a payment made by transfer of an asset by one person to another person, an amount equal to the market value of the asset transferred.</w:t>
      </w:r>
    </w:p>
    <w:p>
      <w:pPr>
        <w:spacing w:after="80" w:line="252" w:lineRule="auto"/>
        <w:ind w:firstLine="317"/>
      </w:pPr>
      <w:r>
        <w:rPr>
          <w:rFonts w:ascii="Times New Roman" w:hAnsi="Times New Roman" w:eastAsia="Times New Roman"/>
          <w:b w:val="0"/>
          <w:i w:val="0"/>
        </w:rPr>
        <w:t>Section 2 of the Act defines "payment" broadly to cover the following actions:</w:t>
      </w:r>
    </w:p>
    <w:p>
      <w:pPr>
        <w:spacing w:after="40" w:line="252" w:lineRule="auto"/>
        <w:ind w:left="403" w:hanging="230"/>
      </w:pPr>
      <w:r>
        <w:rPr>
          <w:rFonts w:ascii="Times New Roman" w:hAnsi="Times New Roman" w:eastAsia="Times New Roman"/>
          <w:b w:val="0"/>
          <w:i w:val="0"/>
        </w:rPr>
        <w:t>1. The transfer of money or an asset of one person to another person, or the transfer of a liability of another person to that person.</w:t>
      </w:r>
    </w:p>
    <w:p>
      <w:pPr>
        <w:spacing w:after="40" w:line="252" w:lineRule="auto"/>
        <w:ind w:left="403" w:hanging="230"/>
      </w:pPr>
      <w:r>
        <w:rPr>
          <w:rFonts w:ascii="Times New Roman" w:hAnsi="Times New Roman" w:eastAsia="Times New Roman"/>
          <w:b w:val="0"/>
          <w:i w:val="0"/>
        </w:rPr>
        <w:t>2. Where an asset created by one person, after its creation, becomes owned by another person, or where the burden of a liability of one person is borne by another person.</w:t>
      </w:r>
    </w:p>
    <w:p>
      <w:pPr>
        <w:spacing w:after="40" w:line="252" w:lineRule="auto"/>
        <w:ind w:left="403" w:hanging="230"/>
      </w:pPr>
      <w:r>
        <w:rPr>
          <w:rFonts w:ascii="Times New Roman" w:hAnsi="Times New Roman" w:eastAsia="Times New Roman"/>
          <w:b w:val="0"/>
          <w:i w:val="0"/>
        </w:rPr>
        <w:t>3. The provision of a service by one person to another person.</w:t>
      </w:r>
    </w:p>
    <w:p>
      <w:pPr>
        <w:spacing w:after="40" w:line="252" w:lineRule="auto"/>
        <w:ind w:left="403" w:hanging="230"/>
      </w:pPr>
      <w:r>
        <w:rPr>
          <w:rFonts w:ascii="Times New Roman" w:hAnsi="Times New Roman" w:eastAsia="Times New Roman"/>
          <w:b w:val="0"/>
          <w:i w:val="0"/>
        </w:rPr>
        <w:t>4. The use of, or the availability for use of, an asset owned by one person by another person.</w:t>
      </w:r>
    </w:p>
    <w:p>
      <w:pPr>
        <w:spacing w:after="80" w:line="252" w:lineRule="auto"/>
        <w:ind w:firstLine="317"/>
      </w:pPr>
      <w:r>
        <w:rPr>
          <w:rFonts w:ascii="Times New Roman" w:hAnsi="Times New Roman" w:eastAsia="Times New Roman"/>
          <w:b w:val="0"/>
          <w:i w:val="0"/>
        </w:rPr>
        <w:t>The Act treats a payment as an amount of expenditure or income on an accrual basis. Section 24(1) provides that, where income from business or investment is accounted for on the accrual basis, a payment is treated as received and included in income as soon as the right to receive that payment is created. The Framework for the Preparation and Presentation of Financial Statements and Nepal Accounting Standard 1 also require accounting on the accrual basis. In computing income and claiming deductions, the concept of "payment" has major significance. It covers every means by which one person may benefit another person. Additional explanation and examples of payment are given in Chapters 2 and 8 of this Directive.</w:t>
      </w:r>
    </w:p>
    <w:p>
      <w:pPr>
        <w:spacing w:after="80" w:line="252" w:lineRule="auto"/>
        <w:ind w:firstLine="317"/>
      </w:pPr>
      <w:r>
        <w:rPr>
          <w:rFonts w:ascii="Times New Roman" w:hAnsi="Times New Roman" w:eastAsia="Times New Roman"/>
          <w:b w:val="0"/>
          <w:i w:val="0"/>
        </w:rPr>
        <w:t>Where consideration for a transaction is not paid in cash but by transferring an asset, the amount equal to the market value of the transferred asset must be included in income. Under this provision, neither the price stated in an agreement between the parties nor the book value alone is treated as the official transaction value. The market value of the asset at the time of transfer is treated as the official value for purposes of the Act. If the transaction relates to employment, the amount is included in employment income; if it relates to business, it is included in business income; and if it relates to investment, it is included in investment income.</w:t>
      </w:r>
    </w:p>
    <w:p>
      <w:pPr>
        <w:spacing w:after="20" w:line="252" w:lineRule="auto"/>
      </w:pPr>
      <w:r>
        <w:rPr>
          <w:rFonts w:ascii="Times New Roman" w:hAnsi="Times New Roman" w:eastAsia="Times New Roman"/>
          <w:b/>
          <w:i w:val="0"/>
        </w:rPr>
        <w:t>Example 7.2.1</w:t>
      </w:r>
    </w:p>
    <w:p>
      <w:pPr>
        <w:spacing w:after="60" w:line="252" w:lineRule="auto"/>
        <w:ind w:firstLine="317"/>
      </w:pPr>
      <w:r>
        <w:rPr>
          <w:rFonts w:ascii="Times New Roman" w:hAnsi="Times New Roman" w:eastAsia="Times New Roman"/>
          <w:b w:val="0"/>
          <w:i w:val="0"/>
        </w:rPr>
        <w:t>Suppose Digam Bantawa provides a service to Scott Nepal Pvt. Ltd. Instead of paying cash for the service, the company gives him a television. If the market value of the television is Rs. 50,000, Bantawa is treated as having received a payment of Rs. 50,000 even though no cash was received.</w:t>
      </w:r>
    </w:p>
    <w:p>
      <w:pPr>
        <w:spacing w:after="20" w:line="252" w:lineRule="auto"/>
      </w:pPr>
      <w:r>
        <w:rPr>
          <w:rFonts w:ascii="Times New Roman" w:hAnsi="Times New Roman" w:eastAsia="Times New Roman"/>
          <w:b/>
          <w:i w:val="0"/>
        </w:rPr>
        <w:t>Example 7.2.2</w:t>
      </w:r>
    </w:p>
    <w:p>
      <w:pPr>
        <w:spacing w:after="60" w:line="252" w:lineRule="auto"/>
        <w:ind w:firstLine="317"/>
      </w:pPr>
      <w:r>
        <w:rPr>
          <w:rFonts w:ascii="Times New Roman" w:hAnsi="Times New Roman" w:eastAsia="Times New Roman"/>
          <w:b w:val="0"/>
          <w:i w:val="0"/>
        </w:rPr>
        <w:t>Suppose employees of Nepal Oil Corporation receive 50 litres of petrol per month as a facility and the market value of petrol is Rs. 80 per litre. In computing the employment income of the employee, Rs. 4,000 per month (80 x 50), i.e. Rs. 48,000 per year, must also be included.</w:t>
      </w:r>
    </w:p>
    <w:p>
      <w:pPr>
        <w:spacing w:after="20" w:line="252" w:lineRule="auto"/>
      </w:pPr>
      <w:r>
        <w:rPr>
          <w:rFonts w:ascii="Times New Roman" w:hAnsi="Times New Roman" w:eastAsia="Times New Roman"/>
          <w:b/>
          <w:i w:val="0"/>
        </w:rPr>
        <w:t>Example 7.2.3</w:t>
      </w:r>
    </w:p>
    <w:p>
      <w:pPr>
        <w:spacing w:after="60" w:line="252" w:lineRule="auto"/>
        <w:ind w:firstLine="317"/>
      </w:pPr>
      <w:r>
        <w:rPr>
          <w:rFonts w:ascii="Times New Roman" w:hAnsi="Times New Roman" w:eastAsia="Times New Roman"/>
          <w:b w:val="0"/>
          <w:i w:val="0"/>
        </w:rPr>
        <w:t>Suppose a noodle factory has a scheme to give a colour television to a dealer who sells the prescribed annual quantity. If the dealer achieves the target and receives a television with a market value of Rs. 20,000, the dealer must include Rs. 20,000 in business income.</w:t>
      </w:r>
    </w:p>
    <w:p>
      <w:pPr>
        <w:spacing w:after="20" w:line="252" w:lineRule="auto"/>
      </w:pPr>
      <w:r>
        <w:rPr>
          <w:rFonts w:ascii="Times New Roman" w:hAnsi="Times New Roman" w:eastAsia="Times New Roman"/>
          <w:b/>
          <w:i w:val="0"/>
        </w:rPr>
        <w:t>Example 7.2.4</w:t>
      </w:r>
    </w:p>
    <w:p>
      <w:pPr>
        <w:spacing w:after="60" w:line="252" w:lineRule="auto"/>
        <w:ind w:firstLine="317"/>
      </w:pPr>
      <w:r>
        <w:rPr>
          <w:rFonts w:ascii="Times New Roman" w:hAnsi="Times New Roman" w:eastAsia="Times New Roman"/>
          <w:b w:val="0"/>
          <w:i w:val="0"/>
        </w:rPr>
        <w:t>Suppose the board of directors of ABC Travel Agency Pvt. Ltd. transfers a jeep to its managing director, Mr. Hariprakash Shrestha, in appreciation of his loyalty to the institution. Since the payment in appreciation of loyalty is made through transfer of an asset, the market value of the jeep must be included in his remuneration income. Market value means the amount that could be obtained by selling the jeep in the market, not its written-down value in the books.</w:t>
      </w:r>
    </w:p>
    <w:p>
      <w:pPr>
        <w:spacing w:after="20" w:line="252" w:lineRule="auto"/>
      </w:pPr>
      <w:r>
        <w:rPr>
          <w:rFonts w:ascii="Times New Roman" w:hAnsi="Times New Roman" w:eastAsia="Times New Roman"/>
          <w:b/>
          <w:i w:val="0"/>
        </w:rPr>
        <w:t>Example 7.2.5</w:t>
      </w:r>
    </w:p>
    <w:p>
      <w:pPr>
        <w:spacing w:after="60" w:line="252" w:lineRule="auto"/>
        <w:ind w:firstLine="317"/>
      </w:pPr>
      <w:r>
        <w:rPr>
          <w:rFonts w:ascii="Times New Roman" w:hAnsi="Times New Roman" w:eastAsia="Times New Roman"/>
          <w:b w:val="0"/>
          <w:i w:val="0"/>
        </w:rPr>
        <w:t>Suppose an electricity distribution entity allows its workers or employees a concession by not charging for consumption up to a specified number of units each month, or a telephone company allows its workers or employees a concession by not charging for calls up to a specified number of calls each month, or similar concessions are provided to employees. Such entities must compute the value of the concession at market value and include the amount in the employment income of the workers or employees using the benefit.</w:t>
      </w:r>
    </w:p>
    <w:p>
      <w:pPr>
        <w:spacing w:after="80" w:line="252" w:lineRule="auto"/>
        <w:ind w:left="317"/>
      </w:pPr>
      <w:r>
        <w:rPr>
          <w:rFonts w:ascii="Times New Roman" w:hAnsi="Times New Roman" w:eastAsia="Times New Roman"/>
          <w:b w:val="0"/>
          <w:i/>
          <w:sz w:val="18"/>
        </w:rPr>
        <w:t>27(1)(b) In respect of payment for providing the following facilities, the amount prescribed, or where no provision has been made to determine the amount, the amount determined under clause (e):</w:t>
      </w:r>
    </w:p>
    <w:p>
      <w:pPr>
        <w:spacing w:after="80" w:line="252" w:lineRule="auto"/>
        <w:ind w:left="317"/>
      </w:pPr>
      <w:r>
        <w:rPr>
          <w:rFonts w:ascii="Times New Roman" w:hAnsi="Times New Roman" w:eastAsia="Times New Roman"/>
          <w:b w:val="0"/>
          <w:i/>
          <w:sz w:val="18"/>
        </w:rPr>
        <w:t>27(1)(b)(1) A vehicle used or made available for use, wholly or partly, for the private purpose of the person receiving the payment.</w:t>
      </w:r>
    </w:p>
    <w:p>
      <w:pPr>
        <w:spacing w:after="80" w:line="252" w:lineRule="auto"/>
        <w:ind w:firstLine="317"/>
      </w:pPr>
      <w:r>
        <w:rPr>
          <w:rFonts w:ascii="Times New Roman" w:hAnsi="Times New Roman" w:eastAsia="Times New Roman"/>
          <w:b w:val="0"/>
          <w:i w:val="0"/>
        </w:rPr>
        <w:t>Rule 13(1) of the Income Tax Rules provides that where a vehicle is used or made available wholly or partly for private purposes for any beneficiary including an employee or worker, the amount for an income year is determined as follows:</w:t>
      </w:r>
    </w:p>
    <w:p>
      <w:pPr>
        <w:spacing w:after="40" w:line="252" w:lineRule="auto"/>
        <w:ind w:left="403" w:hanging="230"/>
      </w:pPr>
      <w:r>
        <w:rPr>
          <w:rFonts w:ascii="Times New Roman" w:hAnsi="Times New Roman" w:eastAsia="Times New Roman"/>
          <w:b w:val="0"/>
          <w:i w:val="0"/>
        </w:rPr>
        <w:t>• Where provided to an employee or worker, or to any other person receiving remuneration on a monthly basis, an amount equal to 0.5 percent of the salary being received by that person.</w:t>
      </w:r>
    </w:p>
    <w:p>
      <w:pPr>
        <w:spacing w:after="40" w:line="252" w:lineRule="auto"/>
        <w:ind w:left="403" w:hanging="230"/>
      </w:pPr>
      <w:r>
        <w:rPr>
          <w:rFonts w:ascii="Times New Roman" w:hAnsi="Times New Roman" w:eastAsia="Times New Roman"/>
          <w:b w:val="0"/>
          <w:i w:val="0"/>
        </w:rPr>
        <w:t>• In cases other than those mentioned above, an amount equal to 1 percent per year of the prevailing market value of the vehicle.</w:t>
      </w:r>
    </w:p>
    <w:p>
      <w:pPr>
        <w:spacing w:after="80" w:line="252" w:lineRule="auto"/>
        <w:ind w:firstLine="317"/>
      </w:pPr>
      <w:r>
        <w:rPr>
          <w:rFonts w:ascii="Times New Roman" w:hAnsi="Times New Roman" w:eastAsia="Times New Roman"/>
          <w:b w:val="0"/>
          <w:i w:val="0"/>
        </w:rPr>
        <w:t>For this purpose, "vehicle" means a motor vehicle, car, jeep and similar vehicles. It does not include bicycles, motorcycles, bus facilities made jointly available to employees, or other vehicles outside the appropriate class. Rule 14 provides that, while quantifying a payment under section 27 or converting it into Nepalese rupees under section 28, fractions of a paisa exceeding rupees are not counted.</w:t>
      </w:r>
    </w:p>
    <w:p>
      <w:pPr>
        <w:spacing w:after="20" w:line="252" w:lineRule="auto"/>
      </w:pPr>
      <w:r>
        <w:rPr>
          <w:rFonts w:ascii="Times New Roman" w:hAnsi="Times New Roman" w:eastAsia="Times New Roman"/>
          <w:b/>
          <w:i w:val="0"/>
        </w:rPr>
        <w:t>Example 7.2.6</w:t>
      </w:r>
    </w:p>
    <w:p>
      <w:pPr>
        <w:spacing w:after="60" w:line="252" w:lineRule="auto"/>
        <w:ind w:firstLine="317"/>
      </w:pPr>
      <w:r>
        <w:rPr>
          <w:rFonts w:ascii="Times New Roman" w:hAnsi="Times New Roman" w:eastAsia="Times New Roman"/>
          <w:b w:val="0"/>
          <w:i w:val="0"/>
        </w:rPr>
        <w:t>Suppose an employer makes a car available to an employee for private and business use. The market value of the car is Rs. 2,000,000. The employee receives the following monthly remuneration:</w:t>
      </w:r>
    </w:p>
    <w:tbl>
      <w:tblPr>
        <w:tblStyle w:val="TableGrid"/>
        <w:tblW w:type="auto" w:w="0"/>
        <w:jc w:val="center"/>
        <w:tblLook w:firstColumn="1" w:firstRow="1" w:lastColumn="0" w:lastRow="0" w:noHBand="0" w:noVBand="1" w:val="04A0"/>
      </w:tblPr>
      <w:tblGrid>
        <w:gridCol w:w="5162"/>
        <w:gridCol w:w="5162"/>
      </w:tblGrid>
      <w:tr>
        <w:tc>
          <w:tcPr>
            <w:tcW w:type="dxa" w:w="5162"/>
            <w:vAlign w:val="top"/>
            <w:shd w:fill="E7E6E6"/>
          </w:tcPr>
          <w:p>
            <w:pPr>
              <w:spacing w:after="0"/>
            </w:pPr>
            <w:r>
              <w:rPr>
                <w:rFonts w:ascii="Times New Roman" w:hAnsi="Times New Roman" w:eastAsia="Times New Roman"/>
                <w:sz w:val="16"/>
              </w:rPr>
            </w:r>
            <w:r>
              <w:rPr>
                <w:rFonts w:ascii="Times New Roman" w:hAnsi="Times New Roman" w:eastAsia="Times New Roman"/>
                <w:b/>
                <w:i w:val="0"/>
                <w:sz w:val="16"/>
              </w:rPr>
              <w:t>Particulars</w:t>
            </w:r>
          </w:p>
        </w:tc>
        <w:tc>
          <w:tcPr>
            <w:tcW w:type="dxa" w:w="5162"/>
            <w:vAlign w:val="top"/>
            <w:shd w:fill="E7E6E6"/>
          </w:tcPr>
          <w:p>
            <w:pPr>
              <w:spacing w:after="0"/>
            </w:pPr>
            <w:r>
              <w:rPr>
                <w:rFonts w:ascii="Times New Roman" w:hAnsi="Times New Roman" w:eastAsia="Times New Roman"/>
                <w:sz w:val="16"/>
              </w:rPr>
            </w:r>
            <w:r>
              <w:rPr>
                <w:rFonts w:ascii="Times New Roman" w:hAnsi="Times New Roman" w:eastAsia="Times New Roman"/>
                <w:b/>
                <w:i w:val="0"/>
                <w:sz w:val="16"/>
              </w:rPr>
              <w:t>Amount</w:t>
            </w:r>
          </w:p>
        </w:tc>
      </w:tr>
      <w:tr>
        <w:tc>
          <w:tcPr>
            <w:tcW w:type="dxa" w:w="5162"/>
            <w:vAlign w:val="top"/>
          </w:tcPr>
          <w:p>
            <w:pPr>
              <w:spacing w:after="0"/>
            </w:pPr>
            <w:r>
              <w:rPr>
                <w:rFonts w:ascii="Times New Roman" w:hAnsi="Times New Roman" w:eastAsia="Times New Roman"/>
                <w:sz w:val="16"/>
              </w:rPr>
            </w:r>
            <w:r>
              <w:rPr>
                <w:rFonts w:ascii="Times New Roman" w:hAnsi="Times New Roman" w:eastAsia="Times New Roman"/>
                <w:b w:val="0"/>
                <w:i w:val="0"/>
                <w:sz w:val="16"/>
              </w:rPr>
              <w:t>Salary</w:t>
            </w:r>
          </w:p>
        </w:tc>
        <w:tc>
          <w:tcPr>
            <w:tcW w:type="dxa" w:w="5162"/>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15,000 per month</w:t>
            </w:r>
          </w:p>
        </w:tc>
      </w:tr>
      <w:tr>
        <w:tc>
          <w:tcPr>
            <w:tcW w:type="dxa" w:w="5162"/>
            <w:vAlign w:val="top"/>
          </w:tcPr>
          <w:p>
            <w:pPr>
              <w:spacing w:after="0"/>
            </w:pPr>
            <w:r>
              <w:rPr>
                <w:rFonts w:ascii="Times New Roman" w:hAnsi="Times New Roman" w:eastAsia="Times New Roman"/>
                <w:sz w:val="16"/>
              </w:rPr>
            </w:r>
            <w:r>
              <w:rPr>
                <w:rFonts w:ascii="Times New Roman" w:hAnsi="Times New Roman" w:eastAsia="Times New Roman"/>
                <w:b w:val="0"/>
                <w:i w:val="0"/>
                <w:sz w:val="16"/>
              </w:rPr>
              <w:t>Grade (total annual)</w:t>
            </w:r>
          </w:p>
        </w:tc>
        <w:tc>
          <w:tcPr>
            <w:tcW w:type="dxa" w:w="5162"/>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5,930</w:t>
            </w:r>
          </w:p>
        </w:tc>
      </w:tr>
      <w:tr>
        <w:tc>
          <w:tcPr>
            <w:tcW w:type="dxa" w:w="5162"/>
            <w:vAlign w:val="top"/>
          </w:tcPr>
          <w:p>
            <w:pPr>
              <w:spacing w:after="0"/>
            </w:pPr>
            <w:r>
              <w:rPr>
                <w:rFonts w:ascii="Times New Roman" w:hAnsi="Times New Roman" w:eastAsia="Times New Roman"/>
                <w:sz w:val="16"/>
              </w:rPr>
            </w:r>
            <w:r>
              <w:rPr>
                <w:rFonts w:ascii="Times New Roman" w:hAnsi="Times New Roman" w:eastAsia="Times New Roman"/>
                <w:b w:val="0"/>
                <w:i w:val="0"/>
                <w:sz w:val="16"/>
              </w:rPr>
              <w:t>Dearness allowance</w:t>
            </w:r>
          </w:p>
        </w:tc>
        <w:tc>
          <w:tcPr>
            <w:tcW w:type="dxa" w:w="5162"/>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600 per month</w:t>
            </w:r>
          </w:p>
        </w:tc>
      </w:tr>
      <w:tr>
        <w:tc>
          <w:tcPr>
            <w:tcW w:type="dxa" w:w="5162"/>
            <w:vAlign w:val="top"/>
          </w:tcPr>
          <w:p>
            <w:pPr>
              <w:spacing w:after="0"/>
            </w:pPr>
            <w:r>
              <w:rPr>
                <w:rFonts w:ascii="Times New Roman" w:hAnsi="Times New Roman" w:eastAsia="Times New Roman"/>
                <w:sz w:val="16"/>
              </w:rPr>
            </w:r>
            <w:r>
              <w:rPr>
                <w:rFonts w:ascii="Times New Roman" w:hAnsi="Times New Roman" w:eastAsia="Times New Roman"/>
                <w:b w:val="0"/>
                <w:i w:val="0"/>
                <w:sz w:val="16"/>
              </w:rPr>
              <w:t>Other allowance</w:t>
            </w:r>
          </w:p>
        </w:tc>
        <w:tc>
          <w:tcPr>
            <w:tcW w:type="dxa" w:w="5162"/>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1,000 per month</w:t>
            </w:r>
          </w:p>
        </w:tc>
      </w:tr>
      <w:tr>
        <w:tc>
          <w:tcPr>
            <w:tcW w:type="dxa" w:w="5162"/>
            <w:vAlign w:val="top"/>
          </w:tcPr>
          <w:p>
            <w:pPr>
              <w:spacing w:after="0"/>
            </w:pPr>
            <w:r>
              <w:rPr>
                <w:rFonts w:ascii="Times New Roman" w:hAnsi="Times New Roman" w:eastAsia="Times New Roman"/>
                <w:sz w:val="16"/>
              </w:rPr>
            </w:r>
            <w:r>
              <w:rPr>
                <w:rFonts w:ascii="Times New Roman" w:hAnsi="Times New Roman" w:eastAsia="Times New Roman"/>
                <w:b w:val="0"/>
                <w:i w:val="0"/>
                <w:sz w:val="16"/>
              </w:rPr>
              <w:t>Starting salary (15,000 x 12)</w:t>
            </w:r>
          </w:p>
        </w:tc>
        <w:tc>
          <w:tcPr>
            <w:tcW w:type="dxa" w:w="5162"/>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180,000</w:t>
            </w:r>
          </w:p>
        </w:tc>
      </w:tr>
      <w:tr>
        <w:tc>
          <w:tcPr>
            <w:tcW w:type="dxa" w:w="5162"/>
            <w:vAlign w:val="top"/>
          </w:tcPr>
          <w:p>
            <w:pPr>
              <w:spacing w:after="0"/>
            </w:pPr>
            <w:r>
              <w:rPr>
                <w:rFonts w:ascii="Times New Roman" w:hAnsi="Times New Roman" w:eastAsia="Times New Roman"/>
                <w:sz w:val="16"/>
              </w:rPr>
            </w:r>
            <w:r>
              <w:rPr>
                <w:rFonts w:ascii="Times New Roman" w:hAnsi="Times New Roman" w:eastAsia="Times New Roman"/>
                <w:b w:val="0"/>
                <w:i w:val="0"/>
                <w:sz w:val="16"/>
              </w:rPr>
              <w:t>Grade</w:t>
            </w:r>
          </w:p>
        </w:tc>
        <w:tc>
          <w:tcPr>
            <w:tcW w:type="dxa" w:w="5162"/>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5,930</w:t>
            </w:r>
          </w:p>
        </w:tc>
      </w:tr>
      <w:tr>
        <w:tc>
          <w:tcPr>
            <w:tcW w:type="dxa" w:w="5162"/>
            <w:vAlign w:val="top"/>
          </w:tcPr>
          <w:p>
            <w:pPr>
              <w:spacing w:after="0"/>
            </w:pPr>
            <w:r>
              <w:rPr>
                <w:rFonts w:ascii="Times New Roman" w:hAnsi="Times New Roman" w:eastAsia="Times New Roman"/>
                <w:sz w:val="16"/>
              </w:rPr>
            </w:r>
            <w:r>
              <w:rPr>
                <w:rFonts w:ascii="Times New Roman" w:hAnsi="Times New Roman" w:eastAsia="Times New Roman"/>
                <w:b w:val="0"/>
                <w:i w:val="0"/>
                <w:sz w:val="16"/>
              </w:rPr>
              <w:t>Salary being received</w:t>
            </w:r>
          </w:p>
        </w:tc>
        <w:tc>
          <w:tcPr>
            <w:tcW w:type="dxa" w:w="5162"/>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185,930</w:t>
            </w:r>
          </w:p>
        </w:tc>
      </w:tr>
      <w:tr>
        <w:tc>
          <w:tcPr>
            <w:tcW w:type="dxa" w:w="5162"/>
            <w:vAlign w:val="top"/>
          </w:tcPr>
          <w:p>
            <w:pPr>
              <w:spacing w:after="0"/>
            </w:pPr>
            <w:r>
              <w:rPr>
                <w:rFonts w:ascii="Times New Roman" w:hAnsi="Times New Roman" w:eastAsia="Times New Roman"/>
                <w:sz w:val="16"/>
              </w:rPr>
            </w:r>
            <w:r>
              <w:rPr>
                <w:rFonts w:ascii="Times New Roman" w:hAnsi="Times New Roman" w:eastAsia="Times New Roman"/>
                <w:b w:val="0"/>
                <w:i w:val="0"/>
                <w:sz w:val="16"/>
              </w:rPr>
              <w:t>0.5% of salary</w:t>
            </w:r>
          </w:p>
        </w:tc>
        <w:tc>
          <w:tcPr>
            <w:tcW w:type="dxa" w:w="5162"/>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929.65</w:t>
            </w:r>
          </w:p>
        </w:tc>
      </w:tr>
    </w:tbl>
    <w:p>
      <w:pPr>
        <w:spacing w:after="40" w:line="252" w:lineRule="auto"/>
      </w:pPr>
    </w:p>
    <w:p>
      <w:pPr>
        <w:spacing w:after="80" w:line="252" w:lineRule="auto"/>
        <w:ind w:firstLine="317"/>
      </w:pPr>
      <w:r>
        <w:rPr>
          <w:rFonts w:ascii="Times New Roman" w:hAnsi="Times New Roman" w:eastAsia="Times New Roman"/>
          <w:b w:val="0"/>
          <w:i w:val="0"/>
        </w:rPr>
        <w:t>The amount treated as payment for use of the vehicle and included in employment income is Rs. 929. Fractions of paisa are ignored in quantification.</w:t>
      </w:r>
    </w:p>
    <w:p>
      <w:pPr>
        <w:spacing w:after="80" w:line="252" w:lineRule="auto"/>
        <w:ind w:firstLine="317"/>
      </w:pPr>
      <w:r>
        <w:rPr>
          <w:rFonts w:ascii="Times New Roman" w:hAnsi="Times New Roman" w:eastAsia="Times New Roman"/>
          <w:b w:val="0"/>
          <w:i w:val="0"/>
        </w:rPr>
        <w:t>Where a vehicle facility is provided together with a driver and fuel, no separate amount for the driver or fuel is included once the value of the vehicle facility has been included as above. However, if a fixed amount is paid to an employee as a private vehicle facility, the full amount paid must be included in the employee’s employment income. If an entity provides fuel for an employee’s personal vehicle under a facility, the market value of the fuel provided must be included in the employee’s employment income.</w:t>
      </w:r>
    </w:p>
    <w:p>
      <w:pPr>
        <w:spacing w:after="20" w:line="252" w:lineRule="auto"/>
      </w:pPr>
      <w:r>
        <w:rPr>
          <w:rFonts w:ascii="Times New Roman" w:hAnsi="Times New Roman" w:eastAsia="Times New Roman"/>
          <w:b/>
          <w:i w:val="0"/>
        </w:rPr>
        <w:t>Example 7.2.7</w:t>
      </w:r>
    </w:p>
    <w:p>
      <w:pPr>
        <w:spacing w:after="60" w:line="252" w:lineRule="auto"/>
        <w:ind w:firstLine="317"/>
      </w:pPr>
      <w:r>
        <w:rPr>
          <w:rFonts w:ascii="Times New Roman" w:hAnsi="Times New Roman" w:eastAsia="Times New Roman"/>
          <w:b w:val="0"/>
          <w:i w:val="0"/>
        </w:rPr>
        <w:t>Suppose Harisharan is appointed by ABC Travel Agency Pvt. Ltd. as a consultant to run a programme for a lump-sum fee of Rs. 50,000. To assist him in personal purposes and in carrying out the specified work, the entity provides a car for three months. If the market value of the car is Rs. 2,000,000, he must include, in addition to the Rs. 50,000 cash received, Rs. 5,000 in his business income, being 1 percent of Rs. 2,000,000 apportioned for three months.</w:t>
      </w:r>
    </w:p>
    <w:p>
      <w:pPr>
        <w:spacing w:after="80" w:line="252" w:lineRule="auto"/>
        <w:ind w:left="317"/>
      </w:pPr>
      <w:r>
        <w:rPr>
          <w:rFonts w:ascii="Times New Roman" w:hAnsi="Times New Roman" w:eastAsia="Times New Roman"/>
          <w:b w:val="0"/>
          <w:i/>
          <w:sz w:val="18"/>
        </w:rPr>
        <w:t>27(1)(b)(2) A building made available for the person receiving the payment.</w:t>
      </w:r>
    </w:p>
    <w:p>
      <w:pPr>
        <w:spacing w:after="80" w:line="252" w:lineRule="auto"/>
        <w:ind w:firstLine="317"/>
      </w:pPr>
      <w:r>
        <w:rPr>
          <w:rFonts w:ascii="Times New Roman" w:hAnsi="Times New Roman" w:eastAsia="Times New Roman"/>
          <w:b w:val="0"/>
          <w:i w:val="0"/>
        </w:rPr>
        <w:t>Rule 13(2) of the Income Tax Rules provides that where a building is used or made available for private purposes for a beneficiary including an employee or worker, the amount for an income year is determined as follows:</w:t>
      </w:r>
    </w:p>
    <w:p>
      <w:pPr>
        <w:spacing w:after="40" w:line="252" w:lineRule="auto"/>
        <w:ind w:left="403" w:hanging="230"/>
      </w:pPr>
      <w:r>
        <w:rPr>
          <w:rFonts w:ascii="Times New Roman" w:hAnsi="Times New Roman" w:eastAsia="Times New Roman"/>
          <w:b w:val="0"/>
          <w:i w:val="0"/>
        </w:rPr>
        <w:t>• If the person providing the building provides it to an employee or worker, or any other person receiving remuneration on a monthly basis, an amount equal to 2 percent of the salary being received by that person.</w:t>
      </w:r>
    </w:p>
    <w:p>
      <w:pPr>
        <w:spacing w:after="40" w:line="252" w:lineRule="auto"/>
        <w:ind w:left="403" w:hanging="230"/>
      </w:pPr>
      <w:r>
        <w:rPr>
          <w:rFonts w:ascii="Times New Roman" w:hAnsi="Times New Roman" w:eastAsia="Times New Roman"/>
          <w:b w:val="0"/>
          <w:i w:val="0"/>
        </w:rPr>
        <w:t>• If the person providing the building rents a house and provides it to a person other than a person mentioned above, an amount equal to 25 percent of the rent paid.</w:t>
      </w:r>
    </w:p>
    <w:p>
      <w:pPr>
        <w:spacing w:after="40" w:line="252" w:lineRule="auto"/>
        <w:ind w:left="403" w:hanging="230"/>
      </w:pPr>
      <w:r>
        <w:rPr>
          <w:rFonts w:ascii="Times New Roman" w:hAnsi="Times New Roman" w:eastAsia="Times New Roman"/>
          <w:b w:val="0"/>
          <w:i w:val="0"/>
        </w:rPr>
        <w:t>• If the person providing the building provides a house for which rent is not payable to a person other than a person mentioned above, an amount equal to 25 percent of the prevailing house rent.</w:t>
      </w:r>
    </w:p>
    <w:p>
      <w:pPr>
        <w:spacing w:after="80" w:line="252" w:lineRule="auto"/>
        <w:ind w:firstLine="317"/>
      </w:pPr>
      <w:r>
        <w:rPr>
          <w:rFonts w:ascii="Times New Roman" w:hAnsi="Times New Roman" w:eastAsia="Times New Roman"/>
          <w:b w:val="0"/>
          <w:i w:val="0"/>
        </w:rPr>
        <w:t>Accordingly, where an own building or a rented building is provided to an employee, worker or other person receiving monthly remuneration, an amount equal to 2 percent of the salary being received is deemed as a payment received and included in employment income.</w:t>
      </w:r>
    </w:p>
    <w:p>
      <w:pPr>
        <w:spacing w:after="20" w:line="252" w:lineRule="auto"/>
      </w:pPr>
      <w:r>
        <w:rPr>
          <w:rFonts w:ascii="Times New Roman" w:hAnsi="Times New Roman" w:eastAsia="Times New Roman"/>
          <w:b/>
          <w:i w:val="0"/>
        </w:rPr>
        <w:t>Example 7.2.8</w:t>
      </w:r>
    </w:p>
    <w:p>
      <w:pPr>
        <w:spacing w:after="60" w:line="252" w:lineRule="auto"/>
        <w:ind w:firstLine="317"/>
      </w:pPr>
      <w:r>
        <w:rPr>
          <w:rFonts w:ascii="Times New Roman" w:hAnsi="Times New Roman" w:eastAsia="Times New Roman"/>
          <w:b w:val="0"/>
          <w:i w:val="0"/>
        </w:rPr>
        <w:t>Suppose the employee in Example 7.2.6 is also provided a building with annual rent value of Rs. 60,000 in addition to salary and allowance. Since the person is an employee of the company, the building facility is valued at 2 percent of the salary being received: Rs. 3,718.60 (185,930 x 2/100). Under Rule 14, the amount included in income is Rs. 3,718. If cash or cash equivalent is provided for residence instead of accommodation, the full amount provided must be included as rent allowance in the employee’s income.</w:t>
      </w:r>
    </w:p>
    <w:p>
      <w:pPr>
        <w:spacing w:after="20" w:line="252" w:lineRule="auto"/>
      </w:pPr>
      <w:r>
        <w:rPr>
          <w:rFonts w:ascii="Times New Roman" w:hAnsi="Times New Roman" w:eastAsia="Times New Roman"/>
          <w:b/>
          <w:i w:val="0"/>
        </w:rPr>
        <w:t>Example 7.2.9</w:t>
      </w:r>
    </w:p>
    <w:p>
      <w:pPr>
        <w:spacing w:after="60" w:line="252" w:lineRule="auto"/>
        <w:ind w:firstLine="317"/>
      </w:pPr>
      <w:r>
        <w:rPr>
          <w:rFonts w:ascii="Times New Roman" w:hAnsi="Times New Roman" w:eastAsia="Times New Roman"/>
          <w:b w:val="0"/>
          <w:i w:val="0"/>
        </w:rPr>
        <w:t>Suppose Nepal Bank Limited has a guest house in Bhairahawa and makes one flat available for one year to its director, Mr. Bhareshwar Mahat. If the monthly rent for a similar flat in that area is Rs. 5,000, the director must include Rs. 1,250 per month (5,000 x 25/100) in computing his income.</w:t>
      </w:r>
    </w:p>
    <w:p>
      <w:pPr>
        <w:spacing w:after="80" w:line="252" w:lineRule="auto"/>
        <w:ind w:firstLine="317"/>
      </w:pPr>
      <w:r>
        <w:rPr>
          <w:rFonts w:ascii="Times New Roman" w:hAnsi="Times New Roman" w:eastAsia="Times New Roman"/>
          <w:b w:val="0"/>
          <w:i w:val="0"/>
        </w:rPr>
        <w:t>Generally, for employees this benefit is included in employment income as deemed income equal to 2 percent of salary income. However, where guards, messengers, office assistants or similar employees are housed at the office for security reasons, the residence is for the employer’s business purpose and not a personal facility. In such a case, 2 percent of salary is not included in employment income. Where an entity provides residence at a concessional rate, the amount equal to 2 percent of salary being received must still be included in income.</w:t>
      </w:r>
    </w:p>
    <w:p>
      <w:pPr>
        <w:spacing w:after="20" w:line="252" w:lineRule="auto"/>
      </w:pPr>
      <w:r>
        <w:rPr>
          <w:rFonts w:ascii="Times New Roman" w:hAnsi="Times New Roman" w:eastAsia="Times New Roman"/>
          <w:b/>
          <w:i w:val="0"/>
        </w:rPr>
        <w:t>Example 7.2.10</w:t>
      </w:r>
    </w:p>
    <w:p>
      <w:pPr>
        <w:spacing w:after="60" w:line="252" w:lineRule="auto"/>
        <w:ind w:firstLine="317"/>
      </w:pPr>
      <w:r>
        <w:rPr>
          <w:rFonts w:ascii="Times New Roman" w:hAnsi="Times New Roman" w:eastAsia="Times New Roman"/>
          <w:b w:val="0"/>
          <w:i w:val="0"/>
        </w:rPr>
        <w:t>Suppose an employee named Dipak, earning a monthly salary of Rs. 25,000, is provided residence by the office. He pays Rs. 200 per month to the office for the accommodation. Since the residence has been provided as a facility, Rs. 500 per month, being 2 percent of his salary, must be included in his employment income under the Rules.</w:t>
      </w:r>
    </w:p>
    <w:p>
      <w:pPr>
        <w:spacing w:after="20" w:line="252" w:lineRule="auto"/>
      </w:pPr>
      <w:r>
        <w:rPr>
          <w:rFonts w:ascii="Times New Roman" w:hAnsi="Times New Roman" w:eastAsia="Times New Roman"/>
          <w:b/>
          <w:i w:val="0"/>
        </w:rPr>
        <w:t>Example 7.2.11</w:t>
      </w:r>
    </w:p>
    <w:p>
      <w:pPr>
        <w:spacing w:after="60" w:line="252" w:lineRule="auto"/>
        <w:ind w:firstLine="317"/>
      </w:pPr>
      <w:r>
        <w:rPr>
          <w:rFonts w:ascii="Times New Roman" w:hAnsi="Times New Roman" w:eastAsia="Times New Roman"/>
          <w:b w:val="0"/>
          <w:i w:val="0"/>
        </w:rPr>
        <w:t>Suppose Samari, a director of Nepal Gear Pvt. Ltd., is provided a quarter by the company in Kamaladi, Kathmandu. If renting a similar residence in Kamaladi would cost Rs. 50,000 per month and the director is neither an employee nor a worker, he is deemed to have received a payment equal to 25 percent of the quantified amount, i.e. Rs. 12,500, and must include it in income.</w:t>
      </w:r>
    </w:p>
    <w:p>
      <w:pPr>
        <w:spacing w:after="20" w:line="252" w:lineRule="auto"/>
      </w:pPr>
      <w:r>
        <w:rPr>
          <w:rFonts w:ascii="Times New Roman" w:hAnsi="Times New Roman" w:eastAsia="Times New Roman"/>
          <w:b/>
          <w:i w:val="0"/>
        </w:rPr>
        <w:t>Example 7.2.12</w:t>
      </w:r>
    </w:p>
    <w:p>
      <w:pPr>
        <w:spacing w:after="60" w:line="252" w:lineRule="auto"/>
        <w:ind w:firstLine="317"/>
      </w:pPr>
      <w:r>
        <w:rPr>
          <w:rFonts w:ascii="Times New Roman" w:hAnsi="Times New Roman" w:eastAsia="Times New Roman"/>
          <w:b w:val="0"/>
          <w:i w:val="0"/>
        </w:rPr>
        <w:t>If Nepal Gear Pvt. Ltd. rents a house costing Rs. 40,000 per month and provides it as residence to its director, the director is deemed to have received Rs. 10,000 per month, being 25 percent of the rent, and must include it in income. If the director is not provided accommodation but is paid Rs. 40,000 per month as residence allowance, the entire amount must be included in income.</w:t>
      </w:r>
    </w:p>
    <w:p>
      <w:pPr>
        <w:spacing w:after="80" w:line="252" w:lineRule="auto"/>
        <w:ind w:left="317"/>
      </w:pPr>
      <w:r>
        <w:rPr>
          <w:rFonts w:ascii="Times New Roman" w:hAnsi="Times New Roman" w:eastAsia="Times New Roman"/>
          <w:b w:val="0"/>
          <w:i/>
          <w:sz w:val="18"/>
        </w:rPr>
        <w:t>27(1)(c) The amount remaining after deducting the contribution of the person receiving the payment from the expenditure incurred by the person making the payment for providing the following:</w:t>
      </w:r>
    </w:p>
    <w:p>
      <w:pPr>
        <w:spacing w:after="80" w:line="252" w:lineRule="auto"/>
        <w:ind w:left="317"/>
      </w:pPr>
      <w:r>
        <w:rPr>
          <w:rFonts w:ascii="Times New Roman" w:hAnsi="Times New Roman" w:eastAsia="Times New Roman"/>
          <w:b w:val="0"/>
          <w:i/>
          <w:sz w:val="18"/>
        </w:rPr>
        <w:t>27(1)(c)(1) Services of a housekeeper, cook, driver, gardener or other domestic assistant.</w:t>
      </w:r>
    </w:p>
    <w:p>
      <w:pPr>
        <w:spacing w:after="80" w:line="252" w:lineRule="auto"/>
        <w:ind w:firstLine="317"/>
      </w:pPr>
      <w:r>
        <w:rPr>
          <w:rFonts w:ascii="Times New Roman" w:hAnsi="Times New Roman" w:eastAsia="Times New Roman"/>
          <w:b w:val="0"/>
          <w:i w:val="0"/>
        </w:rPr>
        <w:t>Where an entity, in accordance with its rules, provides an employee with the service of a housekeeper, cook, driver, gardener or other domestic assistant, the amount remaining after deducting the contribution of the beneficiary is included in computing the employee’s employment income.</w:t>
      </w:r>
    </w:p>
    <w:p>
      <w:pPr>
        <w:spacing w:after="20" w:line="252" w:lineRule="auto"/>
      </w:pPr>
      <w:r>
        <w:rPr>
          <w:rFonts w:ascii="Times New Roman" w:hAnsi="Times New Roman" w:eastAsia="Times New Roman"/>
          <w:b/>
          <w:i w:val="0"/>
        </w:rPr>
        <w:t>Example 7.2.13</w:t>
      </w:r>
    </w:p>
    <w:p>
      <w:pPr>
        <w:spacing w:after="60" w:line="252" w:lineRule="auto"/>
        <w:ind w:firstLine="317"/>
      </w:pPr>
      <w:r>
        <w:rPr>
          <w:rFonts w:ascii="Times New Roman" w:hAnsi="Times New Roman" w:eastAsia="Times New Roman"/>
          <w:b w:val="0"/>
          <w:i w:val="0"/>
        </w:rPr>
        <w:t>Suppose Bikash Bank Limited provides one assistant to work at the house of its chief executive officer. The assistant is an employee of the bank and receives Rs. 5,000 per month, and the bank assigns the assistant’s workplace as the CEO’s home. Under the appointment contract, Rs. 1,000 per month is deducted from the CEO’s salary for the assistant. The amount included in the CEO’s employment income is Rs. 4,000 per month (5,000 - 1,000). A facility received at the institution’s cost is a perquisite of the person receiving the facility.</w:t>
      </w:r>
    </w:p>
    <w:p>
      <w:pPr>
        <w:spacing w:after="80" w:line="252" w:lineRule="auto"/>
        <w:ind w:left="317"/>
      </w:pPr>
      <w:r>
        <w:rPr>
          <w:rFonts w:ascii="Times New Roman" w:hAnsi="Times New Roman" w:eastAsia="Times New Roman"/>
          <w:b w:val="0"/>
          <w:i/>
          <w:sz w:val="18"/>
        </w:rPr>
        <w:t>27(1)(c)(2) Any food, refreshment or entertainment.</w:t>
      </w:r>
    </w:p>
    <w:p>
      <w:pPr>
        <w:spacing w:after="80" w:line="252" w:lineRule="auto"/>
        <w:ind w:firstLine="317"/>
      </w:pPr>
      <w:r>
        <w:rPr>
          <w:rFonts w:ascii="Times New Roman" w:hAnsi="Times New Roman" w:eastAsia="Times New Roman"/>
          <w:b w:val="0"/>
          <w:i w:val="0"/>
        </w:rPr>
        <w:t>Any amount remaining after deducting the contribution of the person receiving the payment from the expenditure incurred by the payer for food, refreshment or entertainment must be included in income.</w:t>
      </w:r>
    </w:p>
    <w:p>
      <w:pPr>
        <w:spacing w:after="20" w:line="252" w:lineRule="auto"/>
      </w:pPr>
      <w:r>
        <w:rPr>
          <w:rFonts w:ascii="Times New Roman" w:hAnsi="Times New Roman" w:eastAsia="Times New Roman"/>
          <w:b/>
          <w:i w:val="0"/>
        </w:rPr>
        <w:t>Example 7.2.14</w:t>
      </w:r>
    </w:p>
    <w:p>
      <w:pPr>
        <w:spacing w:after="60" w:line="252" w:lineRule="auto"/>
        <w:ind w:firstLine="317"/>
      </w:pPr>
      <w:r>
        <w:rPr>
          <w:rFonts w:ascii="Times New Roman" w:hAnsi="Times New Roman" w:eastAsia="Times New Roman"/>
          <w:b w:val="0"/>
          <w:i w:val="0"/>
        </w:rPr>
        <w:t>Suppose the employee service rules of Hotel Kathmandu Regency allow officer-level employees, and up to two family members, to consume a buffet dinner by paying Rs. 200. Other persons can consume the same buffet dinner by paying Rs. 700 per person. The employer’s cost of Rs. 700 less the employee’s contribution of Rs. 200 leaves Rs. 500, which must be included in the employment income of the person using the facility.</w:t>
      </w:r>
    </w:p>
    <w:p>
      <w:pPr>
        <w:spacing w:after="80" w:line="252" w:lineRule="auto"/>
        <w:ind w:left="317"/>
      </w:pPr>
      <w:r>
        <w:rPr>
          <w:rFonts w:ascii="Times New Roman" w:hAnsi="Times New Roman" w:eastAsia="Times New Roman"/>
          <w:b w:val="0"/>
          <w:i/>
          <w:sz w:val="18"/>
        </w:rPr>
        <w:t>27(1)(c)(3) Services such as water, electricity and telephone installed at the residence of the person receiving the payment.</w:t>
      </w:r>
    </w:p>
    <w:p>
      <w:pPr>
        <w:spacing w:after="80" w:line="252" w:lineRule="auto"/>
        <w:ind w:firstLine="317"/>
      </w:pPr>
      <w:r>
        <w:rPr>
          <w:rFonts w:ascii="Times New Roman" w:hAnsi="Times New Roman" w:eastAsia="Times New Roman"/>
          <w:b w:val="0"/>
          <w:i w:val="0"/>
        </w:rPr>
        <w:t>Where an entity pays the charges for services such as water, electricity or telephone installed at the residence of the person receiving the facility, the amount paid by the entity must be included in the employment income of the person using the facility.</w:t>
      </w:r>
    </w:p>
    <w:p>
      <w:pPr>
        <w:spacing w:after="20" w:line="252" w:lineRule="auto"/>
      </w:pPr>
      <w:r>
        <w:rPr>
          <w:rFonts w:ascii="Times New Roman" w:hAnsi="Times New Roman" w:eastAsia="Times New Roman"/>
          <w:b/>
          <w:i w:val="0"/>
        </w:rPr>
        <w:t>Example 7.2.15</w:t>
      </w:r>
    </w:p>
    <w:p>
      <w:pPr>
        <w:spacing w:after="60" w:line="252" w:lineRule="auto"/>
        <w:ind w:firstLine="317"/>
      </w:pPr>
      <w:r>
        <w:rPr>
          <w:rFonts w:ascii="Times New Roman" w:hAnsi="Times New Roman" w:eastAsia="Times New Roman"/>
          <w:b w:val="0"/>
          <w:i w:val="0"/>
        </w:rPr>
        <w:t>Suppose Nepal Khushi Company Ltd. pays Rs. 1,000 per month for water, Rs. 2,000 per month for electricity and Rs. 3,000 per month for telephone at the private residence of its CEO. The total Rs. 6,000 per month paid by the entity for these residential facilities must be included in computing the CEO’s employment income.</w:t>
      </w:r>
    </w:p>
    <w:p>
      <w:pPr>
        <w:spacing w:after="20" w:line="252" w:lineRule="auto"/>
      </w:pPr>
      <w:r>
        <w:rPr>
          <w:rFonts w:ascii="Times New Roman" w:hAnsi="Times New Roman" w:eastAsia="Times New Roman"/>
          <w:b/>
          <w:i w:val="0"/>
        </w:rPr>
        <w:t>Example 7.2.16</w:t>
      </w:r>
    </w:p>
    <w:p>
      <w:pPr>
        <w:spacing w:after="60" w:line="252" w:lineRule="auto"/>
        <w:ind w:firstLine="317"/>
      </w:pPr>
      <w:r>
        <w:rPr>
          <w:rFonts w:ascii="Times New Roman" w:hAnsi="Times New Roman" w:eastAsia="Times New Roman"/>
          <w:b w:val="0"/>
          <w:i w:val="0"/>
        </w:rPr>
        <w:t>Suppose an employer has a system to provide its workers or employees with monthly utility charges up to a specified or unspecified number of units, or telephone charges up to a specified number of calls. The amount paid by the employer for such facilities must be included in computing the employment income of the workers or employees using the facilities. Where a residential telephone is used partly for personal purposes and partly for office work, only the telephone charges relating to personal use are included in income.</w:t>
      </w:r>
    </w:p>
    <w:p>
      <w:pPr>
        <w:spacing w:after="80" w:line="252" w:lineRule="auto"/>
        <w:ind w:left="317"/>
      </w:pPr>
      <w:r>
        <w:rPr>
          <w:rFonts w:ascii="Times New Roman" w:hAnsi="Times New Roman" w:eastAsia="Times New Roman"/>
          <w:b w:val="0"/>
          <w:i/>
          <w:sz w:val="18"/>
        </w:rPr>
        <w:t>27(1)(d) Where a person required to receive payment in an income year pays interest on a loan at a rate lower than the amount of interest payable according to the prevailing interest rate, the amount of the shortfall.</w:t>
      </w:r>
    </w:p>
    <w:p>
      <w:pPr>
        <w:spacing w:after="80" w:line="252" w:lineRule="auto"/>
        <w:ind w:firstLine="317"/>
      </w:pPr>
      <w:r>
        <w:rPr>
          <w:rFonts w:ascii="Times New Roman" w:hAnsi="Times New Roman" w:eastAsia="Times New Roman"/>
          <w:b w:val="0"/>
          <w:i w:val="0"/>
        </w:rPr>
        <w:t>The prevailing interest rate means the market rate available according to the nature of the loan advanced. For this purpose, the taxpayer has the responsibility to declare and substantiate the interest rate. Interest concessions arising from interest-free or low-interest loans provided by an employer to an employee must be included in income.</w:t>
      </w:r>
    </w:p>
    <w:p>
      <w:pPr>
        <w:spacing w:after="20" w:line="252" w:lineRule="auto"/>
      </w:pPr>
      <w:r>
        <w:rPr>
          <w:rFonts w:ascii="Times New Roman" w:hAnsi="Times New Roman" w:eastAsia="Times New Roman"/>
          <w:b/>
          <w:i w:val="0"/>
        </w:rPr>
        <w:t>Example 7.2.17</w:t>
      </w:r>
    </w:p>
    <w:p>
      <w:pPr>
        <w:spacing w:after="60" w:line="252" w:lineRule="auto"/>
        <w:ind w:firstLine="317"/>
      </w:pPr>
      <w:r>
        <w:rPr>
          <w:rFonts w:ascii="Times New Roman" w:hAnsi="Times New Roman" w:eastAsia="Times New Roman"/>
          <w:b w:val="0"/>
          <w:i w:val="0"/>
        </w:rPr>
        <w:t>Suppose a loan of Rs. 100,000 is provided to a person at 4 percent annual interest and the prevailing interest rate is 8 percent. The difference of 4 percent, i.e. Rs. 4,000, is computed as an interest concession received by the employee and included in employment income.</w:t>
      </w:r>
    </w:p>
    <w:p>
      <w:pPr>
        <w:spacing w:after="80" w:line="252" w:lineRule="auto"/>
        <w:ind w:left="317"/>
      </w:pPr>
      <w:r>
        <w:rPr>
          <w:rFonts w:ascii="Times New Roman" w:hAnsi="Times New Roman" w:eastAsia="Times New Roman"/>
          <w:b w:val="0"/>
          <w:i/>
          <w:sz w:val="18"/>
        </w:rPr>
        <w:t>27(1)(e) In relation to a payment other than those mentioned in clauses (a), (b), (c) and (d), where a third person receives the payment instead of the person entitled to receive it, an amount equal to the value of the benefit normally received.</w:t>
      </w:r>
    </w:p>
    <w:p>
      <w:pPr>
        <w:spacing w:after="20" w:line="252" w:lineRule="auto"/>
      </w:pPr>
      <w:r>
        <w:rPr>
          <w:rFonts w:ascii="Times New Roman" w:hAnsi="Times New Roman" w:eastAsia="Times New Roman"/>
          <w:b/>
          <w:i w:val="0"/>
        </w:rPr>
        <w:t>Example 7.2.18</w:t>
      </w:r>
    </w:p>
    <w:p>
      <w:pPr>
        <w:spacing w:after="60" w:line="252" w:lineRule="auto"/>
        <w:ind w:firstLine="317"/>
      </w:pPr>
      <w:r>
        <w:rPr>
          <w:rFonts w:ascii="Times New Roman" w:hAnsi="Times New Roman" w:eastAsia="Times New Roman"/>
          <w:b w:val="0"/>
          <w:i w:val="0"/>
        </w:rPr>
        <w:t>Suppose Hariprasad works as an employee at Bold Kid Pvt. Ltd. His son studies at Kinder World school. The company pays Rs. 10,000 per month directly to the school as school fees. This payment is treated as an indirect facility provided by the employer to the employee and must be included while determining Hariprasad’s employment income. Although the third person, Kinder World, receives the payment, Hariprasad is benefited indirectly because the company paid an obligation he was required to pay.</w:t>
      </w:r>
    </w:p>
    <w:p>
      <w:pPr>
        <w:pStyle w:val="Heading3"/>
        <w:spacing w:after="80" w:line="252" w:lineRule="auto"/>
      </w:pPr>
      <w:r>
        <w:rPr>
          <w:rFonts w:ascii="Times New Roman" w:hAnsi="Times New Roman" w:eastAsia="Times New Roman"/>
          <w:b w:val="0"/>
          <w:i w:val="0"/>
        </w:rPr>
        <w:t>7.2.2 Time of quantification</w:t>
      </w:r>
    </w:p>
    <w:p>
      <w:pPr>
        <w:spacing w:after="80" w:line="252" w:lineRule="auto"/>
        <w:ind w:firstLine="317"/>
      </w:pPr>
      <w:r>
        <w:rPr>
          <w:rFonts w:ascii="Times New Roman" w:hAnsi="Times New Roman" w:eastAsia="Times New Roman"/>
          <w:b w:val="0"/>
          <w:i w:val="0"/>
        </w:rPr>
        <w:t>Section 27(2) provides as follows in relation to the time at which quantified amounts are treated as payments:</w:t>
      </w:r>
    </w:p>
    <w:p>
      <w:pPr>
        <w:spacing w:after="80" w:line="252" w:lineRule="auto"/>
        <w:ind w:left="317"/>
      </w:pPr>
      <w:r>
        <w:rPr>
          <w:rFonts w:ascii="Times New Roman" w:hAnsi="Times New Roman" w:eastAsia="Times New Roman"/>
          <w:b w:val="0"/>
          <w:i/>
          <w:sz w:val="18"/>
        </w:rPr>
        <w:t>27(2) In relation to clauses (a) and (e) of sub-section (1), the time at which a payment is derived, received, made, borne or otherwise accounted for tax purposes shall be treated as the time at which the amounts are quantified.</w:t>
      </w:r>
    </w:p>
    <w:p>
      <w:pPr>
        <w:spacing w:after="80" w:line="252" w:lineRule="auto"/>
        <w:ind w:firstLine="317"/>
      </w:pPr>
      <w:r>
        <w:rPr>
          <w:rFonts w:ascii="Times New Roman" w:hAnsi="Times New Roman" w:eastAsia="Times New Roman"/>
          <w:b w:val="0"/>
          <w:i w:val="0"/>
        </w:rPr>
        <w:t>Under section 27(2), the time when a payment is derived, received, made, borne or otherwise accounted for tax purposes is treated as the time of quantification and, accordingly, as the date on which the payment is received or made.</w:t>
      </w:r>
    </w:p>
    <w:p>
      <w:pPr>
        <w:spacing w:after="20" w:line="252" w:lineRule="auto"/>
      </w:pPr>
      <w:r>
        <w:rPr>
          <w:rFonts w:ascii="Times New Roman" w:hAnsi="Times New Roman" w:eastAsia="Times New Roman"/>
          <w:b/>
          <w:i w:val="0"/>
        </w:rPr>
        <w:t>Example 7.2.19 - Payment derived</w:t>
      </w:r>
    </w:p>
    <w:p>
      <w:pPr>
        <w:spacing w:after="60" w:line="252" w:lineRule="auto"/>
        <w:ind w:firstLine="317"/>
      </w:pPr>
      <w:r>
        <w:rPr>
          <w:rFonts w:ascii="Times New Roman" w:hAnsi="Times New Roman" w:eastAsia="Times New Roman"/>
          <w:b w:val="0"/>
          <w:i w:val="0"/>
        </w:rPr>
        <w:t>ABC Consultancy Pvt. Ltd. is appointed by Nepal Bank Ltd. as a tax consultant by agreement dated 2079/10/28, effective from 2080 Shrawan 1. The bank is to pay Rs. 100,000 annually. At the time of contract, on 2079/10/28, ABC receives Rs. 40,000 as advance. Since ABC Consultancy is a company and must account on the accrual basis, the consultancy fee is treated as accrued only in income year 2080/81. The advance of Rs. 40,000 received in 2079/80 is not treated as income derived in that year and is accounted for as a liability until it accrues.</w:t>
      </w:r>
    </w:p>
    <w:p>
      <w:pPr>
        <w:spacing w:after="20" w:line="252" w:lineRule="auto"/>
      </w:pPr>
      <w:r>
        <w:rPr>
          <w:rFonts w:ascii="Times New Roman" w:hAnsi="Times New Roman" w:eastAsia="Times New Roman"/>
          <w:b/>
          <w:i w:val="0"/>
        </w:rPr>
        <w:t>Example 7.2.20 - Deemed receipt</w:t>
      </w:r>
    </w:p>
    <w:p>
      <w:pPr>
        <w:spacing w:after="60" w:line="252" w:lineRule="auto"/>
        <w:ind w:firstLine="317"/>
      </w:pPr>
      <w:r>
        <w:rPr>
          <w:rFonts w:ascii="Times New Roman" w:hAnsi="Times New Roman" w:eastAsia="Times New Roman"/>
          <w:b w:val="0"/>
          <w:i w:val="0"/>
        </w:rPr>
        <w:t>Mr. Harish is an employee of Bikash Bank. Under the bank’s rules, he is provided a vehicle for both personal and office use. If his monthly salary is Rs. 40,000, the vehicle facility of Rs. 200 per month is treated as payment received. The amount is treated as received when salary is paid.</w:t>
      </w:r>
    </w:p>
    <w:p>
      <w:pPr>
        <w:spacing w:after="20" w:line="252" w:lineRule="auto"/>
      </w:pPr>
      <w:r>
        <w:rPr>
          <w:rFonts w:ascii="Times New Roman" w:hAnsi="Times New Roman" w:eastAsia="Times New Roman"/>
          <w:b/>
          <w:i w:val="0"/>
        </w:rPr>
        <w:t>Example 7.2.21 - Waiver</w:t>
      </w:r>
    </w:p>
    <w:p>
      <w:pPr>
        <w:spacing w:after="60" w:line="252" w:lineRule="auto"/>
        <w:ind w:firstLine="317"/>
      </w:pPr>
      <w:r>
        <w:rPr>
          <w:rFonts w:ascii="Times New Roman" w:hAnsi="Times New Roman" w:eastAsia="Times New Roman"/>
          <w:b w:val="0"/>
          <w:i w:val="0"/>
        </w:rPr>
        <w:t>According to the balance sheet of ABC Company for income year 2080/81, it owes Rs. 400,000 to B&amp;W. On 2081 Shrawan 10, the board of directors of B&amp;W decides to waive the amount because of ABC Company’s poor financial condition. ABC Co. must account for the waived Rs. 400,000 as income at that time, i.e. on 2081 Shrawan 10.</w:t>
      </w:r>
    </w:p>
    <w:p>
      <w:pPr>
        <w:spacing w:after="20" w:line="252" w:lineRule="auto"/>
      </w:pPr>
      <w:r>
        <w:rPr>
          <w:rFonts w:ascii="Times New Roman" w:hAnsi="Times New Roman" w:eastAsia="Times New Roman"/>
          <w:b/>
          <w:i w:val="0"/>
        </w:rPr>
        <w:t>Example 7.2.22 - Liability borne</w:t>
      </w:r>
    </w:p>
    <w:p>
      <w:pPr>
        <w:spacing w:after="60" w:line="252" w:lineRule="auto"/>
        <w:ind w:firstLine="317"/>
      </w:pPr>
      <w:r>
        <w:rPr>
          <w:rFonts w:ascii="Times New Roman" w:hAnsi="Times New Roman" w:eastAsia="Times New Roman"/>
          <w:b w:val="0"/>
          <w:i w:val="0"/>
        </w:rPr>
        <w:t>Ram owes Rs. 500,000 to Harish &amp; Co. Under an understanding between Shiv Shankar and Ram, Shiv Shankar bears Ram’s liability to Harish &amp; Co. on 2080/03/16. Since the liability is treated as disposed of on that date, Ram must account for the amount as his income.</w:t>
      </w:r>
    </w:p>
    <w:p>
      <w:pPr>
        <w:pStyle w:val="Heading2"/>
        <w:spacing w:after="80" w:line="252" w:lineRule="auto"/>
      </w:pPr>
      <w:r>
        <w:rPr>
          <w:rFonts w:ascii="Times New Roman" w:hAnsi="Times New Roman" w:eastAsia="Times New Roman"/>
          <w:b w:val="0"/>
          <w:i w:val="0"/>
        </w:rPr>
        <w:t>7.3 Conversion into Rupees</w:t>
      </w:r>
    </w:p>
    <w:p>
      <w:pPr>
        <w:spacing w:after="80" w:line="252" w:lineRule="auto"/>
        <w:ind w:firstLine="317"/>
      </w:pPr>
      <w:r>
        <w:rPr>
          <w:rFonts w:ascii="Times New Roman" w:hAnsi="Times New Roman" w:eastAsia="Times New Roman"/>
          <w:b w:val="0"/>
          <w:i w:val="0"/>
        </w:rPr>
        <w:t>Where the transaction of a person is in a foreign currency other than Nepalese currency, the foreign currency amount must be expressed in Nepalese currency for the purpose of determining the person’s income. Section 28 provides as follows:</w:t>
      </w:r>
    </w:p>
    <w:p>
      <w:pPr>
        <w:spacing w:after="80" w:line="252" w:lineRule="auto"/>
        <w:ind w:left="317"/>
      </w:pPr>
      <w:r>
        <w:rPr>
          <w:rFonts w:ascii="Times New Roman" w:hAnsi="Times New Roman" w:eastAsia="Times New Roman"/>
          <w:b w:val="0"/>
          <w:i/>
          <w:sz w:val="18"/>
        </w:rPr>
        <w:t>28(1) For the purposes of this Act, where the income of a person and amounts included or deducted in determining such income are denominated in a currency other than Nepalese rupees, such amounts shall be converted into Nepalese rupees.</w:t>
      </w:r>
    </w:p>
    <w:p>
      <w:pPr>
        <w:spacing w:after="80" w:line="252" w:lineRule="auto"/>
        <w:ind w:left="317"/>
      </w:pPr>
      <w:r>
        <w:rPr>
          <w:rFonts w:ascii="Times New Roman" w:hAnsi="Times New Roman" w:eastAsia="Times New Roman"/>
          <w:b w:val="0"/>
          <w:i/>
          <w:sz w:val="18"/>
        </w:rPr>
        <w:t>28(2) Where an amount included or deducted in computing income of a person for an income year is denominated in a currency other than Nepalese rupees, the amount shall be converted into Nepalese rupees at the prevailing exchange rate at the time the amount is received, expended, paid, borne or otherwise accounted for tax purposes.</w:t>
      </w:r>
    </w:p>
    <w:p>
      <w:pPr>
        <w:spacing w:after="80" w:line="252" w:lineRule="auto"/>
        <w:ind w:firstLine="317"/>
      </w:pPr>
      <w:r>
        <w:rPr>
          <w:rFonts w:ascii="Times New Roman" w:hAnsi="Times New Roman" w:eastAsia="Times New Roman"/>
          <w:b w:val="0"/>
          <w:i w:val="0"/>
        </w:rPr>
        <w:t>Consistent with the Act, Nepal Accounting Standard 11 (Effects of Changes in Foreign Currency Rates) also provides that foreign currency transactions must be translated at the exchange rate prevailing on the date of the transaction and recorded in Nepalese currency as the functional currency. For foreign currency transactions, the exchange rate of the transaction date must be used. Where a person is required to make a payment, the selling rate is used; where the person is to receive payment, the buying rate is used. Even if foreign currency already held by the person is used to make payment, the amount payable must be translated using the buying rate.</w:t>
      </w:r>
    </w:p>
    <w:p>
      <w:pPr>
        <w:spacing w:after="80" w:line="252" w:lineRule="auto"/>
        <w:ind w:firstLine="317"/>
      </w:pPr>
      <w:r>
        <w:rPr>
          <w:rFonts w:ascii="Times New Roman" w:hAnsi="Times New Roman" w:eastAsia="Times New Roman"/>
          <w:b w:val="0"/>
          <w:i w:val="0"/>
        </w:rPr>
        <w:t>It may be difficult for a taxpayer to convert every transaction of every day in foreign currency into Nepalese rupees. In such a case, with written approval of the Department, the taxpayer may use the average exchange rate specified by the Department for the income year.</w:t>
      </w:r>
    </w:p>
    <w:p>
      <w:pPr>
        <w:spacing w:after="80" w:line="252" w:lineRule="auto"/>
        <w:ind w:left="317"/>
      </w:pPr>
      <w:r>
        <w:rPr>
          <w:rFonts w:ascii="Times New Roman" w:hAnsi="Times New Roman" w:eastAsia="Times New Roman"/>
          <w:b w:val="0"/>
          <w:i/>
          <w:sz w:val="18"/>
        </w:rPr>
        <w:t>28(3) Notwithstanding anything contained in sub-section (2), where the Department permits by written notice for the purposes of that sub-section, a person may use the average exchange rate specified by the Department for that income year.</w:t>
      </w:r>
    </w:p>
    <w:p>
      <w:pPr>
        <w:spacing w:after="80" w:line="252" w:lineRule="auto"/>
        <w:ind w:firstLine="317"/>
      </w:pPr>
      <w:r>
        <w:rPr>
          <w:rFonts w:ascii="Times New Roman" w:hAnsi="Times New Roman" w:eastAsia="Times New Roman"/>
          <w:b w:val="0"/>
          <w:i w:val="0"/>
        </w:rPr>
        <w:t>For this purpose, average exchange rate means the exchange rate specified by the Department as applicable to a person for an income year.</w:t>
      </w:r>
    </w:p>
    <w:p>
      <w:pPr>
        <w:spacing w:after="20" w:line="252" w:lineRule="auto"/>
      </w:pPr>
      <w:r>
        <w:rPr>
          <w:rFonts w:ascii="Times New Roman" w:hAnsi="Times New Roman" w:eastAsia="Times New Roman"/>
          <w:b/>
          <w:i w:val="0"/>
        </w:rPr>
        <w:t>Example 7.3.1</w:t>
      </w:r>
    </w:p>
    <w:p>
      <w:pPr>
        <w:spacing w:after="60" w:line="252" w:lineRule="auto"/>
        <w:ind w:firstLine="317"/>
      </w:pPr>
      <w:r>
        <w:rPr>
          <w:rFonts w:ascii="Times New Roman" w:hAnsi="Times New Roman" w:eastAsia="Times New Roman"/>
          <w:b w:val="0"/>
          <w:i w:val="0"/>
        </w:rPr>
        <w:t>Suppose Colgate Nepal Company exports various types of toothpaste worth US$ 50,000 on 2080/03/32 by issuing an export invoice. On that day, the company records sales of US$ 50,000 in its sales book. If the buying rate fixed by Nepal Rastra Bank for that day is US$ 1 = Rs. 131.5, the company must convert the amount and record Rs. 6,575,000 as income in the Nepalese rupee column of the sales book.</w:t>
      </w:r>
    </w:p>
    <w:p>
      <w:pPr>
        <w:pStyle w:val="Heading2"/>
        <w:spacing w:after="80" w:line="252" w:lineRule="auto"/>
      </w:pPr>
      <w:r>
        <w:rPr>
          <w:rFonts w:ascii="Times New Roman" w:hAnsi="Times New Roman" w:eastAsia="Times New Roman"/>
          <w:b w:val="0"/>
          <w:i w:val="0"/>
        </w:rPr>
        <w:t>7.4 Indirect Payments</w:t>
      </w:r>
    </w:p>
    <w:p>
      <w:pPr>
        <w:spacing w:after="80" w:line="252" w:lineRule="auto"/>
        <w:ind w:firstLine="317"/>
      </w:pPr>
      <w:r>
        <w:rPr>
          <w:rFonts w:ascii="Times New Roman" w:hAnsi="Times New Roman" w:eastAsia="Times New Roman"/>
          <w:b w:val="0"/>
          <w:i w:val="0"/>
        </w:rPr>
        <w:t>Section 29 provides as follows in relation to including indirect payments in income:</w:t>
      </w:r>
    </w:p>
    <w:p>
      <w:pPr>
        <w:spacing w:after="80" w:line="252" w:lineRule="auto"/>
        <w:ind w:left="317"/>
      </w:pPr>
      <w:r>
        <w:rPr>
          <w:rFonts w:ascii="Times New Roman" w:hAnsi="Times New Roman" w:eastAsia="Times New Roman"/>
          <w:b w:val="0"/>
          <w:i/>
          <w:sz w:val="18"/>
        </w:rPr>
        <w:t>29. Where a person is indirectly benefited from a payment made by the payer or an associated person of the payer, or has specified another person to receive the payment, the Department may, by written notice, treat the person receiving such benefit or specifying such other person as the person receiving the payment.</w:t>
      </w:r>
    </w:p>
    <w:p>
      <w:pPr>
        <w:spacing w:after="80" w:line="252" w:lineRule="auto"/>
        <w:ind w:firstLine="317"/>
      </w:pPr>
      <w:r>
        <w:rPr>
          <w:rFonts w:ascii="Times New Roman" w:hAnsi="Times New Roman" w:eastAsia="Times New Roman"/>
          <w:b w:val="0"/>
          <w:i w:val="0"/>
        </w:rPr>
        <w:t>If a person benefits himself or herself by making special arrangements, orders or directions so that a payer or an associated person pays a third person, the Department may issue written notice and treat the person benefiting, or the person specifying the third person, as the person receiving the payment.</w:t>
      </w:r>
    </w:p>
    <w:p>
      <w:pPr>
        <w:spacing w:after="20" w:line="252" w:lineRule="auto"/>
      </w:pPr>
      <w:r>
        <w:rPr>
          <w:rFonts w:ascii="Times New Roman" w:hAnsi="Times New Roman" w:eastAsia="Times New Roman"/>
          <w:b/>
          <w:i w:val="0"/>
        </w:rPr>
        <w:t>Example 7.4.1</w:t>
      </w:r>
    </w:p>
    <w:p>
      <w:pPr>
        <w:spacing w:after="60" w:line="252" w:lineRule="auto"/>
        <w:ind w:firstLine="317"/>
      </w:pPr>
      <w:r>
        <w:rPr>
          <w:rFonts w:ascii="Times New Roman" w:hAnsi="Times New Roman" w:eastAsia="Times New Roman"/>
          <w:b w:val="0"/>
          <w:i w:val="0"/>
        </w:rPr>
        <w:t>Under a contract between Zenith Co. and Suleman Housing Co., if Zenith Co. pays the interest itself and sells a house to its managing director on instalments, the interest expense by which the managing director is indirectly benefited is treated as payment received by the managing director.</w:t>
      </w:r>
    </w:p>
    <w:p>
      <w:pPr>
        <w:spacing w:after="20" w:line="252" w:lineRule="auto"/>
      </w:pPr>
      <w:r>
        <w:rPr>
          <w:rFonts w:ascii="Times New Roman" w:hAnsi="Times New Roman" w:eastAsia="Times New Roman"/>
          <w:b/>
          <w:i w:val="0"/>
        </w:rPr>
        <w:t>Example 7.4.2</w:t>
      </w:r>
    </w:p>
    <w:p>
      <w:pPr>
        <w:spacing w:after="60" w:line="252" w:lineRule="auto"/>
        <w:ind w:firstLine="317"/>
      </w:pPr>
      <w:r>
        <w:rPr>
          <w:rFonts w:ascii="Times New Roman" w:hAnsi="Times New Roman" w:eastAsia="Times New Roman"/>
          <w:b w:val="0"/>
          <w:i w:val="0"/>
        </w:rPr>
        <w:t>Suleman Company insures its employees. The company pays the employee insurance premium for 20 years, after which the employee receives the benefit from the insurance company as the insured. The premium amount shown as paid to the insurance company, rather than to the employee, is treated as payment received by the employee and must be included in the employee’s employment income.</w:t>
      </w:r>
    </w:p>
    <w:p>
      <w:pPr>
        <w:pStyle w:val="Heading2"/>
        <w:spacing w:after="80" w:line="252" w:lineRule="auto"/>
      </w:pPr>
      <w:r>
        <w:rPr>
          <w:rFonts w:ascii="Times New Roman" w:hAnsi="Times New Roman" w:eastAsia="Times New Roman"/>
          <w:b w:val="0"/>
          <w:i w:val="0"/>
        </w:rPr>
        <w:t>7.5 Investment Held in Joint Ownership</w:t>
      </w:r>
    </w:p>
    <w:p>
      <w:pPr>
        <w:spacing w:after="80" w:line="252" w:lineRule="auto"/>
        <w:ind w:firstLine="317"/>
      </w:pPr>
      <w:r>
        <w:rPr>
          <w:rFonts w:ascii="Times New Roman" w:hAnsi="Times New Roman" w:eastAsia="Times New Roman"/>
          <w:b w:val="0"/>
          <w:i w:val="0"/>
        </w:rPr>
        <w:t>Section 30 provides as follows in relation to amounts derived from investments held in joint ownership:</w:t>
      </w:r>
    </w:p>
    <w:p>
      <w:pPr>
        <w:spacing w:after="80" w:line="252" w:lineRule="auto"/>
        <w:ind w:left="317"/>
      </w:pPr>
      <w:r>
        <w:rPr>
          <w:rFonts w:ascii="Times New Roman" w:hAnsi="Times New Roman" w:eastAsia="Times New Roman"/>
          <w:b w:val="0"/>
          <w:i/>
          <w:sz w:val="18"/>
        </w:rPr>
        <w:t>30. For the purpose of computing income derived by a person from an investment held in joint ownership with another person, the amounts included or deducted in computing income shall be allocated among the joint owners in proportion to their respective interests in the investment.</w:t>
      </w:r>
    </w:p>
    <w:p>
      <w:pPr>
        <w:spacing w:after="80" w:line="252" w:lineRule="auto"/>
        <w:ind w:firstLine="317"/>
      </w:pPr>
      <w:r>
        <w:rPr>
          <w:rFonts w:ascii="Times New Roman" w:hAnsi="Times New Roman" w:eastAsia="Times New Roman"/>
          <w:b w:val="0"/>
          <w:i w:val="0"/>
        </w:rPr>
        <w:t>For computing income from a jointly invested property, the income derived from that property must be allocated among the joint investors according to the proportion of their interest or contribution in the property. Expenses incurred to derive income from the jointly owned property are also allocated in the same proportion.</w:t>
      </w:r>
    </w:p>
    <w:p>
      <w:pPr>
        <w:spacing w:after="20" w:line="252" w:lineRule="auto"/>
      </w:pPr>
      <w:r>
        <w:rPr>
          <w:rFonts w:ascii="Times New Roman" w:hAnsi="Times New Roman" w:eastAsia="Times New Roman"/>
          <w:b/>
          <w:i w:val="0"/>
        </w:rPr>
        <w:t>Example 7.5.1</w:t>
      </w:r>
    </w:p>
    <w:p>
      <w:pPr>
        <w:spacing w:after="60" w:line="252" w:lineRule="auto"/>
        <w:ind w:firstLine="317"/>
      </w:pPr>
      <w:r>
        <w:rPr>
          <w:rFonts w:ascii="Times New Roman" w:hAnsi="Times New Roman" w:eastAsia="Times New Roman"/>
          <w:b w:val="0"/>
          <w:i w:val="0"/>
        </w:rPr>
        <w:t>Saniya and Safiya agree to purchase land, with Saniya contributing Rs. 2,000,000 and Safiya contributing Rs. 3,000,000. A plot of land at Sifal, Kathmandu is purchased in their joint names for Rs. 4,500,000. Registration fees and commission amount to Rs. 500,000. The total cost is therefore Rs. 5,000,000, borne in a 2:3 ratio. Later the jointly owned land is sold for Rs. 8,600,000, and sale commission and other expenses amount to Rs. 600,000. Their income is allocated as follows:</w:t>
      </w:r>
    </w:p>
    <w:tbl>
      <w:tblPr>
        <w:tblStyle w:val="TableGrid"/>
        <w:tblW w:type="auto" w:w="0"/>
        <w:jc w:val="center"/>
        <w:tblLook w:firstColumn="1" w:firstRow="1" w:lastColumn="0" w:lastRow="0" w:noHBand="0" w:noVBand="1" w:val="04A0"/>
      </w:tblPr>
      <w:tblGrid>
        <w:gridCol w:w="2581"/>
        <w:gridCol w:w="2581"/>
        <w:gridCol w:w="2581"/>
        <w:gridCol w:w="2581"/>
      </w:tblGrid>
      <w:tr>
        <w:tc>
          <w:tcPr>
            <w:tcW w:type="dxa" w:w="2581"/>
            <w:vAlign w:val="top"/>
            <w:shd w:fill="E7E6E6"/>
          </w:tcPr>
          <w:p>
            <w:pPr>
              <w:spacing w:after="0"/>
            </w:pPr>
            <w:r>
              <w:rPr>
                <w:rFonts w:ascii="Times New Roman" w:hAnsi="Times New Roman" w:eastAsia="Times New Roman"/>
                <w:sz w:val="16"/>
              </w:rPr>
            </w:r>
            <w:r>
              <w:rPr>
                <w:rFonts w:ascii="Times New Roman" w:hAnsi="Times New Roman" w:eastAsia="Times New Roman"/>
                <w:b/>
                <w:i w:val="0"/>
                <w:sz w:val="16"/>
              </w:rPr>
              <w:t>Description</w:t>
            </w:r>
          </w:p>
        </w:tc>
        <w:tc>
          <w:tcPr>
            <w:tcW w:type="dxa" w:w="2581"/>
            <w:vAlign w:val="top"/>
            <w:shd w:fill="E7E6E6"/>
          </w:tcPr>
          <w:p>
            <w:pPr>
              <w:spacing w:after="0"/>
            </w:pPr>
            <w:r>
              <w:rPr>
                <w:rFonts w:ascii="Times New Roman" w:hAnsi="Times New Roman" w:eastAsia="Times New Roman"/>
                <w:sz w:val="16"/>
              </w:rPr>
            </w:r>
            <w:r>
              <w:rPr>
                <w:rFonts w:ascii="Times New Roman" w:hAnsi="Times New Roman" w:eastAsia="Times New Roman"/>
                <w:b/>
                <w:i w:val="0"/>
                <w:sz w:val="16"/>
              </w:rPr>
              <w:t>Total</w:t>
            </w:r>
          </w:p>
        </w:tc>
        <w:tc>
          <w:tcPr>
            <w:tcW w:type="dxa" w:w="2581"/>
            <w:vAlign w:val="top"/>
            <w:shd w:fill="E7E6E6"/>
          </w:tcPr>
          <w:p>
            <w:pPr>
              <w:spacing w:after="0"/>
            </w:pPr>
            <w:r>
              <w:rPr>
                <w:rFonts w:ascii="Times New Roman" w:hAnsi="Times New Roman" w:eastAsia="Times New Roman"/>
                <w:sz w:val="16"/>
              </w:rPr>
            </w:r>
            <w:r>
              <w:rPr>
                <w:rFonts w:ascii="Times New Roman" w:hAnsi="Times New Roman" w:eastAsia="Times New Roman"/>
                <w:b/>
                <w:i w:val="0"/>
                <w:sz w:val="16"/>
              </w:rPr>
              <w:t>Saniya</w:t>
            </w:r>
          </w:p>
        </w:tc>
        <w:tc>
          <w:tcPr>
            <w:tcW w:type="dxa" w:w="2581"/>
            <w:vAlign w:val="top"/>
            <w:shd w:fill="E7E6E6"/>
          </w:tcPr>
          <w:p>
            <w:pPr>
              <w:spacing w:after="0"/>
            </w:pPr>
            <w:r>
              <w:rPr>
                <w:rFonts w:ascii="Times New Roman" w:hAnsi="Times New Roman" w:eastAsia="Times New Roman"/>
                <w:sz w:val="16"/>
              </w:rPr>
            </w:r>
            <w:r>
              <w:rPr>
                <w:rFonts w:ascii="Times New Roman" w:hAnsi="Times New Roman" w:eastAsia="Times New Roman"/>
                <w:b/>
                <w:i w:val="0"/>
                <w:sz w:val="16"/>
              </w:rPr>
              <w:t>Safiya</w:t>
            </w:r>
          </w:p>
        </w:tc>
      </w:tr>
      <w:tr>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Particulars</w:t>
            </w:r>
          </w:p>
        </w:tc>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Total</w:t>
            </w:r>
          </w:p>
        </w:tc>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Saniya</w:t>
            </w:r>
          </w:p>
        </w:tc>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Safiya</w:t>
            </w:r>
          </w:p>
        </w:tc>
      </w:tr>
      <w:tr>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Purchase price of land</w:t>
            </w:r>
          </w:p>
        </w:tc>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4,500,000</w:t>
            </w:r>
          </w:p>
        </w:tc>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r>
          </w:p>
        </w:tc>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r>
          </w:p>
        </w:tc>
      </w:tr>
      <w:tr>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Other cost</w:t>
            </w:r>
          </w:p>
        </w:tc>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500,000</w:t>
            </w:r>
          </w:p>
        </w:tc>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r>
          </w:p>
        </w:tc>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r>
          </w:p>
        </w:tc>
      </w:tr>
      <w:tr>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Total cost allocated 2:3</w:t>
            </w:r>
          </w:p>
        </w:tc>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5,000,000</w:t>
            </w:r>
          </w:p>
        </w:tc>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2,000,000</w:t>
            </w:r>
          </w:p>
        </w:tc>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3,000,000</w:t>
            </w:r>
          </w:p>
        </w:tc>
      </w:tr>
      <w:tr>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Sale price</w:t>
            </w:r>
          </w:p>
        </w:tc>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8,600,000</w:t>
            </w:r>
          </w:p>
        </w:tc>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r>
          </w:p>
        </w:tc>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r>
          </w:p>
        </w:tc>
      </w:tr>
      <w:tr>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Less: other sale expenses</w:t>
            </w:r>
          </w:p>
        </w:tc>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600,000)</w:t>
            </w:r>
          </w:p>
        </w:tc>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r>
          </w:p>
        </w:tc>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r>
          </w:p>
        </w:tc>
      </w:tr>
      <w:tr>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Net sale value allocated 2:3</w:t>
            </w:r>
          </w:p>
        </w:tc>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8,000,000</w:t>
            </w:r>
          </w:p>
        </w:tc>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3,200,000</w:t>
            </w:r>
          </w:p>
        </w:tc>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4,800,000</w:t>
            </w:r>
          </w:p>
        </w:tc>
      </w:tr>
      <w:tr>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Income allocated 2:3</w:t>
            </w:r>
          </w:p>
        </w:tc>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3,000,000</w:t>
            </w:r>
          </w:p>
        </w:tc>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1,200,000</w:t>
            </w:r>
          </w:p>
        </w:tc>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1,800,000</w:t>
            </w:r>
          </w:p>
        </w:tc>
      </w:tr>
    </w:tbl>
    <w:p>
      <w:pPr>
        <w:spacing w:after="40" w:line="252" w:lineRule="auto"/>
      </w:pPr>
    </w:p>
    <w:p>
      <w:pPr>
        <w:spacing w:after="20" w:line="252" w:lineRule="auto"/>
      </w:pPr>
      <w:r>
        <w:rPr>
          <w:rFonts w:ascii="Times New Roman" w:hAnsi="Times New Roman" w:eastAsia="Times New Roman"/>
          <w:b/>
          <w:i w:val="0"/>
        </w:rPr>
        <w:t>Example 7.5.2</w:t>
      </w:r>
    </w:p>
    <w:p>
      <w:pPr>
        <w:spacing w:after="60" w:line="252" w:lineRule="auto"/>
        <w:ind w:firstLine="317"/>
      </w:pPr>
      <w:r>
        <w:rPr>
          <w:rFonts w:ascii="Times New Roman" w:hAnsi="Times New Roman" w:eastAsia="Times New Roman"/>
          <w:b w:val="0"/>
          <w:i w:val="0"/>
        </w:rPr>
        <w:t>Suppose Saniya invests Rs. 2,000,000 and Safiya invests Rs. 3,000,000 in a fixed deposit account in a bank. Since the investment belongs to both, it is a joint investment under section 30, and income from it belongs to each in the investment ratio. If the bank pays Rs. 150,000 as interest during the year, Rs. 60,000 is Saniya’s income and Rs. 90,000 is Safiya’s income. Since the deposit is the personal deposit of both individuals, final withholding tax applies to the interest. Therefore, they are not required to include this income in their annual income returns.</w:t>
      </w:r>
    </w:p>
    <w:p>
      <w:pPr>
        <w:pStyle w:val="Heading2"/>
        <w:spacing w:after="80" w:line="252" w:lineRule="auto"/>
      </w:pPr>
      <w:r>
        <w:rPr>
          <w:rFonts w:ascii="Times New Roman" w:hAnsi="Times New Roman" w:eastAsia="Times New Roman"/>
          <w:b w:val="0"/>
          <w:i w:val="0"/>
        </w:rPr>
        <w:t>7.6 Characterisation of Payments by Way of Compensation</w:t>
      </w:r>
    </w:p>
    <w:p>
      <w:pPr>
        <w:spacing w:after="80" w:line="252" w:lineRule="auto"/>
        <w:ind w:firstLine="317"/>
      </w:pPr>
      <w:r>
        <w:rPr>
          <w:rFonts w:ascii="Times New Roman" w:hAnsi="Times New Roman" w:eastAsia="Times New Roman"/>
          <w:b w:val="0"/>
          <w:i w:val="0"/>
        </w:rPr>
        <w:t>Section 31 provides as follows in relation to the characterisation of compensation payments:</w:t>
      </w:r>
    </w:p>
    <w:p>
      <w:pPr>
        <w:spacing w:after="80" w:line="252" w:lineRule="auto"/>
        <w:ind w:left="317"/>
      </w:pPr>
      <w:r>
        <w:rPr>
          <w:rFonts w:ascii="Times New Roman" w:hAnsi="Times New Roman" w:eastAsia="Times New Roman"/>
          <w:b w:val="0"/>
          <w:i/>
          <w:sz w:val="18"/>
        </w:rPr>
        <w:t>31. Where any person or an associated person of such person receives compensation, including an insurance payment, for any of the following matters, the amount of compensation shall be included, at the time it is received, in computing income from employment, business or investment, as the case may be:</w:t>
      </w:r>
    </w:p>
    <w:p>
      <w:pPr>
        <w:spacing w:after="80" w:line="252" w:lineRule="auto"/>
        <w:ind w:left="317"/>
      </w:pPr>
      <w:r>
        <w:rPr>
          <w:rFonts w:ascii="Times New Roman" w:hAnsi="Times New Roman" w:eastAsia="Times New Roman"/>
          <w:b w:val="0"/>
          <w:i/>
          <w:sz w:val="18"/>
        </w:rPr>
        <w:t>(a) compensation for any income received or receivable by that person from any business, employment or investment, or for any amount included in computing such income; or</w:t>
      </w:r>
    </w:p>
    <w:p>
      <w:pPr>
        <w:spacing w:after="80" w:line="252" w:lineRule="auto"/>
        <w:ind w:left="317"/>
      </w:pPr>
      <w:r>
        <w:rPr>
          <w:rFonts w:ascii="Times New Roman" w:hAnsi="Times New Roman" w:eastAsia="Times New Roman"/>
          <w:b w:val="0"/>
          <w:i/>
          <w:sz w:val="18"/>
        </w:rPr>
        <w:t>(b) compensation for any loss suffered or to be suffered by that person in any business or investment, or for any expense amount deductible in computing that person’s income.</w:t>
      </w:r>
    </w:p>
    <w:p>
      <w:pPr>
        <w:spacing w:after="80" w:line="252" w:lineRule="auto"/>
        <w:ind w:left="317"/>
      </w:pPr>
      <w:r>
        <w:rPr>
          <w:rFonts w:ascii="Times New Roman" w:hAnsi="Times New Roman" w:eastAsia="Times New Roman"/>
          <w:b w:val="0"/>
          <w:i/>
          <w:sz w:val="18"/>
        </w:rPr>
        <w:t>Provided that: (1) compensation paid to a resident natural person for personal injury arising from a personal accident shall not be included in income, and expenditure incurred in treatment of the injury from that accident shall not be claimed as tax credit under section 51; and (2) compensation received for the death of a natural person shall not be included in income.</w:t>
      </w:r>
    </w:p>
    <w:p>
      <w:pPr>
        <w:spacing w:after="80" w:line="252" w:lineRule="auto"/>
        <w:ind w:firstLine="317"/>
      </w:pPr>
      <w:r>
        <w:rPr>
          <w:rFonts w:ascii="Times New Roman" w:hAnsi="Times New Roman" w:eastAsia="Times New Roman"/>
          <w:b w:val="0"/>
          <w:i w:val="0"/>
        </w:rPr>
        <w:t>Under the Act, where a person or the person’s associated person receives an insurance payment or any other compensation, the amount received must be included, at the time of receipt, as employment income, business income or investment income according to the nature of the income. Since the expenditure or loss is deductible in the year in which it occurred under the relevant section, the amount received as compensation for that expenditure or loss must be included in income in the year in which the right to receive it arises.</w:t>
      </w:r>
    </w:p>
    <w:p>
      <w:pPr>
        <w:spacing w:after="80" w:line="252" w:lineRule="auto"/>
        <w:ind w:firstLine="317"/>
      </w:pPr>
      <w:r>
        <w:rPr>
          <w:rFonts w:ascii="Times New Roman" w:hAnsi="Times New Roman" w:eastAsia="Times New Roman"/>
          <w:b w:val="0"/>
          <w:i w:val="0"/>
        </w:rPr>
        <w:t>A taxpayer may commonly receive compensation related to income, such as compensation for loss of profit or loss of income, or compensation related to deductions, such as compensation for deductible expenses or for loss of assets including stock-in-trade, depreciable property, business assets or non-business taxable assets. Where compensation is received for damage to an asset, and the taxpayer elects to apply section 46, the compensation need not be included in income; however, the conditions of section 46 must be fulfilled.</w:t>
      </w:r>
    </w:p>
    <w:p>
      <w:pPr>
        <w:spacing w:after="80" w:line="252" w:lineRule="auto"/>
        <w:ind w:firstLine="317"/>
      </w:pPr>
      <w:r>
        <w:rPr>
          <w:rFonts w:ascii="Times New Roman" w:hAnsi="Times New Roman" w:eastAsia="Times New Roman"/>
          <w:b w:val="0"/>
          <w:i w:val="0"/>
        </w:rPr>
        <w:t>Where an asset is lost in the course of business, the asset must be written off before receipt of the insurance amount. After the insurance amount is received, it must be included in income. In other words, a loss of stock-in-trade is recorded as an expense when the loss occurs, before receipt of insurance proceeds.</w:t>
      </w:r>
    </w:p>
    <w:p>
      <w:pPr>
        <w:spacing w:after="20" w:line="252" w:lineRule="auto"/>
      </w:pPr>
      <w:r>
        <w:rPr>
          <w:rFonts w:ascii="Times New Roman" w:hAnsi="Times New Roman" w:eastAsia="Times New Roman"/>
          <w:b/>
          <w:i w:val="0"/>
        </w:rPr>
        <w:t>Example 7.6.1</w:t>
      </w:r>
    </w:p>
    <w:p>
      <w:pPr>
        <w:spacing w:after="60" w:line="252" w:lineRule="auto"/>
        <w:ind w:firstLine="317"/>
      </w:pPr>
      <w:r>
        <w:rPr>
          <w:rFonts w:ascii="Times New Roman" w:hAnsi="Times New Roman" w:eastAsia="Times New Roman"/>
          <w:b w:val="0"/>
          <w:i w:val="0"/>
        </w:rPr>
        <w:t>Kumar Company Pvt. Ltd. carries on a clothing business. On 2080/03/20, a fire in its warehouse destroys clothing stock valued at Rs. 500,000. The company files an insurance claim with the insurer on 2080/03/22, but receives the claim amount only on 2080/10/20. In this case, the loss of stock-in-trade must be claimed as an expense under section 15 in income year 2079/80. The amount received under the insurance claim is received, or the right to receive it arises, only in income year 2080/81. Therefore, it must be included in income under section 31 in income year 2080/81.</w:t>
      </w:r>
    </w:p>
    <w:p>
      <w:pPr>
        <w:spacing w:after="20" w:line="252" w:lineRule="auto"/>
      </w:pPr>
      <w:r>
        <w:rPr>
          <w:rFonts w:ascii="Times New Roman" w:hAnsi="Times New Roman" w:eastAsia="Times New Roman"/>
          <w:b/>
          <w:i w:val="0"/>
        </w:rPr>
        <w:t>Example 7.6.2</w:t>
      </w:r>
    </w:p>
    <w:p>
      <w:pPr>
        <w:spacing w:after="60" w:line="252" w:lineRule="auto"/>
        <w:ind w:firstLine="317"/>
      </w:pPr>
      <w:r>
        <w:rPr>
          <w:rFonts w:ascii="Times New Roman" w:hAnsi="Times New Roman" w:eastAsia="Times New Roman"/>
          <w:b w:val="0"/>
          <w:i w:val="0"/>
        </w:rPr>
        <w:t>Assume that when the fire mentioned in Example 7.6.1 occurred, all furniture and office equipment of Kumar Company Pvt. Ltd. were also destroyed. The company filed an insurance claim on 2080/03/22 for the loss of the furniture and office equipment and received the insurance amount on 2080/10/20. At the end of that year, the depreciation basis of that pool was Rs. 500,000. Under the insurance policy, the company claimed Rs. 600,000, but received only Rs. 500,000. For income year 2079/80, since all assets in class "B" were destroyed, the total depreciation basis of Rs. 500,000 is treated as disposed of and the company may claim a deduction of Rs. 500,000 under section 19. For income year 2080/81, the actual amount of Rs. 500,000 received from insurance must be included in business income under sections 31 and 62.</w:t>
      </w:r>
    </w:p>
    <w:p>
      <w:pPr>
        <w:pStyle w:val="Heading2"/>
        <w:spacing w:after="80" w:line="252" w:lineRule="auto"/>
      </w:pPr>
      <w:r>
        <w:rPr>
          <w:rFonts w:ascii="Times New Roman" w:hAnsi="Times New Roman" w:eastAsia="Times New Roman"/>
          <w:b w:val="0"/>
          <w:i w:val="0"/>
        </w:rPr>
        <w:t>7.7 Characterisation of Payments under Annuity, Instalment Sale and Finance Lease</w:t>
      </w:r>
    </w:p>
    <w:p>
      <w:pPr>
        <w:spacing w:after="80" w:line="252" w:lineRule="auto"/>
        <w:ind w:firstLine="317"/>
      </w:pPr>
      <w:r>
        <w:rPr>
          <w:rFonts w:ascii="Times New Roman" w:hAnsi="Times New Roman" w:eastAsia="Times New Roman"/>
          <w:b w:val="0"/>
          <w:i w:val="0"/>
        </w:rPr>
        <w:t>Section 32 provides as follows regarding the characterisation of payments under annuity, instalment sale and finance lease:</w:t>
      </w:r>
    </w:p>
    <w:p>
      <w:pPr>
        <w:spacing w:after="80" w:line="252" w:lineRule="auto"/>
        <w:ind w:left="317"/>
      </w:pPr>
      <w:r>
        <w:rPr>
          <w:rFonts w:ascii="Times New Roman" w:hAnsi="Times New Roman" w:eastAsia="Times New Roman"/>
          <w:b w:val="0"/>
          <w:i/>
          <w:sz w:val="18"/>
        </w:rPr>
        <w:t>32(1) A payment made by a person acquiring an asset under an annuity or instalment sale, or a payment made to a person for use of an asset under a finance lease, shall be treated under this section as interest and return of capital under a debt claim.</w:t>
      </w:r>
    </w:p>
    <w:p>
      <w:pPr>
        <w:spacing w:after="80" w:line="252" w:lineRule="auto"/>
        <w:ind w:left="317"/>
      </w:pPr>
      <w:r>
        <w:rPr>
          <w:rFonts w:ascii="Times New Roman" w:hAnsi="Times New Roman" w:eastAsia="Times New Roman"/>
          <w:b w:val="0"/>
          <w:i/>
          <w:sz w:val="18"/>
        </w:rPr>
        <w:t>32(2) All payments referred to in sub-section (1) shall be aggregated and the total shall be divided into two parts: (a) the capital part equal to all payments under the annuity as required, or the market value of the asset at the time of instalment sale or lease; and (b) the interest part, being the total of all payments under sub-section (1) less the capital part.</w:t>
      </w:r>
    </w:p>
    <w:p>
      <w:pPr>
        <w:spacing w:after="80" w:line="252" w:lineRule="auto"/>
        <w:ind w:left="317"/>
      </w:pPr>
      <w:r>
        <w:rPr>
          <w:rFonts w:ascii="Times New Roman" w:hAnsi="Times New Roman" w:eastAsia="Times New Roman"/>
          <w:b w:val="0"/>
          <w:i/>
          <w:sz w:val="18"/>
        </w:rPr>
        <w:t>32(3) At the time of granting an annuity, instalment sale or finance lease, the instalment determination must clearly separate the capital part and interest part and provide a total payment schedule. If such schedule cannot be provided, the interest and capital parts shall be allocated to payments under sub-section (1) by treating the annuity, instalment sale or finance lease as a blended loan with interest compounded semi-annually.</w:t>
      </w:r>
    </w:p>
    <w:p>
      <w:pPr>
        <w:spacing w:after="80" w:line="252" w:lineRule="auto"/>
        <w:ind w:left="317"/>
      </w:pPr>
      <w:r>
        <w:rPr>
          <w:rFonts w:ascii="Times New Roman" w:hAnsi="Times New Roman" w:eastAsia="Times New Roman"/>
          <w:b w:val="0"/>
          <w:i/>
          <w:sz w:val="18"/>
        </w:rPr>
        <w:t>32(4) Where payments under sub-section (1) are treated as a blended loan, the interest rate shall remain the same throughout the period of the loan. At each payment date, the interest component shall be calculated on the outstanding principal, and the debtor shall pay partly principal and partly interest.</w:t>
      </w:r>
    </w:p>
    <w:p>
      <w:pPr>
        <w:spacing w:after="80" w:line="252" w:lineRule="auto"/>
        <w:ind w:left="317"/>
      </w:pPr>
      <w:r>
        <w:rPr>
          <w:rFonts w:ascii="Times New Roman" w:hAnsi="Times New Roman" w:eastAsia="Times New Roman"/>
          <w:b w:val="0"/>
          <w:i/>
          <w:sz w:val="18"/>
        </w:rPr>
        <w:t>32(5) For a lease to be a finance lease under this section, the following conditions must be satisfied:</w:t>
      </w:r>
    </w:p>
    <w:p>
      <w:pPr>
        <w:spacing w:after="80" w:line="252" w:lineRule="auto"/>
        <w:ind w:left="317"/>
      </w:pPr>
      <w:r>
        <w:rPr>
          <w:rFonts w:ascii="Times New Roman" w:hAnsi="Times New Roman" w:eastAsia="Times New Roman"/>
          <w:b w:val="0"/>
          <w:i/>
          <w:sz w:val="18"/>
        </w:rPr>
        <w:t>32(5)(a) The lease agreement provides for transfer of ownership after the lease term expires, or gives the lessee an option to purchase the asset at a fixed or predetermined price after expiry of the lease term.</w:t>
      </w:r>
    </w:p>
    <w:p>
      <w:pPr>
        <w:spacing w:after="20" w:line="252" w:lineRule="auto"/>
      </w:pPr>
      <w:r>
        <w:rPr>
          <w:rFonts w:ascii="Times New Roman" w:hAnsi="Times New Roman" w:eastAsia="Times New Roman"/>
          <w:b/>
          <w:i w:val="0"/>
        </w:rPr>
        <w:t>Example 7.7.1</w:t>
      </w:r>
    </w:p>
    <w:p>
      <w:pPr>
        <w:spacing w:after="60" w:line="252" w:lineRule="auto"/>
        <w:ind w:firstLine="317"/>
      </w:pPr>
      <w:r>
        <w:rPr>
          <w:rFonts w:ascii="Times New Roman" w:hAnsi="Times New Roman" w:eastAsia="Times New Roman"/>
          <w:b w:val="0"/>
          <w:i w:val="0"/>
        </w:rPr>
        <w:t>Suppose XYZ Co. leases an excavator from YZ Co. for five years at annual rent of Rs. 1,000,000, and the agreement clearly provides that XYZ Co. may purchase the excavator for Rs. 2,000,000 after the rental period expires. Since there is an option to purchase the leased asset at a fixed price after the lease term, the arrangement is a finance lease.</w:t>
      </w:r>
    </w:p>
    <w:p>
      <w:pPr>
        <w:spacing w:after="80" w:line="252" w:lineRule="auto"/>
        <w:ind w:left="317"/>
      </w:pPr>
      <w:r>
        <w:rPr>
          <w:rFonts w:ascii="Times New Roman" w:hAnsi="Times New Roman" w:eastAsia="Times New Roman"/>
          <w:b w:val="0"/>
          <w:i/>
          <w:sz w:val="18"/>
        </w:rPr>
        <w:t>32(5)(b) The lease term exceeds 75 percent of the useful life of the asset.</w:t>
      </w:r>
    </w:p>
    <w:p>
      <w:pPr>
        <w:spacing w:after="80" w:line="252" w:lineRule="auto"/>
        <w:ind w:firstLine="317"/>
      </w:pPr>
      <w:r>
        <w:rPr>
          <w:rFonts w:ascii="Times New Roman" w:hAnsi="Times New Roman" w:eastAsia="Times New Roman"/>
          <w:b w:val="0"/>
          <w:i w:val="0"/>
        </w:rPr>
        <w:t>If an asset has an effective useful life of 8 years, the lease term must exceed 6 years for this condition.</w:t>
      </w:r>
    </w:p>
    <w:p>
      <w:pPr>
        <w:spacing w:after="80" w:line="252" w:lineRule="auto"/>
        <w:ind w:left="317"/>
      </w:pPr>
      <w:r>
        <w:rPr>
          <w:rFonts w:ascii="Times New Roman" w:hAnsi="Times New Roman" w:eastAsia="Times New Roman"/>
          <w:b w:val="0"/>
          <w:i/>
          <w:sz w:val="18"/>
        </w:rPr>
        <w:t>32(5)(c) The estimated market value of the asset after expiry of the lease term is less than 20 percent of the market value of the asset at the commencement of the lease.</w:t>
      </w:r>
    </w:p>
    <w:p>
      <w:pPr>
        <w:spacing w:after="20" w:line="252" w:lineRule="auto"/>
      </w:pPr>
      <w:r>
        <w:rPr>
          <w:rFonts w:ascii="Times New Roman" w:hAnsi="Times New Roman" w:eastAsia="Times New Roman"/>
          <w:b/>
          <w:i w:val="0"/>
        </w:rPr>
        <w:t>Example 7.7.2</w:t>
      </w:r>
    </w:p>
    <w:p>
      <w:pPr>
        <w:spacing w:after="60" w:line="252" w:lineRule="auto"/>
        <w:ind w:firstLine="317"/>
      </w:pPr>
      <w:r>
        <w:rPr>
          <w:rFonts w:ascii="Times New Roman" w:hAnsi="Times New Roman" w:eastAsia="Times New Roman"/>
          <w:b w:val="0"/>
          <w:i w:val="0"/>
        </w:rPr>
        <w:t>YB &amp; Co. takes a machine on lease from BY Co. for 5 years, paying annual instalments of Rs. 100,000. At the time the lease is taken, the market value of the machine is Rs. 2,000,000. If the estimated market value after 5 years is Rs. 200,000, the estimated value is 10 percent of the original market value (200,000 / 2,000,000 x 100), which is below 20 percent. The lease is therefore a finance lease.</w:t>
      </w:r>
    </w:p>
    <w:p>
      <w:pPr>
        <w:spacing w:after="80" w:line="252" w:lineRule="auto"/>
        <w:ind w:left="317"/>
      </w:pPr>
      <w:r>
        <w:rPr>
          <w:rFonts w:ascii="Times New Roman" w:hAnsi="Times New Roman" w:eastAsia="Times New Roman"/>
          <w:b w:val="0"/>
          <w:i/>
          <w:sz w:val="18"/>
        </w:rPr>
        <w:t>32(5)(d) For a lease beginning before the last 25 percent of the useful life of the asset, the present value of minimum lease payments at the commencement of the lease term equals or exceeds 90 percent of the market value of the asset at that time.</w:t>
      </w:r>
    </w:p>
    <w:p>
      <w:pPr>
        <w:spacing w:after="20" w:line="252" w:lineRule="auto"/>
      </w:pPr>
      <w:r>
        <w:rPr>
          <w:rFonts w:ascii="Times New Roman" w:hAnsi="Times New Roman" w:eastAsia="Times New Roman"/>
          <w:b/>
          <w:i w:val="0"/>
        </w:rPr>
        <w:t>Example 7.7.3</w:t>
      </w:r>
    </w:p>
    <w:p>
      <w:pPr>
        <w:spacing w:after="60" w:line="252" w:lineRule="auto"/>
        <w:ind w:firstLine="317"/>
      </w:pPr>
      <w:r>
        <w:rPr>
          <w:rFonts w:ascii="Times New Roman" w:hAnsi="Times New Roman" w:eastAsia="Times New Roman"/>
          <w:b w:val="0"/>
          <w:i w:val="0"/>
        </w:rPr>
        <w:t>Suppose an asset has a useful life of 20 years. It is leased on 2080/10/01 within the first 15 years of its life. Its market value at that time is Rs. 10,000. The prevailing interest rate is 10 percent, the lease term is 5 years, and the instalment payable at the end of each year is Rs. 2,500. The discounted value of the five instalments is Rs. 9,477, which is more than 90 percent of Rs. 10,000. Therefore, the transaction is a finance lease.</w:t>
      </w:r>
    </w:p>
    <w:tbl>
      <w:tblPr>
        <w:tblStyle w:val="TableGrid"/>
        <w:tblW w:type="auto" w:w="0"/>
        <w:jc w:val="center"/>
        <w:tblLook w:firstColumn="1" w:firstRow="1" w:lastColumn="0" w:lastRow="0" w:noHBand="0" w:noVBand="1" w:val="04A0"/>
      </w:tblPr>
      <w:tblGrid>
        <w:gridCol w:w="2581"/>
        <w:gridCol w:w="2581"/>
        <w:gridCol w:w="2581"/>
        <w:gridCol w:w="2581"/>
      </w:tblGrid>
      <w:tr>
        <w:tc>
          <w:tcPr>
            <w:tcW w:type="dxa" w:w="2581"/>
            <w:vAlign w:val="top"/>
            <w:shd w:fill="E7E6E6"/>
          </w:tcPr>
          <w:p>
            <w:pPr>
              <w:spacing w:after="0"/>
            </w:pPr>
            <w:r>
              <w:rPr>
                <w:rFonts w:ascii="Times New Roman" w:hAnsi="Times New Roman" w:eastAsia="Times New Roman"/>
                <w:sz w:val="16"/>
              </w:rPr>
            </w:r>
            <w:r>
              <w:rPr>
                <w:rFonts w:ascii="Times New Roman" w:hAnsi="Times New Roman" w:eastAsia="Times New Roman"/>
                <w:b/>
                <w:i w:val="0"/>
                <w:sz w:val="16"/>
              </w:rPr>
              <w:t>Year</w:t>
            </w:r>
          </w:p>
        </w:tc>
        <w:tc>
          <w:tcPr>
            <w:tcW w:type="dxa" w:w="2581"/>
            <w:vAlign w:val="top"/>
            <w:shd w:fill="E7E6E6"/>
          </w:tcPr>
          <w:p>
            <w:pPr>
              <w:spacing w:after="0"/>
            </w:pPr>
            <w:r>
              <w:rPr>
                <w:rFonts w:ascii="Times New Roman" w:hAnsi="Times New Roman" w:eastAsia="Times New Roman"/>
                <w:sz w:val="16"/>
              </w:rPr>
            </w:r>
            <w:r>
              <w:rPr>
                <w:rFonts w:ascii="Times New Roman" w:hAnsi="Times New Roman" w:eastAsia="Times New Roman"/>
                <w:b/>
                <w:i w:val="0"/>
                <w:sz w:val="16"/>
              </w:rPr>
              <w:t>Instalment</w:t>
            </w:r>
          </w:p>
        </w:tc>
        <w:tc>
          <w:tcPr>
            <w:tcW w:type="dxa" w:w="2581"/>
            <w:vAlign w:val="top"/>
            <w:shd w:fill="E7E6E6"/>
          </w:tcPr>
          <w:p>
            <w:pPr>
              <w:spacing w:after="0"/>
            </w:pPr>
            <w:r>
              <w:rPr>
                <w:rFonts w:ascii="Times New Roman" w:hAnsi="Times New Roman" w:eastAsia="Times New Roman"/>
                <w:sz w:val="16"/>
              </w:rPr>
            </w:r>
            <w:r>
              <w:rPr>
                <w:rFonts w:ascii="Times New Roman" w:hAnsi="Times New Roman" w:eastAsia="Times New Roman"/>
                <w:b/>
                <w:i w:val="0"/>
                <w:sz w:val="16"/>
              </w:rPr>
              <w:t>Discount factor</w:t>
            </w:r>
          </w:p>
        </w:tc>
        <w:tc>
          <w:tcPr>
            <w:tcW w:type="dxa" w:w="2581"/>
            <w:vAlign w:val="top"/>
            <w:shd w:fill="E7E6E6"/>
          </w:tcPr>
          <w:p>
            <w:pPr>
              <w:spacing w:after="0"/>
            </w:pPr>
            <w:r>
              <w:rPr>
                <w:rFonts w:ascii="Times New Roman" w:hAnsi="Times New Roman" w:eastAsia="Times New Roman"/>
                <w:sz w:val="16"/>
              </w:rPr>
            </w:r>
            <w:r>
              <w:rPr>
                <w:rFonts w:ascii="Times New Roman" w:hAnsi="Times New Roman" w:eastAsia="Times New Roman"/>
                <w:b/>
                <w:i w:val="0"/>
                <w:sz w:val="16"/>
              </w:rPr>
              <w:t>Discounted value</w:t>
            </w:r>
          </w:p>
        </w:tc>
      </w:tr>
      <w:tr>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1</w:t>
            </w:r>
          </w:p>
        </w:tc>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2,500</w:t>
            </w:r>
          </w:p>
        </w:tc>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0.9091</w:t>
            </w:r>
          </w:p>
        </w:tc>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2,273</w:t>
            </w:r>
          </w:p>
        </w:tc>
      </w:tr>
      <w:tr>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2</w:t>
            </w:r>
          </w:p>
        </w:tc>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2,500</w:t>
            </w:r>
          </w:p>
        </w:tc>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0.8264</w:t>
            </w:r>
          </w:p>
        </w:tc>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2,066</w:t>
            </w:r>
          </w:p>
        </w:tc>
      </w:tr>
      <w:tr>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3</w:t>
            </w:r>
          </w:p>
        </w:tc>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2,500</w:t>
            </w:r>
          </w:p>
        </w:tc>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0.7513</w:t>
            </w:r>
          </w:p>
        </w:tc>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1,878</w:t>
            </w:r>
          </w:p>
        </w:tc>
      </w:tr>
      <w:tr>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4</w:t>
            </w:r>
          </w:p>
        </w:tc>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2,500</w:t>
            </w:r>
          </w:p>
        </w:tc>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0.6830</w:t>
            </w:r>
          </w:p>
        </w:tc>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1,708</w:t>
            </w:r>
          </w:p>
        </w:tc>
      </w:tr>
      <w:tr>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5</w:t>
            </w:r>
          </w:p>
        </w:tc>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2,500</w:t>
            </w:r>
          </w:p>
        </w:tc>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0.6209</w:t>
            </w:r>
          </w:p>
        </w:tc>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1,552</w:t>
            </w:r>
          </w:p>
        </w:tc>
      </w:tr>
      <w:tr>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Total</w:t>
            </w:r>
          </w:p>
        </w:tc>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12,500</w:t>
            </w:r>
          </w:p>
        </w:tc>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r>
          </w:p>
        </w:tc>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9,477</w:t>
            </w:r>
          </w:p>
        </w:tc>
      </w:tr>
    </w:tbl>
    <w:p>
      <w:pPr>
        <w:spacing w:after="40" w:line="252" w:lineRule="auto"/>
      </w:pPr>
    </w:p>
    <w:p>
      <w:pPr>
        <w:spacing w:after="80" w:line="252" w:lineRule="auto"/>
        <w:ind w:left="317"/>
      </w:pPr>
      <w:r>
        <w:rPr>
          <w:rFonts w:ascii="Times New Roman" w:hAnsi="Times New Roman" w:eastAsia="Times New Roman"/>
          <w:b w:val="0"/>
          <w:i/>
          <w:sz w:val="18"/>
        </w:rPr>
        <w:t>32(5)(e) The asset is specially prepared for the lessee and, after expiry of the lease term, has no practical use for any person other than the lessee.</w:t>
      </w:r>
    </w:p>
    <w:p>
      <w:pPr>
        <w:spacing w:after="80" w:line="252" w:lineRule="auto"/>
        <w:ind w:left="317"/>
      </w:pPr>
      <w:r>
        <w:rPr>
          <w:rFonts w:ascii="Times New Roman" w:hAnsi="Times New Roman" w:eastAsia="Times New Roman"/>
          <w:b w:val="0"/>
          <w:i/>
          <w:sz w:val="18"/>
        </w:rPr>
        <w:t>32(6) Each payment referred to in sub-section (1) shall be divided into two parts under sub-section (3), and under the debt claim the interest part shall be treated as interest paid or payable and the capital part as return of capital.</w:t>
      </w:r>
    </w:p>
    <w:p>
      <w:pPr>
        <w:spacing w:after="80" w:line="252" w:lineRule="auto"/>
        <w:ind w:left="317"/>
      </w:pPr>
      <w:r>
        <w:rPr>
          <w:rFonts w:ascii="Times New Roman" w:hAnsi="Times New Roman" w:eastAsia="Times New Roman"/>
          <w:b w:val="0"/>
          <w:i/>
          <w:sz w:val="18"/>
        </w:rPr>
        <w:t>32(7) The lessee under a finance lease shall be treated as the owner of the leased asset, and the lessor shall be treated as having a debt claim against the lessee.</w:t>
      </w:r>
    </w:p>
    <w:p>
      <w:pPr>
        <w:spacing w:after="80" w:line="252" w:lineRule="auto"/>
        <w:ind w:left="317"/>
      </w:pPr>
      <w:r>
        <w:rPr>
          <w:rFonts w:ascii="Times New Roman" w:hAnsi="Times New Roman" w:eastAsia="Times New Roman"/>
          <w:b w:val="0"/>
          <w:i/>
          <w:sz w:val="18"/>
        </w:rPr>
        <w:t>32(8) The present value of lease payments shall be calculated using a discount rate equal to the normal interest rate.</w:t>
      </w:r>
    </w:p>
    <w:p>
      <w:pPr>
        <w:spacing w:after="80" w:line="252" w:lineRule="auto"/>
        <w:ind w:firstLine="317"/>
      </w:pPr>
      <w:r>
        <w:rPr>
          <w:rFonts w:ascii="Times New Roman" w:hAnsi="Times New Roman" w:eastAsia="Times New Roman"/>
          <w:b w:val="0"/>
          <w:i w:val="0"/>
        </w:rPr>
        <w:t>Explanation: "lease term" includes any additional period for which the lessee may renew the lease.</w:t>
      </w:r>
    </w:p>
    <w:p>
      <w:pPr>
        <w:spacing w:after="80" w:line="252" w:lineRule="auto"/>
        <w:ind w:firstLine="317"/>
      </w:pPr>
      <w:r>
        <w:rPr>
          <w:rFonts w:ascii="Times New Roman" w:hAnsi="Times New Roman" w:eastAsia="Times New Roman"/>
          <w:b w:val="0"/>
          <w:i w:val="0"/>
        </w:rPr>
        <w:t>A payment made for acquiring an asset under an annuity or instalment sale, or for using an asset under a finance lease, is divided into an interest part and a capital part. Where the total payment schedule does not clearly separate the capital and interest parts at the time of entering into the annuity, instalment sale or finance lease, the payments are divided into principal and interest as if they were payments under a blended loan with interest compounded every six months.</w:t>
      </w:r>
    </w:p>
    <w:p>
      <w:pPr>
        <w:spacing w:after="20" w:line="252" w:lineRule="auto"/>
      </w:pPr>
      <w:r>
        <w:rPr>
          <w:rFonts w:ascii="Times New Roman" w:hAnsi="Times New Roman" w:eastAsia="Times New Roman"/>
          <w:b/>
          <w:i w:val="0"/>
        </w:rPr>
        <w:t>Example 7.7.4</w:t>
      </w:r>
    </w:p>
    <w:p>
      <w:pPr>
        <w:spacing w:after="60" w:line="252" w:lineRule="auto"/>
        <w:ind w:firstLine="317"/>
      </w:pPr>
      <w:r>
        <w:rPr>
          <w:rFonts w:ascii="Times New Roman" w:hAnsi="Times New Roman" w:eastAsia="Times New Roman"/>
          <w:b w:val="0"/>
          <w:i w:val="0"/>
        </w:rPr>
        <w:t>Aban Construction Company Pvt. Ltd. leases a heavy-duty earth-moving machine from Zircon Exim Pvt. Ltd. for 5 years at annual rent of Rs. 500,000. At the end of the fifth year, Aban may purchase the machine for Rs. 3,000,000. Because the agreement gives Aban an option to purchase at a fixed price at the end of the lease period, it is a finance lease under section 32(5)(a). Accordingly, the lease is treated as a sale. Aban is treated as the owner of the machine and Zircon Exim as a person with a debt claim against Aban.</w:t>
      </w:r>
    </w:p>
    <w:p>
      <w:pPr>
        <w:spacing w:after="60" w:line="252" w:lineRule="auto"/>
        <w:ind w:firstLine="317"/>
      </w:pPr>
      <w:r>
        <w:rPr>
          <w:rFonts w:ascii="Times New Roman" w:hAnsi="Times New Roman" w:eastAsia="Times New Roman"/>
          <w:b w:val="0"/>
          <w:i w:val="0"/>
        </w:rPr>
        <w:t>In recharacterising the rental amount, all payments under the lease and the fixed price payable for the machine at the end of the lease are treated as a lump-sum payment and separated into capital and interest parts under section 32(2). The lump sum is Rs. 5,500,000 (Rs. 3,000,000 + Rs. 2,500,000). If the market value of the machine is Rs. 3,500,000, the balance Rs. 2,000,000 is the interest part. The payments are separated as follows:</w:t>
      </w:r>
    </w:p>
    <w:tbl>
      <w:tblPr>
        <w:tblStyle w:val="TableGrid"/>
        <w:tblW w:type="auto" w:w="0"/>
        <w:jc w:val="center"/>
        <w:tblLook w:firstColumn="1" w:firstRow="1" w:lastColumn="0" w:lastRow="0" w:noHBand="0" w:noVBand="1" w:val="04A0"/>
      </w:tblPr>
      <w:tblGrid>
        <w:gridCol w:w="1721"/>
        <w:gridCol w:w="1721"/>
        <w:gridCol w:w="1721"/>
        <w:gridCol w:w="1721"/>
        <w:gridCol w:w="1721"/>
        <w:gridCol w:w="1721"/>
      </w:tblGrid>
      <w:tr>
        <w:tc>
          <w:tcPr>
            <w:tcW w:type="dxa" w:w="1721"/>
            <w:vAlign w:val="top"/>
            <w:shd w:fill="E7E6E6"/>
          </w:tcPr>
          <w:p>
            <w:pPr>
              <w:spacing w:after="0"/>
            </w:pPr>
            <w:r>
              <w:rPr>
                <w:rFonts w:ascii="Times New Roman" w:hAnsi="Times New Roman" w:eastAsia="Times New Roman"/>
                <w:sz w:val="16"/>
              </w:rPr>
            </w:r>
            <w:r>
              <w:rPr>
                <w:rFonts w:ascii="Times New Roman" w:hAnsi="Times New Roman" w:eastAsia="Times New Roman"/>
                <w:b/>
                <w:i w:val="0"/>
                <w:sz w:val="16"/>
              </w:rPr>
              <w:t>Year</w:t>
            </w:r>
          </w:p>
        </w:tc>
        <w:tc>
          <w:tcPr>
            <w:tcW w:type="dxa" w:w="1721"/>
            <w:vAlign w:val="top"/>
            <w:shd w:fill="E7E6E6"/>
          </w:tcPr>
          <w:p>
            <w:pPr>
              <w:spacing w:after="0"/>
            </w:pPr>
            <w:r>
              <w:rPr>
                <w:rFonts w:ascii="Times New Roman" w:hAnsi="Times New Roman" w:eastAsia="Times New Roman"/>
                <w:sz w:val="16"/>
              </w:rPr>
            </w:r>
            <w:r>
              <w:rPr>
                <w:rFonts w:ascii="Times New Roman" w:hAnsi="Times New Roman" w:eastAsia="Times New Roman"/>
                <w:b/>
                <w:i w:val="0"/>
                <w:sz w:val="16"/>
              </w:rPr>
              <w:t>Opening principal</w:t>
            </w:r>
          </w:p>
        </w:tc>
        <w:tc>
          <w:tcPr>
            <w:tcW w:type="dxa" w:w="1721"/>
            <w:vAlign w:val="top"/>
            <w:shd w:fill="E7E6E6"/>
          </w:tcPr>
          <w:p>
            <w:pPr>
              <w:spacing w:after="0"/>
            </w:pPr>
            <w:r>
              <w:rPr>
                <w:rFonts w:ascii="Times New Roman" w:hAnsi="Times New Roman" w:eastAsia="Times New Roman"/>
                <w:sz w:val="16"/>
              </w:rPr>
            </w:r>
            <w:r>
              <w:rPr>
                <w:rFonts w:ascii="Times New Roman" w:hAnsi="Times New Roman" w:eastAsia="Times New Roman"/>
                <w:b/>
                <w:i w:val="0"/>
                <w:sz w:val="16"/>
              </w:rPr>
              <w:t>Total payment</w:t>
            </w:r>
          </w:p>
        </w:tc>
        <w:tc>
          <w:tcPr>
            <w:tcW w:type="dxa" w:w="1721"/>
            <w:vAlign w:val="top"/>
            <w:shd w:fill="E7E6E6"/>
          </w:tcPr>
          <w:p>
            <w:pPr>
              <w:spacing w:after="0"/>
            </w:pPr>
            <w:r>
              <w:rPr>
                <w:rFonts w:ascii="Times New Roman" w:hAnsi="Times New Roman" w:eastAsia="Times New Roman"/>
                <w:sz w:val="16"/>
              </w:rPr>
            </w:r>
            <w:r>
              <w:rPr>
                <w:rFonts w:ascii="Times New Roman" w:hAnsi="Times New Roman" w:eastAsia="Times New Roman"/>
                <w:b/>
                <w:i w:val="0"/>
                <w:sz w:val="16"/>
              </w:rPr>
              <w:t>Interest part</w:t>
            </w:r>
          </w:p>
        </w:tc>
        <w:tc>
          <w:tcPr>
            <w:tcW w:type="dxa" w:w="1721"/>
            <w:vAlign w:val="top"/>
            <w:shd w:fill="E7E6E6"/>
          </w:tcPr>
          <w:p>
            <w:pPr>
              <w:spacing w:after="0"/>
            </w:pPr>
            <w:r>
              <w:rPr>
                <w:rFonts w:ascii="Times New Roman" w:hAnsi="Times New Roman" w:eastAsia="Times New Roman"/>
                <w:sz w:val="16"/>
              </w:rPr>
            </w:r>
            <w:r>
              <w:rPr>
                <w:rFonts w:ascii="Times New Roman" w:hAnsi="Times New Roman" w:eastAsia="Times New Roman"/>
                <w:b/>
                <w:i w:val="0"/>
                <w:sz w:val="16"/>
              </w:rPr>
              <w:t>Principal part</w:t>
            </w:r>
          </w:p>
        </w:tc>
        <w:tc>
          <w:tcPr>
            <w:tcW w:type="dxa" w:w="1721"/>
            <w:vAlign w:val="top"/>
            <w:shd w:fill="E7E6E6"/>
          </w:tcPr>
          <w:p>
            <w:pPr>
              <w:spacing w:after="0"/>
            </w:pPr>
            <w:r>
              <w:rPr>
                <w:rFonts w:ascii="Times New Roman" w:hAnsi="Times New Roman" w:eastAsia="Times New Roman"/>
                <w:sz w:val="16"/>
              </w:rPr>
            </w:r>
            <w:r>
              <w:rPr>
                <w:rFonts w:ascii="Times New Roman" w:hAnsi="Times New Roman" w:eastAsia="Times New Roman"/>
                <w:b/>
                <w:i w:val="0"/>
                <w:sz w:val="16"/>
              </w:rPr>
              <w:t>Principal remaining</w:t>
            </w:r>
          </w:p>
        </w:tc>
      </w:tr>
      <w:tr>
        <w:tc>
          <w:tcPr>
            <w:tcW w:type="dxa" w:w="1721"/>
            <w:vAlign w:val="top"/>
          </w:tcPr>
          <w:p>
            <w:pPr>
              <w:spacing w:after="0"/>
            </w:pPr>
            <w:r>
              <w:rPr>
                <w:rFonts w:ascii="Times New Roman" w:hAnsi="Times New Roman" w:eastAsia="Times New Roman"/>
                <w:sz w:val="16"/>
              </w:rPr>
            </w:r>
            <w:r>
              <w:rPr>
                <w:rFonts w:ascii="Times New Roman" w:hAnsi="Times New Roman" w:eastAsia="Times New Roman"/>
                <w:b w:val="0"/>
                <w:i w:val="0"/>
                <w:sz w:val="16"/>
              </w:rPr>
              <w:t>1</w:t>
            </w:r>
          </w:p>
        </w:tc>
        <w:tc>
          <w:tcPr>
            <w:tcW w:type="dxa" w:w="172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3,500,000</w:t>
            </w:r>
          </w:p>
        </w:tc>
        <w:tc>
          <w:tcPr>
            <w:tcW w:type="dxa" w:w="172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500,000</w:t>
            </w:r>
          </w:p>
        </w:tc>
        <w:tc>
          <w:tcPr>
            <w:tcW w:type="dxa" w:w="172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421,356</w:t>
            </w:r>
          </w:p>
        </w:tc>
        <w:tc>
          <w:tcPr>
            <w:tcW w:type="dxa" w:w="172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78,644</w:t>
            </w:r>
          </w:p>
        </w:tc>
        <w:tc>
          <w:tcPr>
            <w:tcW w:type="dxa" w:w="172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3,421,356</w:t>
            </w:r>
          </w:p>
        </w:tc>
      </w:tr>
      <w:tr>
        <w:tc>
          <w:tcPr>
            <w:tcW w:type="dxa" w:w="1721"/>
            <w:vAlign w:val="top"/>
          </w:tcPr>
          <w:p>
            <w:pPr>
              <w:spacing w:after="0"/>
            </w:pPr>
            <w:r>
              <w:rPr>
                <w:rFonts w:ascii="Times New Roman" w:hAnsi="Times New Roman" w:eastAsia="Times New Roman"/>
                <w:sz w:val="16"/>
              </w:rPr>
            </w:r>
            <w:r>
              <w:rPr>
                <w:rFonts w:ascii="Times New Roman" w:hAnsi="Times New Roman" w:eastAsia="Times New Roman"/>
                <w:b w:val="0"/>
                <w:i w:val="0"/>
                <w:sz w:val="16"/>
              </w:rPr>
              <w:t>2</w:t>
            </w:r>
          </w:p>
        </w:tc>
        <w:tc>
          <w:tcPr>
            <w:tcW w:type="dxa" w:w="172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3,421,356</w:t>
            </w:r>
          </w:p>
        </w:tc>
        <w:tc>
          <w:tcPr>
            <w:tcW w:type="dxa" w:w="172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500,000</w:t>
            </w:r>
          </w:p>
        </w:tc>
        <w:tc>
          <w:tcPr>
            <w:tcW w:type="dxa" w:w="172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411,888</w:t>
            </w:r>
          </w:p>
        </w:tc>
        <w:tc>
          <w:tcPr>
            <w:tcW w:type="dxa" w:w="172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88,112</w:t>
            </w:r>
          </w:p>
        </w:tc>
        <w:tc>
          <w:tcPr>
            <w:tcW w:type="dxa" w:w="172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3,333,244</w:t>
            </w:r>
          </w:p>
        </w:tc>
      </w:tr>
      <w:tr>
        <w:tc>
          <w:tcPr>
            <w:tcW w:type="dxa" w:w="1721"/>
            <w:vAlign w:val="top"/>
          </w:tcPr>
          <w:p>
            <w:pPr>
              <w:spacing w:after="0"/>
            </w:pPr>
            <w:r>
              <w:rPr>
                <w:rFonts w:ascii="Times New Roman" w:hAnsi="Times New Roman" w:eastAsia="Times New Roman"/>
                <w:sz w:val="16"/>
              </w:rPr>
            </w:r>
            <w:r>
              <w:rPr>
                <w:rFonts w:ascii="Times New Roman" w:hAnsi="Times New Roman" w:eastAsia="Times New Roman"/>
                <w:b w:val="0"/>
                <w:i w:val="0"/>
                <w:sz w:val="16"/>
              </w:rPr>
              <w:t>3</w:t>
            </w:r>
          </w:p>
        </w:tc>
        <w:tc>
          <w:tcPr>
            <w:tcW w:type="dxa" w:w="172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3,333,244</w:t>
            </w:r>
          </w:p>
        </w:tc>
        <w:tc>
          <w:tcPr>
            <w:tcW w:type="dxa" w:w="172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500,000</w:t>
            </w:r>
          </w:p>
        </w:tc>
        <w:tc>
          <w:tcPr>
            <w:tcW w:type="dxa" w:w="172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401,280</w:t>
            </w:r>
          </w:p>
        </w:tc>
        <w:tc>
          <w:tcPr>
            <w:tcW w:type="dxa" w:w="172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98,720</w:t>
            </w:r>
          </w:p>
        </w:tc>
        <w:tc>
          <w:tcPr>
            <w:tcW w:type="dxa" w:w="172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3,234,524</w:t>
            </w:r>
          </w:p>
        </w:tc>
      </w:tr>
      <w:tr>
        <w:tc>
          <w:tcPr>
            <w:tcW w:type="dxa" w:w="1721"/>
            <w:vAlign w:val="top"/>
          </w:tcPr>
          <w:p>
            <w:pPr>
              <w:spacing w:after="0"/>
            </w:pPr>
            <w:r>
              <w:rPr>
                <w:rFonts w:ascii="Times New Roman" w:hAnsi="Times New Roman" w:eastAsia="Times New Roman"/>
                <w:sz w:val="16"/>
              </w:rPr>
            </w:r>
            <w:r>
              <w:rPr>
                <w:rFonts w:ascii="Times New Roman" w:hAnsi="Times New Roman" w:eastAsia="Times New Roman"/>
                <w:b w:val="0"/>
                <w:i w:val="0"/>
                <w:sz w:val="16"/>
              </w:rPr>
              <w:t>4</w:t>
            </w:r>
          </w:p>
        </w:tc>
        <w:tc>
          <w:tcPr>
            <w:tcW w:type="dxa" w:w="172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3,234,524</w:t>
            </w:r>
          </w:p>
        </w:tc>
        <w:tc>
          <w:tcPr>
            <w:tcW w:type="dxa" w:w="172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500,000</w:t>
            </w:r>
          </w:p>
        </w:tc>
        <w:tc>
          <w:tcPr>
            <w:tcW w:type="dxa" w:w="172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389,396</w:t>
            </w:r>
          </w:p>
        </w:tc>
        <w:tc>
          <w:tcPr>
            <w:tcW w:type="dxa" w:w="172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110,604</w:t>
            </w:r>
          </w:p>
        </w:tc>
        <w:tc>
          <w:tcPr>
            <w:tcW w:type="dxa" w:w="172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3,123,920</w:t>
            </w:r>
          </w:p>
        </w:tc>
      </w:tr>
      <w:tr>
        <w:tc>
          <w:tcPr>
            <w:tcW w:type="dxa" w:w="1721"/>
            <w:vAlign w:val="top"/>
          </w:tcPr>
          <w:p>
            <w:pPr>
              <w:spacing w:after="0"/>
            </w:pPr>
            <w:r>
              <w:rPr>
                <w:rFonts w:ascii="Times New Roman" w:hAnsi="Times New Roman" w:eastAsia="Times New Roman"/>
                <w:sz w:val="16"/>
              </w:rPr>
            </w:r>
            <w:r>
              <w:rPr>
                <w:rFonts w:ascii="Times New Roman" w:hAnsi="Times New Roman" w:eastAsia="Times New Roman"/>
                <w:b w:val="0"/>
                <w:i w:val="0"/>
                <w:sz w:val="16"/>
              </w:rPr>
              <w:t>5</w:t>
            </w:r>
          </w:p>
        </w:tc>
        <w:tc>
          <w:tcPr>
            <w:tcW w:type="dxa" w:w="172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3,123,920</w:t>
            </w:r>
          </w:p>
        </w:tc>
        <w:tc>
          <w:tcPr>
            <w:tcW w:type="dxa" w:w="172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3,500,000</w:t>
            </w:r>
          </w:p>
        </w:tc>
        <w:tc>
          <w:tcPr>
            <w:tcW w:type="dxa" w:w="172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376,080</w:t>
            </w:r>
          </w:p>
        </w:tc>
        <w:tc>
          <w:tcPr>
            <w:tcW w:type="dxa" w:w="172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3,123,920</w:t>
            </w:r>
          </w:p>
        </w:tc>
        <w:tc>
          <w:tcPr>
            <w:tcW w:type="dxa" w:w="1721"/>
            <w:vAlign w:val="top"/>
          </w:tcPr>
          <w:p>
            <w:pPr>
              <w:spacing w:after="0"/>
            </w:pPr>
            <w:r>
              <w:rPr>
                <w:rFonts w:ascii="Times New Roman" w:hAnsi="Times New Roman" w:eastAsia="Times New Roman"/>
                <w:sz w:val="16"/>
              </w:rPr>
            </w:r>
            <w:r>
              <w:rPr>
                <w:rFonts w:ascii="Times New Roman" w:hAnsi="Times New Roman" w:eastAsia="Times New Roman"/>
                <w:b w:val="0"/>
                <w:i w:val="0"/>
                <w:sz w:val="16"/>
              </w:rPr>
              <w:t>-</w:t>
            </w:r>
          </w:p>
        </w:tc>
      </w:tr>
      <w:tr>
        <w:tc>
          <w:tcPr>
            <w:tcW w:type="dxa" w:w="1721"/>
            <w:vAlign w:val="top"/>
          </w:tcPr>
          <w:p>
            <w:pPr>
              <w:spacing w:after="0"/>
            </w:pPr>
            <w:r>
              <w:rPr>
                <w:rFonts w:ascii="Times New Roman" w:hAnsi="Times New Roman" w:eastAsia="Times New Roman"/>
                <w:sz w:val="16"/>
              </w:rPr>
            </w:r>
            <w:r>
              <w:rPr>
                <w:rFonts w:ascii="Times New Roman" w:hAnsi="Times New Roman" w:eastAsia="Times New Roman"/>
                <w:b w:val="0"/>
                <w:i w:val="0"/>
                <w:sz w:val="16"/>
              </w:rPr>
              <w:t>Total</w:t>
            </w:r>
          </w:p>
        </w:tc>
        <w:tc>
          <w:tcPr>
            <w:tcW w:type="dxa" w:w="1721"/>
            <w:vAlign w:val="top"/>
          </w:tcPr>
          <w:p>
            <w:pPr>
              <w:spacing w:after="0"/>
            </w:pPr>
            <w:r>
              <w:rPr>
                <w:rFonts w:ascii="Times New Roman" w:hAnsi="Times New Roman" w:eastAsia="Times New Roman"/>
                <w:sz w:val="16"/>
              </w:rPr>
            </w:r>
            <w:r>
              <w:rPr>
                <w:rFonts w:ascii="Times New Roman" w:hAnsi="Times New Roman" w:eastAsia="Times New Roman"/>
                <w:b w:val="0"/>
                <w:i w:val="0"/>
                <w:sz w:val="16"/>
              </w:rPr>
            </w:r>
          </w:p>
        </w:tc>
        <w:tc>
          <w:tcPr>
            <w:tcW w:type="dxa" w:w="1721"/>
            <w:vAlign w:val="top"/>
          </w:tcPr>
          <w:p>
            <w:pPr>
              <w:spacing w:after="0"/>
            </w:pPr>
            <w:r>
              <w:rPr>
                <w:rFonts w:ascii="Times New Roman" w:hAnsi="Times New Roman" w:eastAsia="Times New Roman"/>
                <w:sz w:val="16"/>
              </w:rPr>
            </w:r>
            <w:r>
              <w:rPr>
                <w:rFonts w:ascii="Times New Roman" w:hAnsi="Times New Roman" w:eastAsia="Times New Roman"/>
                <w:b w:val="0"/>
                <w:i w:val="0"/>
                <w:sz w:val="16"/>
              </w:rPr>
            </w:r>
          </w:p>
        </w:tc>
        <w:tc>
          <w:tcPr>
            <w:tcW w:type="dxa" w:w="172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2,000,000</w:t>
            </w:r>
          </w:p>
        </w:tc>
        <w:tc>
          <w:tcPr>
            <w:tcW w:type="dxa" w:w="172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3,500,000</w:t>
            </w:r>
          </w:p>
        </w:tc>
        <w:tc>
          <w:tcPr>
            <w:tcW w:type="dxa" w:w="1721"/>
            <w:vAlign w:val="top"/>
          </w:tcPr>
          <w:p>
            <w:pPr>
              <w:spacing w:after="0"/>
            </w:pPr>
            <w:r>
              <w:rPr>
                <w:rFonts w:ascii="Times New Roman" w:hAnsi="Times New Roman" w:eastAsia="Times New Roman"/>
                <w:sz w:val="16"/>
              </w:rPr>
            </w:r>
            <w:r>
              <w:rPr>
                <w:rFonts w:ascii="Times New Roman" w:hAnsi="Times New Roman" w:eastAsia="Times New Roman"/>
                <w:b w:val="0"/>
                <w:i w:val="0"/>
                <w:sz w:val="16"/>
              </w:rPr>
            </w:r>
          </w:p>
        </w:tc>
      </w:tr>
    </w:tbl>
    <w:p>
      <w:pPr>
        <w:spacing w:after="40" w:line="252" w:lineRule="auto"/>
      </w:pPr>
    </w:p>
    <w:p>
      <w:pPr>
        <w:spacing w:after="80" w:line="252" w:lineRule="auto"/>
        <w:ind w:firstLine="317"/>
      </w:pPr>
      <w:r>
        <w:rPr>
          <w:rFonts w:ascii="Times New Roman" w:hAnsi="Times New Roman" w:eastAsia="Times New Roman"/>
          <w:b w:val="0"/>
          <w:i w:val="0"/>
        </w:rPr>
        <w:t>Because the interest rate is not available, the interest computation is based on a PVIF table using a simulation method at 12.04 percent. In the fifth year, Rs. 3,000,000 is included in addition to the annual rent, as Aban may purchase the machine. Tax must be deducted at source on the interest part at the time of payment, and Aban may claim the interest part as an expense under section 14. Since Aban is treated as having purchased the machine at the beginning of the lease under section 32(7), the market value of the machine is treated as paid under section 42(b). Thus, Rs. 3,500,000 is an outgoing for Aban, and Aban may claim depreciation expense from the commencement of the lease as owner of the asset. The capital part of lease payments is treated as repayment of a debt claim. When the lease term ends and the liability is fully paid, no gain or loss arises on disposal of the debt liability.</w:t>
      </w:r>
    </w:p>
    <w:p>
      <w:pPr>
        <w:spacing w:after="20" w:line="252" w:lineRule="auto"/>
      </w:pPr>
      <w:r>
        <w:rPr>
          <w:rFonts w:ascii="Times New Roman" w:hAnsi="Times New Roman" w:eastAsia="Times New Roman"/>
          <w:b/>
          <w:i w:val="0"/>
        </w:rPr>
        <w:t>Example 7.7.5</w:t>
      </w:r>
    </w:p>
    <w:p>
      <w:pPr>
        <w:spacing w:after="60" w:line="252" w:lineRule="auto"/>
        <w:ind w:firstLine="317"/>
      </w:pPr>
      <w:r>
        <w:rPr>
          <w:rFonts w:ascii="Times New Roman" w:hAnsi="Times New Roman" w:eastAsia="Times New Roman"/>
          <w:b w:val="0"/>
          <w:i w:val="0"/>
        </w:rPr>
        <w:t>Aban Construction Company Pvt. Ltd. purchases a heavy-duty earth-moving machine from Zircon Exim Pvt. Ltd. on 2066/10/01 by paying annual instalments of Rs. 1,000,000 at the beginning of each year for 5 years. Section 32 applies to this type of instalment sale. Under section 32(8), the total value is discounted using the normal interest rate to compute the present value of lease payments, i.e. principal, as follows:</w:t>
      </w:r>
    </w:p>
    <w:tbl>
      <w:tblPr>
        <w:tblStyle w:val="TableGrid"/>
        <w:tblW w:type="auto" w:w="0"/>
        <w:jc w:val="center"/>
        <w:tblLook w:firstColumn="1" w:firstRow="1" w:lastColumn="0" w:lastRow="0" w:noHBand="0" w:noVBand="1" w:val="04A0"/>
      </w:tblPr>
      <w:tblGrid>
        <w:gridCol w:w="2581"/>
        <w:gridCol w:w="2581"/>
        <w:gridCol w:w="2581"/>
        <w:gridCol w:w="2581"/>
      </w:tblGrid>
      <w:tr>
        <w:tc>
          <w:tcPr>
            <w:tcW w:type="dxa" w:w="2581"/>
            <w:vAlign w:val="top"/>
            <w:shd w:fill="E7E6E6"/>
          </w:tcPr>
          <w:p>
            <w:pPr>
              <w:spacing w:after="0"/>
            </w:pPr>
            <w:r>
              <w:rPr>
                <w:rFonts w:ascii="Times New Roman" w:hAnsi="Times New Roman" w:eastAsia="Times New Roman"/>
                <w:sz w:val="16"/>
              </w:rPr>
            </w:r>
            <w:r>
              <w:rPr>
                <w:rFonts w:ascii="Times New Roman" w:hAnsi="Times New Roman" w:eastAsia="Times New Roman"/>
                <w:b/>
                <w:i w:val="0"/>
                <w:sz w:val="16"/>
              </w:rPr>
              <w:t>Year</w:t>
            </w:r>
          </w:p>
        </w:tc>
        <w:tc>
          <w:tcPr>
            <w:tcW w:type="dxa" w:w="2581"/>
            <w:vAlign w:val="top"/>
            <w:shd w:fill="E7E6E6"/>
          </w:tcPr>
          <w:p>
            <w:pPr>
              <w:spacing w:after="0"/>
            </w:pPr>
            <w:r>
              <w:rPr>
                <w:rFonts w:ascii="Times New Roman" w:hAnsi="Times New Roman" w:eastAsia="Times New Roman"/>
                <w:sz w:val="16"/>
              </w:rPr>
            </w:r>
            <w:r>
              <w:rPr>
                <w:rFonts w:ascii="Times New Roman" w:hAnsi="Times New Roman" w:eastAsia="Times New Roman"/>
                <w:b/>
                <w:i w:val="0"/>
                <w:sz w:val="16"/>
              </w:rPr>
              <w:t>Instalment</w:t>
            </w:r>
          </w:p>
        </w:tc>
        <w:tc>
          <w:tcPr>
            <w:tcW w:type="dxa" w:w="2581"/>
            <w:vAlign w:val="top"/>
            <w:shd w:fill="E7E6E6"/>
          </w:tcPr>
          <w:p>
            <w:pPr>
              <w:spacing w:after="0"/>
            </w:pPr>
            <w:r>
              <w:rPr>
                <w:rFonts w:ascii="Times New Roman" w:hAnsi="Times New Roman" w:eastAsia="Times New Roman"/>
                <w:sz w:val="16"/>
              </w:rPr>
            </w:r>
            <w:r>
              <w:rPr>
                <w:rFonts w:ascii="Times New Roman" w:hAnsi="Times New Roman" w:eastAsia="Times New Roman"/>
                <w:b/>
                <w:i w:val="0"/>
                <w:sz w:val="16"/>
              </w:rPr>
              <w:t>Discount factor</w:t>
            </w:r>
          </w:p>
        </w:tc>
        <w:tc>
          <w:tcPr>
            <w:tcW w:type="dxa" w:w="2581"/>
            <w:vAlign w:val="top"/>
            <w:shd w:fill="E7E6E6"/>
          </w:tcPr>
          <w:p>
            <w:pPr>
              <w:spacing w:after="0"/>
            </w:pPr>
            <w:r>
              <w:rPr>
                <w:rFonts w:ascii="Times New Roman" w:hAnsi="Times New Roman" w:eastAsia="Times New Roman"/>
                <w:sz w:val="16"/>
              </w:rPr>
            </w:r>
            <w:r>
              <w:rPr>
                <w:rFonts w:ascii="Times New Roman" w:hAnsi="Times New Roman" w:eastAsia="Times New Roman"/>
                <w:b/>
                <w:i w:val="0"/>
                <w:sz w:val="16"/>
              </w:rPr>
              <w:t>Discounted value</w:t>
            </w:r>
          </w:p>
        </w:tc>
      </w:tr>
      <w:tr>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1</w:t>
            </w:r>
          </w:p>
        </w:tc>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1,000,000</w:t>
            </w:r>
          </w:p>
        </w:tc>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1.00000</w:t>
            </w:r>
          </w:p>
        </w:tc>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1,000,000.00</w:t>
            </w:r>
          </w:p>
        </w:tc>
      </w:tr>
      <w:tr>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2</w:t>
            </w:r>
          </w:p>
        </w:tc>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1,000,000</w:t>
            </w:r>
          </w:p>
        </w:tc>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0.90909</w:t>
            </w:r>
          </w:p>
        </w:tc>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909,090.91</w:t>
            </w:r>
          </w:p>
        </w:tc>
      </w:tr>
      <w:tr>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3</w:t>
            </w:r>
          </w:p>
        </w:tc>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1,000,000</w:t>
            </w:r>
          </w:p>
        </w:tc>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0.82645</w:t>
            </w:r>
          </w:p>
        </w:tc>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826,446.28</w:t>
            </w:r>
          </w:p>
        </w:tc>
      </w:tr>
      <w:tr>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4</w:t>
            </w:r>
          </w:p>
        </w:tc>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1,000,000</w:t>
            </w:r>
          </w:p>
        </w:tc>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0.75131</w:t>
            </w:r>
          </w:p>
        </w:tc>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751,314.80</w:t>
            </w:r>
          </w:p>
        </w:tc>
      </w:tr>
      <w:tr>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5</w:t>
            </w:r>
          </w:p>
        </w:tc>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1,000,000</w:t>
            </w:r>
          </w:p>
        </w:tc>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0.68301</w:t>
            </w:r>
          </w:p>
        </w:tc>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683,013.46</w:t>
            </w:r>
          </w:p>
        </w:tc>
      </w:tr>
      <w:tr>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Total</w:t>
            </w:r>
          </w:p>
        </w:tc>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5,000,000</w:t>
            </w:r>
          </w:p>
        </w:tc>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r>
          </w:p>
        </w:tc>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4,169,865.45</w:t>
            </w:r>
          </w:p>
        </w:tc>
      </w:tr>
      <w:tr>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Total payment</w:t>
            </w:r>
          </w:p>
        </w:tc>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r>
          </w:p>
        </w:tc>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r>
          </w:p>
        </w:tc>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5,000,000.00</w:t>
            </w:r>
          </w:p>
        </w:tc>
      </w:tr>
      <w:tr>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Principal / present value</w:t>
            </w:r>
          </w:p>
        </w:tc>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r>
          </w:p>
        </w:tc>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r>
          </w:p>
        </w:tc>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4,169,865.45</w:t>
            </w:r>
          </w:p>
        </w:tc>
      </w:tr>
      <w:tr>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Interest part</w:t>
            </w:r>
          </w:p>
        </w:tc>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r>
          </w:p>
        </w:tc>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r>
          </w:p>
        </w:tc>
        <w:tc>
          <w:tcPr>
            <w:tcW w:type="dxa" w:w="258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830,134.55</w:t>
            </w:r>
          </w:p>
        </w:tc>
      </w:tr>
    </w:tbl>
    <w:p>
      <w:pPr>
        <w:spacing w:after="40" w:line="252" w:lineRule="auto"/>
      </w:pPr>
    </w:p>
    <w:p>
      <w:pPr>
        <w:spacing w:after="80" w:line="252" w:lineRule="auto"/>
        <w:ind w:firstLine="317"/>
      </w:pPr>
      <w:r>
        <w:rPr>
          <w:rFonts w:ascii="Times New Roman" w:hAnsi="Times New Roman" w:eastAsia="Times New Roman"/>
          <w:b w:val="0"/>
          <w:i w:val="0"/>
        </w:rPr>
        <w:t>The principal repayment and interest part of the above transaction are as follows:</w:t>
      </w:r>
    </w:p>
    <w:p>
      <w:pPr>
        <w:spacing w:after="20" w:line="252" w:lineRule="auto"/>
      </w:pPr>
      <w:r>
        <w:rPr>
          <w:rFonts w:ascii="Times New Roman" w:hAnsi="Times New Roman" w:eastAsia="Times New Roman"/>
          <w:b/>
          <w:i w:val="0"/>
        </w:rPr>
        <w:t>Repayment schedule</w:t>
      </w:r>
    </w:p>
    <w:tbl>
      <w:tblPr>
        <w:tblStyle w:val="TableGrid"/>
        <w:tblW w:type="auto" w:w="0"/>
        <w:jc w:val="center"/>
        <w:tblLook w:firstColumn="1" w:firstRow="1" w:lastColumn="0" w:lastRow="0" w:noHBand="0" w:noVBand="1" w:val="04A0"/>
      </w:tblPr>
      <w:tblGrid>
        <w:gridCol w:w="1721"/>
        <w:gridCol w:w="1721"/>
        <w:gridCol w:w="1721"/>
        <w:gridCol w:w="1721"/>
        <w:gridCol w:w="1721"/>
        <w:gridCol w:w="1721"/>
      </w:tblGrid>
      <w:tr>
        <w:tc>
          <w:tcPr>
            <w:tcW w:type="dxa" w:w="1721"/>
            <w:vAlign w:val="top"/>
            <w:shd w:fill="E7E6E6"/>
          </w:tcPr>
          <w:p>
            <w:pPr>
              <w:spacing w:after="0"/>
            </w:pPr>
            <w:r>
              <w:rPr>
                <w:rFonts w:ascii="Times New Roman" w:hAnsi="Times New Roman" w:eastAsia="Times New Roman"/>
                <w:sz w:val="16"/>
              </w:rPr>
            </w:r>
            <w:r>
              <w:rPr>
                <w:rFonts w:ascii="Times New Roman" w:hAnsi="Times New Roman" w:eastAsia="Times New Roman"/>
                <w:b/>
                <w:i w:val="0"/>
                <w:sz w:val="16"/>
              </w:rPr>
              <w:t>Year</w:t>
            </w:r>
          </w:p>
        </w:tc>
        <w:tc>
          <w:tcPr>
            <w:tcW w:type="dxa" w:w="1721"/>
            <w:vAlign w:val="top"/>
            <w:shd w:fill="E7E6E6"/>
          </w:tcPr>
          <w:p>
            <w:pPr>
              <w:spacing w:after="0"/>
            </w:pPr>
            <w:r>
              <w:rPr>
                <w:rFonts w:ascii="Times New Roman" w:hAnsi="Times New Roman" w:eastAsia="Times New Roman"/>
                <w:sz w:val="16"/>
              </w:rPr>
            </w:r>
            <w:r>
              <w:rPr>
                <w:rFonts w:ascii="Times New Roman" w:hAnsi="Times New Roman" w:eastAsia="Times New Roman"/>
                <w:b/>
                <w:i w:val="0"/>
                <w:sz w:val="16"/>
              </w:rPr>
              <w:t>Opening principal</w:t>
            </w:r>
          </w:p>
        </w:tc>
        <w:tc>
          <w:tcPr>
            <w:tcW w:type="dxa" w:w="1721"/>
            <w:vAlign w:val="top"/>
            <w:shd w:fill="E7E6E6"/>
          </w:tcPr>
          <w:p>
            <w:pPr>
              <w:spacing w:after="0"/>
            </w:pPr>
            <w:r>
              <w:rPr>
                <w:rFonts w:ascii="Times New Roman" w:hAnsi="Times New Roman" w:eastAsia="Times New Roman"/>
                <w:sz w:val="16"/>
              </w:rPr>
            </w:r>
            <w:r>
              <w:rPr>
                <w:rFonts w:ascii="Times New Roman" w:hAnsi="Times New Roman" w:eastAsia="Times New Roman"/>
                <w:b/>
                <w:i w:val="0"/>
                <w:sz w:val="16"/>
              </w:rPr>
              <w:t>Total payment</w:t>
            </w:r>
          </w:p>
        </w:tc>
        <w:tc>
          <w:tcPr>
            <w:tcW w:type="dxa" w:w="1721"/>
            <w:vAlign w:val="top"/>
            <w:shd w:fill="E7E6E6"/>
          </w:tcPr>
          <w:p>
            <w:pPr>
              <w:spacing w:after="0"/>
            </w:pPr>
            <w:r>
              <w:rPr>
                <w:rFonts w:ascii="Times New Roman" w:hAnsi="Times New Roman" w:eastAsia="Times New Roman"/>
                <w:sz w:val="16"/>
              </w:rPr>
            </w:r>
            <w:r>
              <w:rPr>
                <w:rFonts w:ascii="Times New Roman" w:hAnsi="Times New Roman" w:eastAsia="Times New Roman"/>
                <w:b/>
                <w:i w:val="0"/>
                <w:sz w:val="16"/>
              </w:rPr>
              <w:t>Interest part</w:t>
            </w:r>
          </w:p>
        </w:tc>
        <w:tc>
          <w:tcPr>
            <w:tcW w:type="dxa" w:w="1721"/>
            <w:vAlign w:val="top"/>
            <w:shd w:fill="E7E6E6"/>
          </w:tcPr>
          <w:p>
            <w:pPr>
              <w:spacing w:after="0"/>
            </w:pPr>
            <w:r>
              <w:rPr>
                <w:rFonts w:ascii="Times New Roman" w:hAnsi="Times New Roman" w:eastAsia="Times New Roman"/>
                <w:sz w:val="16"/>
              </w:rPr>
            </w:r>
            <w:r>
              <w:rPr>
                <w:rFonts w:ascii="Times New Roman" w:hAnsi="Times New Roman" w:eastAsia="Times New Roman"/>
                <w:b/>
                <w:i w:val="0"/>
                <w:sz w:val="16"/>
              </w:rPr>
              <w:t>Principal part</w:t>
            </w:r>
          </w:p>
        </w:tc>
        <w:tc>
          <w:tcPr>
            <w:tcW w:type="dxa" w:w="1721"/>
            <w:vAlign w:val="top"/>
            <w:shd w:fill="E7E6E6"/>
          </w:tcPr>
          <w:p>
            <w:pPr>
              <w:spacing w:after="0"/>
            </w:pPr>
            <w:r>
              <w:rPr>
                <w:rFonts w:ascii="Times New Roman" w:hAnsi="Times New Roman" w:eastAsia="Times New Roman"/>
                <w:sz w:val="16"/>
              </w:rPr>
            </w:r>
            <w:r>
              <w:rPr>
                <w:rFonts w:ascii="Times New Roman" w:hAnsi="Times New Roman" w:eastAsia="Times New Roman"/>
                <w:b/>
                <w:i w:val="0"/>
                <w:sz w:val="16"/>
              </w:rPr>
              <w:t>Principal remaining</w:t>
            </w:r>
          </w:p>
        </w:tc>
      </w:tr>
      <w:tr>
        <w:tc>
          <w:tcPr>
            <w:tcW w:type="dxa" w:w="1721"/>
            <w:vAlign w:val="top"/>
          </w:tcPr>
          <w:p>
            <w:pPr>
              <w:spacing w:after="0"/>
            </w:pPr>
            <w:r>
              <w:rPr>
                <w:rFonts w:ascii="Times New Roman" w:hAnsi="Times New Roman" w:eastAsia="Times New Roman"/>
                <w:sz w:val="16"/>
              </w:rPr>
            </w:r>
            <w:r>
              <w:rPr>
                <w:rFonts w:ascii="Times New Roman" w:hAnsi="Times New Roman" w:eastAsia="Times New Roman"/>
                <w:b w:val="0"/>
                <w:i w:val="0"/>
                <w:sz w:val="16"/>
              </w:rPr>
              <w:t>1</w:t>
            </w:r>
          </w:p>
        </w:tc>
        <w:tc>
          <w:tcPr>
            <w:tcW w:type="dxa" w:w="172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4,169,865.45</w:t>
            </w:r>
          </w:p>
        </w:tc>
        <w:tc>
          <w:tcPr>
            <w:tcW w:type="dxa" w:w="172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1,000,000</w:t>
            </w:r>
          </w:p>
        </w:tc>
        <w:tc>
          <w:tcPr>
            <w:tcW w:type="dxa" w:w="1721"/>
            <w:vAlign w:val="top"/>
          </w:tcPr>
          <w:p>
            <w:pPr>
              <w:spacing w:after="0"/>
            </w:pPr>
            <w:r>
              <w:rPr>
                <w:rFonts w:ascii="Times New Roman" w:hAnsi="Times New Roman" w:eastAsia="Times New Roman"/>
                <w:sz w:val="16"/>
              </w:rPr>
            </w:r>
            <w:r>
              <w:rPr>
                <w:rFonts w:ascii="Times New Roman" w:hAnsi="Times New Roman" w:eastAsia="Times New Roman"/>
                <w:b w:val="0"/>
                <w:i w:val="0"/>
                <w:sz w:val="16"/>
              </w:rPr>
              <w:t>-</w:t>
            </w:r>
          </w:p>
        </w:tc>
        <w:tc>
          <w:tcPr>
            <w:tcW w:type="dxa" w:w="172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1,000,000</w:t>
            </w:r>
          </w:p>
        </w:tc>
        <w:tc>
          <w:tcPr>
            <w:tcW w:type="dxa" w:w="172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4,169,865.45</w:t>
            </w:r>
          </w:p>
        </w:tc>
      </w:tr>
      <w:tr>
        <w:tc>
          <w:tcPr>
            <w:tcW w:type="dxa" w:w="1721"/>
            <w:vAlign w:val="top"/>
          </w:tcPr>
          <w:p>
            <w:pPr>
              <w:spacing w:after="0"/>
            </w:pPr>
            <w:r>
              <w:rPr>
                <w:rFonts w:ascii="Times New Roman" w:hAnsi="Times New Roman" w:eastAsia="Times New Roman"/>
                <w:sz w:val="16"/>
              </w:rPr>
            </w:r>
            <w:r>
              <w:rPr>
                <w:rFonts w:ascii="Times New Roman" w:hAnsi="Times New Roman" w:eastAsia="Times New Roman"/>
                <w:b w:val="0"/>
                <w:i w:val="0"/>
                <w:sz w:val="16"/>
              </w:rPr>
              <w:t>2</w:t>
            </w:r>
          </w:p>
        </w:tc>
        <w:tc>
          <w:tcPr>
            <w:tcW w:type="dxa" w:w="172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3,169,865.45</w:t>
            </w:r>
          </w:p>
        </w:tc>
        <w:tc>
          <w:tcPr>
            <w:tcW w:type="dxa" w:w="172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1,000,000</w:t>
            </w:r>
          </w:p>
        </w:tc>
        <w:tc>
          <w:tcPr>
            <w:tcW w:type="dxa" w:w="172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316,986.54</w:t>
            </w:r>
          </w:p>
        </w:tc>
        <w:tc>
          <w:tcPr>
            <w:tcW w:type="dxa" w:w="172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683,013.46</w:t>
            </w:r>
          </w:p>
        </w:tc>
        <w:tc>
          <w:tcPr>
            <w:tcW w:type="dxa" w:w="172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3,169,865.45</w:t>
            </w:r>
          </w:p>
        </w:tc>
      </w:tr>
      <w:tr>
        <w:tc>
          <w:tcPr>
            <w:tcW w:type="dxa" w:w="1721"/>
            <w:vAlign w:val="top"/>
          </w:tcPr>
          <w:p>
            <w:pPr>
              <w:spacing w:after="0"/>
            </w:pPr>
            <w:r>
              <w:rPr>
                <w:rFonts w:ascii="Times New Roman" w:hAnsi="Times New Roman" w:eastAsia="Times New Roman"/>
                <w:sz w:val="16"/>
              </w:rPr>
            </w:r>
            <w:r>
              <w:rPr>
                <w:rFonts w:ascii="Times New Roman" w:hAnsi="Times New Roman" w:eastAsia="Times New Roman"/>
                <w:b w:val="0"/>
                <w:i w:val="0"/>
                <w:sz w:val="16"/>
              </w:rPr>
              <w:t>3</w:t>
            </w:r>
          </w:p>
        </w:tc>
        <w:tc>
          <w:tcPr>
            <w:tcW w:type="dxa" w:w="172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2,486,851.99</w:t>
            </w:r>
          </w:p>
        </w:tc>
        <w:tc>
          <w:tcPr>
            <w:tcW w:type="dxa" w:w="172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1,000,000</w:t>
            </w:r>
          </w:p>
        </w:tc>
        <w:tc>
          <w:tcPr>
            <w:tcW w:type="dxa" w:w="172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248,685.19</w:t>
            </w:r>
          </w:p>
        </w:tc>
        <w:tc>
          <w:tcPr>
            <w:tcW w:type="dxa" w:w="172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751,314.80</w:t>
            </w:r>
          </w:p>
        </w:tc>
        <w:tc>
          <w:tcPr>
            <w:tcW w:type="dxa" w:w="172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2,486,851.99</w:t>
            </w:r>
          </w:p>
        </w:tc>
      </w:tr>
      <w:tr>
        <w:tc>
          <w:tcPr>
            <w:tcW w:type="dxa" w:w="1721"/>
            <w:vAlign w:val="top"/>
          </w:tcPr>
          <w:p>
            <w:pPr>
              <w:spacing w:after="0"/>
            </w:pPr>
            <w:r>
              <w:rPr>
                <w:rFonts w:ascii="Times New Roman" w:hAnsi="Times New Roman" w:eastAsia="Times New Roman"/>
                <w:sz w:val="16"/>
              </w:rPr>
            </w:r>
            <w:r>
              <w:rPr>
                <w:rFonts w:ascii="Times New Roman" w:hAnsi="Times New Roman" w:eastAsia="Times New Roman"/>
                <w:b w:val="0"/>
                <w:i w:val="0"/>
                <w:sz w:val="16"/>
              </w:rPr>
              <w:t>4</w:t>
            </w:r>
          </w:p>
        </w:tc>
        <w:tc>
          <w:tcPr>
            <w:tcW w:type="dxa" w:w="172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1,735,537.19</w:t>
            </w:r>
          </w:p>
        </w:tc>
        <w:tc>
          <w:tcPr>
            <w:tcW w:type="dxa" w:w="172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1,000,000</w:t>
            </w:r>
          </w:p>
        </w:tc>
        <w:tc>
          <w:tcPr>
            <w:tcW w:type="dxa" w:w="172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173,553.71</w:t>
            </w:r>
          </w:p>
        </w:tc>
        <w:tc>
          <w:tcPr>
            <w:tcW w:type="dxa" w:w="172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826,446.28</w:t>
            </w:r>
          </w:p>
        </w:tc>
        <w:tc>
          <w:tcPr>
            <w:tcW w:type="dxa" w:w="172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1,735,537.19</w:t>
            </w:r>
          </w:p>
        </w:tc>
      </w:tr>
      <w:tr>
        <w:tc>
          <w:tcPr>
            <w:tcW w:type="dxa" w:w="1721"/>
            <w:vAlign w:val="top"/>
          </w:tcPr>
          <w:p>
            <w:pPr>
              <w:spacing w:after="0"/>
            </w:pPr>
            <w:r>
              <w:rPr>
                <w:rFonts w:ascii="Times New Roman" w:hAnsi="Times New Roman" w:eastAsia="Times New Roman"/>
                <w:sz w:val="16"/>
              </w:rPr>
            </w:r>
            <w:r>
              <w:rPr>
                <w:rFonts w:ascii="Times New Roman" w:hAnsi="Times New Roman" w:eastAsia="Times New Roman"/>
                <w:b w:val="0"/>
                <w:i w:val="0"/>
                <w:sz w:val="16"/>
              </w:rPr>
              <w:t>5</w:t>
            </w:r>
          </w:p>
        </w:tc>
        <w:tc>
          <w:tcPr>
            <w:tcW w:type="dxa" w:w="172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909,090.91</w:t>
            </w:r>
          </w:p>
        </w:tc>
        <w:tc>
          <w:tcPr>
            <w:tcW w:type="dxa" w:w="172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1,000,000</w:t>
            </w:r>
          </w:p>
        </w:tc>
        <w:tc>
          <w:tcPr>
            <w:tcW w:type="dxa" w:w="172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90,909.09</w:t>
            </w:r>
          </w:p>
        </w:tc>
        <w:tc>
          <w:tcPr>
            <w:tcW w:type="dxa" w:w="172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909,090.91</w:t>
            </w:r>
          </w:p>
        </w:tc>
        <w:tc>
          <w:tcPr>
            <w:tcW w:type="dxa" w:w="1721"/>
            <w:vAlign w:val="top"/>
          </w:tcPr>
          <w:p>
            <w:pPr>
              <w:spacing w:after="0"/>
            </w:pPr>
            <w:r>
              <w:rPr>
                <w:rFonts w:ascii="Times New Roman" w:hAnsi="Times New Roman" w:eastAsia="Times New Roman"/>
                <w:sz w:val="16"/>
              </w:rPr>
            </w:r>
            <w:r>
              <w:rPr>
                <w:rFonts w:ascii="Times New Roman" w:hAnsi="Times New Roman" w:eastAsia="Times New Roman"/>
                <w:b w:val="0"/>
                <w:i w:val="0"/>
                <w:sz w:val="16"/>
              </w:rPr>
              <w:t>0.00</w:t>
            </w:r>
          </w:p>
        </w:tc>
      </w:tr>
      <w:tr>
        <w:tc>
          <w:tcPr>
            <w:tcW w:type="dxa" w:w="1721"/>
            <w:vAlign w:val="top"/>
          </w:tcPr>
          <w:p>
            <w:pPr>
              <w:spacing w:after="0"/>
            </w:pPr>
            <w:r>
              <w:rPr>
                <w:rFonts w:ascii="Times New Roman" w:hAnsi="Times New Roman" w:eastAsia="Times New Roman"/>
                <w:sz w:val="16"/>
              </w:rPr>
            </w:r>
            <w:r>
              <w:rPr>
                <w:rFonts w:ascii="Times New Roman" w:hAnsi="Times New Roman" w:eastAsia="Times New Roman"/>
                <w:b w:val="0"/>
                <w:i w:val="0"/>
                <w:sz w:val="16"/>
              </w:rPr>
              <w:t>Total</w:t>
            </w:r>
          </w:p>
        </w:tc>
        <w:tc>
          <w:tcPr>
            <w:tcW w:type="dxa" w:w="1721"/>
            <w:vAlign w:val="top"/>
          </w:tcPr>
          <w:p>
            <w:pPr>
              <w:spacing w:after="0"/>
            </w:pPr>
            <w:r>
              <w:rPr>
                <w:rFonts w:ascii="Times New Roman" w:hAnsi="Times New Roman" w:eastAsia="Times New Roman"/>
                <w:sz w:val="16"/>
              </w:rPr>
            </w:r>
            <w:r>
              <w:rPr>
                <w:rFonts w:ascii="Times New Roman" w:hAnsi="Times New Roman" w:eastAsia="Times New Roman"/>
                <w:b w:val="0"/>
                <w:i w:val="0"/>
                <w:sz w:val="16"/>
              </w:rPr>
            </w:r>
          </w:p>
        </w:tc>
        <w:tc>
          <w:tcPr>
            <w:tcW w:type="dxa" w:w="172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5,000,000</w:t>
            </w:r>
          </w:p>
        </w:tc>
        <w:tc>
          <w:tcPr>
            <w:tcW w:type="dxa" w:w="172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830,134.55</w:t>
            </w:r>
          </w:p>
        </w:tc>
        <w:tc>
          <w:tcPr>
            <w:tcW w:type="dxa" w:w="1721"/>
            <w:vAlign w:val="top"/>
          </w:tcPr>
          <w:p>
            <w:pPr>
              <w:spacing w:after="0"/>
            </w:pPr>
            <w:r>
              <w:rPr>
                <w:rFonts w:ascii="Times New Roman" w:hAnsi="Times New Roman" w:eastAsia="Times New Roman"/>
                <w:sz w:val="16"/>
              </w:rPr>
            </w:r>
            <w:r>
              <w:rPr>
                <w:rFonts w:ascii="Times New Roman" w:hAnsi="Times New Roman" w:eastAsia="Times New Roman"/>
                <w:b w:val="0"/>
                <w:i w:val="0"/>
                <w:sz w:val="16"/>
              </w:rPr>
              <w:t>Rs. 4,169,865.45</w:t>
            </w:r>
          </w:p>
        </w:tc>
        <w:tc>
          <w:tcPr>
            <w:tcW w:type="dxa" w:w="1721"/>
            <w:vAlign w:val="top"/>
          </w:tcPr>
          <w:p>
            <w:pPr>
              <w:spacing w:after="0"/>
            </w:pPr>
            <w:r>
              <w:rPr>
                <w:rFonts w:ascii="Times New Roman" w:hAnsi="Times New Roman" w:eastAsia="Times New Roman"/>
                <w:sz w:val="16"/>
              </w:rPr>
            </w:r>
            <w:r>
              <w:rPr>
                <w:rFonts w:ascii="Times New Roman" w:hAnsi="Times New Roman" w:eastAsia="Times New Roman"/>
                <w:b w:val="0"/>
                <w:i w:val="0"/>
                <w:sz w:val="16"/>
              </w:rPr>
            </w:r>
          </w:p>
        </w:tc>
      </w:tr>
    </w:tbl>
    <w:p>
      <w:pPr>
        <w:spacing w:after="40" w:line="252" w:lineRule="auto"/>
      </w:pPr>
    </w:p>
    <w:p>
      <w:pPr>
        <w:spacing w:after="80" w:line="252" w:lineRule="auto"/>
        <w:ind w:firstLine="317"/>
      </w:pPr>
      <w:r>
        <w:rPr>
          <w:rFonts w:ascii="Times New Roman" w:hAnsi="Times New Roman" w:eastAsia="Times New Roman"/>
          <w:b w:val="0"/>
          <w:i w:val="0"/>
        </w:rPr>
        <w:t>Out of the total instalments of Rs. 5,000,000 paid by Aban over five years, Rs. 830,134.55 is treated as interest payment and Rs. 4,169,865.45 as return of a debt claim. In the first year Aban must debit fixed assets for Rs. 4,169,865.45 and credit a corresponding financial lease obligation payable to Zircon Exim Pvt. Ltd. Aban may claim the interest component of Rs. 830,134.55 as a deduction under section 14. Zircon Exim Pvt. Ltd. must account for the present value of lease payments as sale income in the first year and recognise a corresponding debt claim. In subsequent years, it treats Rs. 4,169,865.45 as return of capital and Rs. 830,134.55 as interest income as shown in the table.</w:t>
      </w:r>
    </w:p>
    <w:p>
      <w:pPr>
        <w:pStyle w:val="Heading2"/>
        <w:spacing w:after="80" w:line="252" w:lineRule="auto"/>
      </w:pPr>
      <w:r>
        <w:rPr>
          <w:rFonts w:ascii="Times New Roman" w:hAnsi="Times New Roman" w:eastAsia="Times New Roman"/>
          <w:b w:val="0"/>
          <w:i w:val="0"/>
        </w:rPr>
        <w:t>7.8 Transfer Pricing and Other Arrangements between Associated Persons</w:t>
      </w:r>
    </w:p>
    <w:p>
      <w:pPr>
        <w:pStyle w:val="Heading3"/>
        <w:spacing w:after="80" w:line="252" w:lineRule="auto"/>
      </w:pPr>
      <w:r>
        <w:rPr>
          <w:rFonts w:ascii="Times New Roman" w:hAnsi="Times New Roman" w:eastAsia="Times New Roman"/>
          <w:b w:val="0"/>
          <w:i w:val="0"/>
        </w:rPr>
        <w:t>7.8.1 Concept of transfer pricing between associated persons</w:t>
      </w:r>
    </w:p>
    <w:p>
      <w:pPr>
        <w:spacing w:after="80" w:line="252" w:lineRule="auto"/>
        <w:ind w:firstLine="317"/>
      </w:pPr>
      <w:r>
        <w:rPr>
          <w:rFonts w:ascii="Times New Roman" w:hAnsi="Times New Roman" w:eastAsia="Times New Roman"/>
          <w:b w:val="0"/>
          <w:i w:val="0"/>
        </w:rPr>
        <w:t>To clarify the concept of transfer pricing, the following terms and definitions are relevant.</w:t>
      </w:r>
    </w:p>
    <w:p>
      <w:pPr>
        <w:spacing w:after="40" w:line="252" w:lineRule="auto"/>
      </w:pPr>
      <w:r>
        <w:rPr>
          <w:rFonts w:ascii="Times New Roman" w:hAnsi="Times New Roman" w:eastAsia="Times New Roman"/>
          <w:b/>
          <w:i w:val="0"/>
        </w:rPr>
        <w:t>Associated person: Section 2 defines an associated person as one or more persons or a group of such persons acting according to the intention of another person, and includes the following:</w:t>
      </w:r>
    </w:p>
    <w:p>
      <w:pPr>
        <w:spacing w:after="40" w:line="252" w:lineRule="auto"/>
        <w:ind w:left="403" w:hanging="230"/>
      </w:pPr>
      <w:r>
        <w:rPr>
          <w:rFonts w:ascii="Times New Roman" w:hAnsi="Times New Roman" w:eastAsia="Times New Roman"/>
          <w:b w:val="0"/>
          <w:i w:val="0"/>
        </w:rPr>
        <w:t>• a natural person and a relative of that person, or a person and a partner of that person;</w:t>
      </w:r>
    </w:p>
    <w:p>
      <w:pPr>
        <w:spacing w:after="40" w:line="252" w:lineRule="auto"/>
        <w:ind w:left="403" w:hanging="230"/>
      </w:pPr>
      <w:r>
        <w:rPr>
          <w:rFonts w:ascii="Times New Roman" w:hAnsi="Times New Roman" w:eastAsia="Times New Roman"/>
          <w:b w:val="0"/>
          <w:i w:val="0"/>
        </w:rPr>
        <w:t>• a foreign permanent establishment and the person who owns that establishment; and</w:t>
      </w:r>
    </w:p>
    <w:p>
      <w:pPr>
        <w:spacing w:after="40" w:line="252" w:lineRule="auto"/>
        <w:ind w:left="403" w:hanging="230"/>
      </w:pPr>
      <w:r>
        <w:rPr>
          <w:rFonts w:ascii="Times New Roman" w:hAnsi="Times New Roman" w:eastAsia="Times New Roman"/>
          <w:b w:val="0"/>
          <w:i w:val="0"/>
        </w:rPr>
        <w:t>• an entity that, alone or together with another related person, associate entity or a person or entity related to such associate entity, controls or benefits from 50 percent or more of the income, capital or voting rights of an entity.</w:t>
      </w:r>
    </w:p>
    <w:p>
      <w:pPr>
        <w:spacing w:after="80" w:line="252" w:lineRule="auto"/>
        <w:ind w:firstLine="317"/>
      </w:pPr>
      <w:r>
        <w:rPr>
          <w:rFonts w:ascii="Times New Roman" w:hAnsi="Times New Roman" w:eastAsia="Times New Roman"/>
          <w:b w:val="0"/>
          <w:i w:val="0"/>
        </w:rPr>
        <w:t>However, an employee, and a person specified by the Department as not being an associated person, is not an associated person. Detailed explanation and examples of associated persons are provided in Chapter 2 of this Directive.</w:t>
      </w:r>
    </w:p>
    <w:p>
      <w:pPr>
        <w:spacing w:after="40" w:line="252" w:lineRule="auto"/>
      </w:pPr>
      <w:r>
        <w:rPr>
          <w:rFonts w:ascii="Times New Roman" w:hAnsi="Times New Roman" w:eastAsia="Times New Roman"/>
          <w:b/>
          <w:i w:val="0"/>
        </w:rPr>
        <w:t>Arrangement: An arrangement means any act, agreement, rule of mutual dealing, promise, transaction, understanding, deed or other arrangement made directly or indirectly by a person alone or together with one or more persons. Such an arrangement may be enforceable by legal proceedings or may not be enforceable.</w:t>
      </w:r>
    </w:p>
    <w:p>
      <w:pPr>
        <w:spacing w:after="40" w:line="252" w:lineRule="auto"/>
      </w:pPr>
      <w:r>
        <w:rPr>
          <w:rFonts w:ascii="Times New Roman" w:hAnsi="Times New Roman" w:eastAsia="Times New Roman"/>
          <w:b/>
          <w:i w:val="0"/>
        </w:rPr>
        <w:t>Market value: In relation to an asset or service, market value means the ordinary transaction value of the service or asset in ordinary market dealings between unrelated persons.</w:t>
      </w:r>
    </w:p>
    <w:p>
      <w:pPr>
        <w:spacing w:after="40" w:line="252" w:lineRule="auto"/>
      </w:pPr>
      <w:r>
        <w:rPr>
          <w:rFonts w:ascii="Times New Roman" w:hAnsi="Times New Roman" w:eastAsia="Times New Roman"/>
          <w:b/>
          <w:i w:val="0"/>
        </w:rPr>
        <w:t>Arm’s length dealing: An arm’s length dealing means a purchase or sale of an asset or service, or a business transaction, dealing or arrangement between unrelated persons at market value.</w:t>
      </w:r>
    </w:p>
    <w:p>
      <w:pPr>
        <w:spacing w:after="40" w:line="252" w:lineRule="auto"/>
      </w:pPr>
      <w:r>
        <w:rPr>
          <w:rFonts w:ascii="Times New Roman" w:hAnsi="Times New Roman" w:eastAsia="Times New Roman"/>
          <w:b/>
          <w:i w:val="0"/>
        </w:rPr>
        <w:t>Transfer pricing: Transfer pricing means an arrangement among associated persons, especially companies or entities/persons of the same group, or between an enterprise and its foreign branch or foreign permanent establishment in the course of international transactions, by which the tax liability of the group or associated persons is reduced. It includes arrangements made to reduce immediate or long-term tax incidence in one country, to reduce the tax burden of one or more entities, or to reduce the value of one person’s asset or service or plan a transaction so as to increase the value of another person’s asset or service.</w:t>
      </w:r>
    </w:p>
    <w:p>
      <w:pPr>
        <w:spacing w:after="20" w:line="252" w:lineRule="auto"/>
      </w:pPr>
      <w:r>
        <w:rPr>
          <w:rFonts w:ascii="Times New Roman" w:hAnsi="Times New Roman" w:eastAsia="Times New Roman"/>
          <w:b/>
          <w:i w:val="0"/>
        </w:rPr>
        <w:t>Example 7.8.1</w:t>
      </w:r>
    </w:p>
    <w:p>
      <w:pPr>
        <w:spacing w:after="60" w:line="252" w:lineRule="auto"/>
        <w:ind w:firstLine="317"/>
      </w:pPr>
      <w:r>
        <w:rPr>
          <w:rFonts w:ascii="Times New Roman" w:hAnsi="Times New Roman" w:eastAsia="Times New Roman"/>
          <w:b w:val="0"/>
          <w:i w:val="0"/>
        </w:rPr>
        <w:t>ABC Global Incorporated is a foreign company. It has a subsidiary company in Nepal named ABC (Nepal) Pvt. Ltd. ABC (Nepal) Pvt. Ltd. is treated as an associated company of ABC Global Incorporated. Such association may also be a branch established in Nepal or a foreign permanent establishment, not only a subsidiary.</w:t>
      </w:r>
    </w:p>
    <w:p>
      <w:pPr>
        <w:spacing w:after="20" w:line="252" w:lineRule="auto"/>
      </w:pPr>
      <w:r>
        <w:rPr>
          <w:rFonts w:ascii="Times New Roman" w:hAnsi="Times New Roman" w:eastAsia="Times New Roman"/>
          <w:b/>
          <w:i w:val="0"/>
        </w:rPr>
        <w:t>Example 7.8.2</w:t>
      </w:r>
    </w:p>
    <w:p>
      <w:pPr>
        <w:spacing w:after="60" w:line="252" w:lineRule="auto"/>
        <w:ind w:firstLine="317"/>
      </w:pPr>
      <w:r>
        <w:rPr>
          <w:rFonts w:ascii="Times New Roman" w:hAnsi="Times New Roman" w:eastAsia="Times New Roman"/>
          <w:b w:val="0"/>
          <w:i w:val="0"/>
        </w:rPr>
        <w:t>ABC (Nepal) Pvt. Ltd. purchases raw materials from ABC Global Incorporated and exports its products abroad. Most of its products are purchased by ABC Global Incorporated or its associated company, or ABC Global acts as the main distributor. This is an arrangement.</w:t>
      </w:r>
    </w:p>
    <w:p>
      <w:pPr>
        <w:spacing w:after="20" w:line="252" w:lineRule="auto"/>
      </w:pPr>
      <w:r>
        <w:rPr>
          <w:rFonts w:ascii="Times New Roman" w:hAnsi="Times New Roman" w:eastAsia="Times New Roman"/>
          <w:b/>
          <w:i w:val="0"/>
        </w:rPr>
        <w:t>Example 7.8.3</w:t>
      </w:r>
    </w:p>
    <w:p>
      <w:pPr>
        <w:spacing w:after="60" w:line="252" w:lineRule="auto"/>
        <w:ind w:firstLine="317"/>
      </w:pPr>
      <w:r>
        <w:rPr>
          <w:rFonts w:ascii="Times New Roman" w:hAnsi="Times New Roman" w:eastAsia="Times New Roman"/>
          <w:b w:val="0"/>
          <w:i w:val="0"/>
        </w:rPr>
        <w:t>In such a situation, if payments made or received by ABC (Nepal) Pvt. Ltd. for purchase and sale of raw materials or products are higher or lower than the market value based on arm’s length dealing, a transfer pricing arrangement is considered to exist. In other words, if the price payable for the same raw material to a third person, or the price receivable from sale of the product to a third person, would be different, the difference is treated as transfer pricing.</w:t>
      </w:r>
    </w:p>
    <w:p>
      <w:pPr>
        <w:spacing w:after="20" w:line="252" w:lineRule="auto"/>
      </w:pPr>
      <w:r>
        <w:rPr>
          <w:rFonts w:ascii="Times New Roman" w:hAnsi="Times New Roman" w:eastAsia="Times New Roman"/>
          <w:b/>
          <w:i w:val="0"/>
        </w:rPr>
        <w:t>Example 7.8.4</w:t>
      </w:r>
    </w:p>
    <w:p>
      <w:pPr>
        <w:spacing w:after="60" w:line="252" w:lineRule="auto"/>
        <w:ind w:firstLine="317"/>
      </w:pPr>
      <w:r>
        <w:rPr>
          <w:rFonts w:ascii="Times New Roman" w:hAnsi="Times New Roman" w:eastAsia="Times New Roman"/>
          <w:b w:val="0"/>
          <w:i w:val="0"/>
        </w:rPr>
        <w:t>Similarly, where an international contractor undertaking construction or installation work in Nepal purchases equipment from its associated person abroad and the payment is lower or higher than the price prevailing in the same foreign market, the permanent establishment of the contractor is considered to have engaged in a transfer pricing dealing with its head office for profit transfer.</w:t>
      </w:r>
    </w:p>
    <w:p>
      <w:pPr>
        <w:spacing w:after="20" w:line="252" w:lineRule="auto"/>
      </w:pPr>
      <w:r>
        <w:rPr>
          <w:rFonts w:ascii="Times New Roman" w:hAnsi="Times New Roman" w:eastAsia="Times New Roman"/>
          <w:b/>
          <w:i w:val="0"/>
        </w:rPr>
        <w:t>Example 7.8.5</w:t>
      </w:r>
    </w:p>
    <w:p>
      <w:pPr>
        <w:spacing w:after="60" w:line="252" w:lineRule="auto"/>
        <w:ind w:firstLine="317"/>
      </w:pPr>
      <w:r>
        <w:rPr>
          <w:rFonts w:ascii="Times New Roman" w:hAnsi="Times New Roman" w:eastAsia="Times New Roman"/>
          <w:b w:val="0"/>
          <w:i w:val="0"/>
        </w:rPr>
        <w:t>A company "A" registered in country "A" has a chairman who owns 55 percent of company "B". Company "B" has a branch office in India. Company "A" obtains a road construction contract in Nepal. In this situation, the foreign permanent establishment of company "A" in Nepal and the Indian branch of company "B" are associated persons. There is a possibility of transfer pricing in transactions between these two entities. If both entities were registered in Nepal, under the same conditions there could be an opportunity for income splitting.</w:t>
      </w:r>
    </w:p>
    <w:p>
      <w:pPr>
        <w:spacing w:after="20" w:line="252" w:lineRule="auto"/>
      </w:pPr>
      <w:r>
        <w:rPr>
          <w:rFonts w:ascii="Times New Roman" w:hAnsi="Times New Roman" w:eastAsia="Times New Roman"/>
          <w:b/>
          <w:i w:val="0"/>
        </w:rPr>
        <w:t>Example 7.8.6</w:t>
      </w:r>
    </w:p>
    <w:p>
      <w:pPr>
        <w:spacing w:after="60" w:line="252" w:lineRule="auto"/>
        <w:ind w:firstLine="317"/>
      </w:pPr>
      <w:r>
        <w:rPr>
          <w:rFonts w:ascii="Times New Roman" w:hAnsi="Times New Roman" w:eastAsia="Times New Roman"/>
          <w:b w:val="0"/>
          <w:i w:val="0"/>
        </w:rPr>
        <w:t>Company "B", whose 55 percent shareholder is the chairman of company "A" registered in Nepal, invests 60 percent in company "C". Companies "A" and "C" jointly establish company "D". Company "D" purchases 22 percent of company "Ch" and company "A" purchases 30 percent of company "Ch". Company "A" has tax losses carried forward, while company "C" earns good profits. Transactions between these entities may involve transfer pricing through income splitting.</w:t>
      </w:r>
    </w:p>
    <w:p>
      <w:pPr>
        <w:spacing w:after="20" w:line="252" w:lineRule="auto"/>
      </w:pPr>
      <w:r>
        <w:rPr>
          <w:rFonts w:ascii="Times New Roman" w:hAnsi="Times New Roman" w:eastAsia="Times New Roman"/>
          <w:b/>
          <w:i w:val="0"/>
        </w:rPr>
        <w:t>Example 7.8.7</w:t>
      </w:r>
    </w:p>
    <w:p>
      <w:pPr>
        <w:spacing w:after="60" w:line="252" w:lineRule="auto"/>
        <w:ind w:firstLine="317"/>
      </w:pPr>
      <w:r>
        <w:rPr>
          <w:rFonts w:ascii="Times New Roman" w:hAnsi="Times New Roman" w:eastAsia="Times New Roman"/>
          <w:b w:val="0"/>
          <w:i w:val="0"/>
        </w:rPr>
        <w:t>The chairman of company "A" registered in Nepal owns 55 percent of its shares. Company "B", in which the chairman’s brother-in-law owns 52 percent, purchases 51 percent of company "C". Company "A" has past tax losses, while company "C" earns good profits. Transactions between the entities may involve transfer pricing through income splitting.</w:t>
      </w:r>
    </w:p>
    <w:p>
      <w:pPr>
        <w:spacing w:after="20" w:line="252" w:lineRule="auto"/>
      </w:pPr>
      <w:r>
        <w:rPr>
          <w:rFonts w:ascii="Times New Roman" w:hAnsi="Times New Roman" w:eastAsia="Times New Roman"/>
          <w:b/>
          <w:i w:val="0"/>
        </w:rPr>
        <w:t>Example 7.8.8</w:t>
      </w:r>
    </w:p>
    <w:p>
      <w:pPr>
        <w:spacing w:after="60" w:line="252" w:lineRule="auto"/>
        <w:ind w:firstLine="317"/>
      </w:pPr>
      <w:r>
        <w:rPr>
          <w:rFonts w:ascii="Times New Roman" w:hAnsi="Times New Roman" w:eastAsia="Times New Roman"/>
          <w:b w:val="0"/>
          <w:i w:val="0"/>
        </w:rPr>
        <w:t>Company "B", in which company "A" registered in country "A" owns 52 percent, purchases 51 percent of company "C" registered in Nepal. Company "C" earns good profits. To reduce the tax burden while remitting profits to its company, it may purchase goods from company "A" or "B" at prices higher than in the past and thereby create a loss. This creates a possibility of transfer pricing through income splitting among the three entities.</w:t>
      </w:r>
    </w:p>
    <w:p>
      <w:pPr>
        <w:pStyle w:val="Heading3"/>
        <w:spacing w:after="80" w:line="252" w:lineRule="auto"/>
      </w:pPr>
      <w:r>
        <w:rPr>
          <w:rFonts w:ascii="Times New Roman" w:hAnsi="Times New Roman" w:eastAsia="Times New Roman"/>
          <w:b w:val="0"/>
          <w:i w:val="0"/>
        </w:rPr>
        <w:t>7.8.2 Tax treatment where transfer pricing exists</w:t>
      </w:r>
    </w:p>
    <w:p>
      <w:pPr>
        <w:spacing w:after="80" w:line="252" w:lineRule="auto"/>
        <w:ind w:firstLine="317"/>
      </w:pPr>
      <w:r>
        <w:rPr>
          <w:rFonts w:ascii="Times New Roman" w:hAnsi="Times New Roman" w:eastAsia="Times New Roman"/>
          <w:b w:val="0"/>
          <w:i w:val="0"/>
        </w:rPr>
        <w:t>Section 33 provides as follows regarding tax treatment of transfer pricing and other arrangements between associated persons:</w:t>
      </w:r>
    </w:p>
    <w:p>
      <w:pPr>
        <w:spacing w:after="80" w:line="252" w:lineRule="auto"/>
        <w:ind w:left="317"/>
      </w:pPr>
      <w:r>
        <w:rPr>
          <w:rFonts w:ascii="Times New Roman" w:hAnsi="Times New Roman" w:eastAsia="Times New Roman"/>
          <w:b w:val="0"/>
          <w:i/>
          <w:sz w:val="18"/>
        </w:rPr>
        <w:t>33(1) Where an arrangement exists between associated persons, the Department may, by written notice, distribute, allocate or apportion amounts to be included or deducted in computing income between those persons so as to reflect the taxable income or tax payable that would have arisen for them if the arrangement had been conducted according to arm’s length dealing.</w:t>
      </w:r>
    </w:p>
    <w:p>
      <w:pPr>
        <w:spacing w:after="80" w:line="252" w:lineRule="auto"/>
        <w:ind w:left="317"/>
      </w:pPr>
      <w:r>
        <w:rPr>
          <w:rFonts w:ascii="Times New Roman" w:hAnsi="Times New Roman" w:eastAsia="Times New Roman"/>
          <w:b w:val="0"/>
          <w:i/>
          <w:sz w:val="18"/>
        </w:rPr>
        <w:t>33(2) In doing anything mentioned in sub-section (1), the Department may: (a) re-characterise the source and type of any income, loss, amount or payment; or (b) allocate among associated persons, on a comparative basis of business transactions, expenses including head office expenses incurred by a person in conducting a business where associated persons have benefited from such expenses.</w:t>
      </w:r>
    </w:p>
    <w:p>
      <w:pPr>
        <w:spacing w:after="80" w:line="252" w:lineRule="auto"/>
        <w:ind w:left="317"/>
      </w:pPr>
      <w:r>
        <w:rPr>
          <w:rFonts w:ascii="Times New Roman" w:hAnsi="Times New Roman" w:eastAsia="Times New Roman"/>
          <w:b w:val="0"/>
          <w:i/>
          <w:sz w:val="18"/>
        </w:rPr>
        <w:t>33(3) The method of valuation of transfer pricing between associated persons under this section shall be as determined by the Department.</w:t>
      </w:r>
    </w:p>
    <w:p>
      <w:pPr>
        <w:spacing w:after="80" w:line="252" w:lineRule="auto"/>
        <w:ind w:firstLine="317"/>
      </w:pPr>
      <w:r>
        <w:rPr>
          <w:rFonts w:ascii="Times New Roman" w:hAnsi="Times New Roman" w:eastAsia="Times New Roman"/>
          <w:b w:val="0"/>
          <w:i w:val="0"/>
        </w:rPr>
        <w:t>The Transfer Pricing Directive, 2081 issued in Ashwin 2081 prescribes in Chapter 5 the methods of arm’s length price determination. According to the Directive, associated persons with cross-border transactions must, subject to the Directive and based on comparability analysis, select an appropriate method from the following:</w:t>
      </w:r>
    </w:p>
    <w:p>
      <w:pPr>
        <w:spacing w:after="40" w:line="252" w:lineRule="auto"/>
        <w:ind w:left="403" w:hanging="230"/>
      </w:pPr>
      <w:r>
        <w:rPr>
          <w:rFonts w:ascii="Times New Roman" w:hAnsi="Times New Roman" w:eastAsia="Times New Roman"/>
          <w:b w:val="0"/>
          <w:i w:val="0"/>
        </w:rPr>
        <w:t>1. Comparable Uncontrolled Price Method;</w:t>
      </w:r>
    </w:p>
    <w:p>
      <w:pPr>
        <w:spacing w:after="40" w:line="252" w:lineRule="auto"/>
        <w:ind w:left="403" w:hanging="230"/>
      </w:pPr>
      <w:r>
        <w:rPr>
          <w:rFonts w:ascii="Times New Roman" w:hAnsi="Times New Roman" w:eastAsia="Times New Roman"/>
          <w:b w:val="0"/>
          <w:i w:val="0"/>
        </w:rPr>
        <w:t>2. Resale Price Method;</w:t>
      </w:r>
    </w:p>
    <w:p>
      <w:pPr>
        <w:spacing w:after="40" w:line="252" w:lineRule="auto"/>
        <w:ind w:left="403" w:hanging="230"/>
      </w:pPr>
      <w:r>
        <w:rPr>
          <w:rFonts w:ascii="Times New Roman" w:hAnsi="Times New Roman" w:eastAsia="Times New Roman"/>
          <w:b w:val="0"/>
          <w:i w:val="0"/>
        </w:rPr>
        <w:t>3. Cost Plus Method;</w:t>
      </w:r>
    </w:p>
    <w:p>
      <w:pPr>
        <w:spacing w:after="40" w:line="252" w:lineRule="auto"/>
        <w:ind w:left="403" w:hanging="230"/>
      </w:pPr>
      <w:r>
        <w:rPr>
          <w:rFonts w:ascii="Times New Roman" w:hAnsi="Times New Roman" w:eastAsia="Times New Roman"/>
          <w:b w:val="0"/>
          <w:i w:val="0"/>
        </w:rPr>
        <w:t>4. Transactional Net Margin Method;</w:t>
      </w:r>
    </w:p>
    <w:p>
      <w:pPr>
        <w:spacing w:after="40" w:line="252" w:lineRule="auto"/>
        <w:ind w:left="403" w:hanging="230"/>
      </w:pPr>
      <w:r>
        <w:rPr>
          <w:rFonts w:ascii="Times New Roman" w:hAnsi="Times New Roman" w:eastAsia="Times New Roman"/>
          <w:b w:val="0"/>
          <w:i w:val="0"/>
        </w:rPr>
        <w:t>5. Transactional Profit Split Method.</w:t>
      </w:r>
    </w:p>
    <w:p>
      <w:pPr>
        <w:spacing w:after="80" w:line="252" w:lineRule="auto"/>
        <w:ind w:firstLine="317"/>
      </w:pPr>
      <w:r>
        <w:rPr>
          <w:rFonts w:ascii="Times New Roman" w:hAnsi="Times New Roman" w:eastAsia="Times New Roman"/>
          <w:b w:val="0"/>
          <w:i w:val="0"/>
        </w:rPr>
        <w:t>Rule 15 of the Income Tax Rules, 2059 contains provisions for advance pricing determination. Where one or more persons request in writing for clarity regarding distribution, allocation or apportionment by the Department on an arm’s length basis of amounts included or deducted in computing a person’s income under section 33(1), the Department may issue written notice for a period not exceeding five income years at a time, and such notice may be renewable. The notice is binding on the Department and on the requesting party, but it becomes inactive if the Department agrees to a request made by the applicant.</w:t>
      </w:r>
    </w:p>
    <w:p>
      <w:pPr>
        <w:spacing w:after="80" w:line="252" w:lineRule="auto"/>
        <w:ind w:firstLine="317"/>
      </w:pPr>
      <w:r>
        <w:rPr>
          <w:rFonts w:ascii="Times New Roman" w:hAnsi="Times New Roman" w:eastAsia="Times New Roman"/>
          <w:b w:val="0"/>
          <w:i w:val="0"/>
        </w:rPr>
        <w:t>Where an arrangement exists between associated persons, the Department or subordinate office may issue written notice and distribute, allocate or apportion inclusions and deductions so that taxable income or tax payable reflects the amount that would have arisen under arm’s length dealing. While doing so, the Department may re-characterise the source and type of any income, loss, amount or payment. It may also apportion among associated persons expenses such as head office expenses from which associated persons have benefited, based on comparative business transactions.</w:t>
      </w:r>
    </w:p>
    <w:p>
      <w:pPr>
        <w:spacing w:after="20" w:line="252" w:lineRule="auto"/>
      </w:pPr>
      <w:r>
        <w:rPr>
          <w:rFonts w:ascii="Times New Roman" w:hAnsi="Times New Roman" w:eastAsia="Times New Roman"/>
          <w:b/>
          <w:i w:val="0"/>
        </w:rPr>
        <w:t>Example 7.8.9</w:t>
      </w:r>
    </w:p>
    <w:p>
      <w:pPr>
        <w:spacing w:after="60" w:line="252" w:lineRule="auto"/>
        <w:ind w:firstLine="317"/>
      </w:pPr>
      <w:r>
        <w:rPr>
          <w:rFonts w:ascii="Times New Roman" w:hAnsi="Times New Roman" w:eastAsia="Times New Roman"/>
          <w:b w:val="0"/>
          <w:i w:val="0"/>
        </w:rPr>
        <w:t>If ABC Global Incorporated in Example 7.8.1 sells raw materials to ABC (Nepal) Pvt. Ltd. at Rs. 3 per unit, but the price of the same goods in the foreign market is Rs. 2.50, the Department may disallow the expense claim at Rs. 3 per unit and recalculate it at Rs. 2.50 per unit by issuing notice or through revised assessment. Likewise, if ABC (Nepal) sells its products to ABC Global Incorporated at Rs. 5 per unit but the foreign market price is Rs. 6 per unit, the Department may re-characterise the income of ABC (Nepal) to include the difference of Rs. 1 per unit.</w:t>
      </w:r>
    </w:p>
    <w:p>
      <w:pPr>
        <w:spacing w:after="20" w:line="252" w:lineRule="auto"/>
      </w:pPr>
      <w:r>
        <w:rPr>
          <w:rFonts w:ascii="Times New Roman" w:hAnsi="Times New Roman" w:eastAsia="Times New Roman"/>
          <w:b/>
          <w:i w:val="0"/>
        </w:rPr>
        <w:t>Example 7.8.10</w:t>
      </w:r>
    </w:p>
    <w:p>
      <w:pPr>
        <w:spacing w:after="60" w:line="252" w:lineRule="auto"/>
        <w:ind w:firstLine="317"/>
      </w:pPr>
      <w:r>
        <w:rPr>
          <w:rFonts w:ascii="Times New Roman" w:hAnsi="Times New Roman" w:eastAsia="Times New Roman"/>
          <w:b w:val="0"/>
          <w:i w:val="0"/>
        </w:rPr>
        <w:t>If an international contractor working in Nepal claims head office expenses in excess of the proportion attributable to work performed in Nepal, only the Nepal-related share of the expense may be allowed as deduction and the Department may disallow the balance.</w:t>
      </w:r>
    </w:p>
    <w:p>
      <w:pPr>
        <w:pStyle w:val="Heading2"/>
        <w:spacing w:after="80" w:line="252" w:lineRule="auto"/>
      </w:pPr>
      <w:r>
        <w:rPr>
          <w:rFonts w:ascii="Times New Roman" w:hAnsi="Times New Roman" w:eastAsia="Times New Roman"/>
          <w:b w:val="0"/>
          <w:i w:val="0"/>
        </w:rPr>
        <w:t>7.9 Income Splitting</w:t>
      </w:r>
    </w:p>
    <w:p>
      <w:pPr>
        <w:pStyle w:val="Heading3"/>
        <w:spacing w:after="80" w:line="252" w:lineRule="auto"/>
      </w:pPr>
      <w:r>
        <w:rPr>
          <w:rFonts w:ascii="Times New Roman" w:hAnsi="Times New Roman" w:eastAsia="Times New Roman"/>
          <w:b w:val="0"/>
          <w:i w:val="0"/>
        </w:rPr>
        <w:t>7.9.1 Concept of income splitting</w:t>
      </w:r>
    </w:p>
    <w:p>
      <w:pPr>
        <w:spacing w:after="80" w:line="252" w:lineRule="auto"/>
        <w:ind w:firstLine="317"/>
      </w:pPr>
      <w:r>
        <w:rPr>
          <w:rFonts w:ascii="Times New Roman" w:hAnsi="Times New Roman" w:eastAsia="Times New Roman"/>
          <w:b w:val="0"/>
          <w:i w:val="0"/>
        </w:rPr>
        <w:t>Income splitting is an arrangement that reduces present or future tax by creating a structure for deriving income in a way that can reduce tax. Transfer pricing is also a form of income splitting, but transfer pricing occurs only between associated persons, whereas income splitting may occur in other situations as well. In Nepal, because tax is imposed on the basis of family structure and the individual, income splitting may occur on a significant scale. Progressive tax rates and mismatches between family structures and tax structures create a basis for income splitting. If taxable income is distributed so that lower tax rates are used among persons to reduce the tax burden, income splitting occurs. For example, where tax rates of 10 percent and 20 percent apply and a person still has unused capacity within the 10 percent bracket, shifting income or payment to that person while receiving indirect payment in return is income splitting. It may also occur where an industrial enterprise receiving a preferential rate arranges with another person or enterprise to share the tax burden. When a lower tax burden is shared, the person conferring the tax benefit normally receives some indirect payment or benefit.</w:t>
      </w:r>
    </w:p>
    <w:p>
      <w:pPr>
        <w:spacing w:after="80" w:line="252" w:lineRule="auto"/>
        <w:ind w:firstLine="317"/>
      </w:pPr>
      <w:r>
        <w:rPr>
          <w:rFonts w:ascii="Times New Roman" w:hAnsi="Times New Roman" w:eastAsia="Times New Roman"/>
          <w:b w:val="0"/>
          <w:i w:val="0"/>
        </w:rPr>
        <w:t>In summary, income splitting may occur through the following:</w:t>
      </w:r>
    </w:p>
    <w:p>
      <w:pPr>
        <w:spacing w:after="40" w:line="252" w:lineRule="auto"/>
        <w:ind w:left="403" w:hanging="230"/>
      </w:pPr>
      <w:r>
        <w:rPr>
          <w:rFonts w:ascii="Times New Roman" w:hAnsi="Times New Roman" w:eastAsia="Times New Roman"/>
          <w:b w:val="0"/>
          <w:i w:val="0"/>
        </w:rPr>
        <w:t>• offsetting the effect of progressive tax rates;</w:t>
      </w:r>
    </w:p>
    <w:p>
      <w:pPr>
        <w:spacing w:after="40" w:line="252" w:lineRule="auto"/>
        <w:ind w:left="403" w:hanging="230"/>
      </w:pPr>
      <w:r>
        <w:rPr>
          <w:rFonts w:ascii="Times New Roman" w:hAnsi="Times New Roman" w:eastAsia="Times New Roman"/>
          <w:b w:val="0"/>
          <w:i w:val="0"/>
        </w:rPr>
        <w:t>• matching social or family structures with the structure of the tax base;</w:t>
      </w:r>
    </w:p>
    <w:p>
      <w:pPr>
        <w:spacing w:after="40" w:line="252" w:lineRule="auto"/>
        <w:ind w:left="403" w:hanging="230"/>
      </w:pPr>
      <w:r>
        <w:rPr>
          <w:rFonts w:ascii="Times New Roman" w:hAnsi="Times New Roman" w:eastAsia="Times New Roman"/>
          <w:b w:val="0"/>
          <w:i w:val="0"/>
        </w:rPr>
        <w:t>• matching tax exemption or industrial concession arrangements;</w:t>
      </w:r>
    </w:p>
    <w:p>
      <w:pPr>
        <w:spacing w:after="40" w:line="252" w:lineRule="auto"/>
        <w:ind w:left="403" w:hanging="230"/>
      </w:pPr>
      <w:r>
        <w:rPr>
          <w:rFonts w:ascii="Times New Roman" w:hAnsi="Times New Roman" w:eastAsia="Times New Roman"/>
          <w:b w:val="0"/>
          <w:i w:val="0"/>
        </w:rPr>
        <w:t>• transferring income or expenses that do not exist;</w:t>
      </w:r>
    </w:p>
    <w:p>
      <w:pPr>
        <w:spacing w:after="40" w:line="252" w:lineRule="auto"/>
        <w:ind w:left="403" w:hanging="230"/>
      </w:pPr>
      <w:r>
        <w:rPr>
          <w:rFonts w:ascii="Times New Roman" w:hAnsi="Times New Roman" w:eastAsia="Times New Roman"/>
          <w:b w:val="0"/>
          <w:i w:val="0"/>
        </w:rPr>
        <w:t>• converting expenses from income subject to concessionary tax rates into expenses for income subject to normal tax rates;</w:t>
      </w:r>
    </w:p>
    <w:p>
      <w:pPr>
        <w:spacing w:after="40" w:line="252" w:lineRule="auto"/>
        <w:ind w:left="403" w:hanging="230"/>
      </w:pPr>
      <w:r>
        <w:rPr>
          <w:rFonts w:ascii="Times New Roman" w:hAnsi="Times New Roman" w:eastAsia="Times New Roman"/>
          <w:b w:val="0"/>
          <w:i w:val="0"/>
        </w:rPr>
        <w:t>• converting business activities into income subject to final withholding tax;</w:t>
      </w:r>
    </w:p>
    <w:p>
      <w:pPr>
        <w:spacing w:after="40" w:line="252" w:lineRule="auto"/>
        <w:ind w:left="403" w:hanging="230"/>
      </w:pPr>
      <w:r>
        <w:rPr>
          <w:rFonts w:ascii="Times New Roman" w:hAnsi="Times New Roman" w:eastAsia="Times New Roman"/>
          <w:b w:val="0"/>
          <w:i w:val="0"/>
        </w:rPr>
        <w:t>• making other arrangements that reduce tax.</w:t>
      </w:r>
    </w:p>
    <w:p>
      <w:pPr>
        <w:pStyle w:val="Heading3"/>
        <w:spacing w:after="80" w:line="252" w:lineRule="auto"/>
      </w:pPr>
      <w:r>
        <w:rPr>
          <w:rFonts w:ascii="Times New Roman" w:hAnsi="Times New Roman" w:eastAsia="Times New Roman"/>
          <w:b w:val="0"/>
          <w:i w:val="0"/>
        </w:rPr>
        <w:t>7.9.2 Tax treatment of income splitting</w:t>
      </w:r>
    </w:p>
    <w:p>
      <w:pPr>
        <w:spacing w:after="80" w:line="252" w:lineRule="auto"/>
        <w:ind w:firstLine="317"/>
      </w:pPr>
      <w:r>
        <w:rPr>
          <w:rFonts w:ascii="Times New Roman" w:hAnsi="Times New Roman" w:eastAsia="Times New Roman"/>
          <w:b w:val="0"/>
          <w:i w:val="0"/>
        </w:rPr>
        <w:t>Section 34 provides as follows regarding tax treatment of income splitting:</w:t>
      </w:r>
    </w:p>
    <w:p>
      <w:pPr>
        <w:spacing w:after="80" w:line="252" w:lineRule="auto"/>
        <w:ind w:left="317"/>
      </w:pPr>
      <w:r>
        <w:rPr>
          <w:rFonts w:ascii="Times New Roman" w:hAnsi="Times New Roman" w:eastAsia="Times New Roman"/>
          <w:b w:val="0"/>
          <w:i/>
          <w:sz w:val="18"/>
        </w:rPr>
        <w:t>34(1) Where a person attempts to split income with another person and it appears that tax payable would be reduced as a result, the Department may, by written notice, adjust amounts included or deducted in computing the income of each person so that the liability is not reduced.</w:t>
      </w:r>
    </w:p>
    <w:p>
      <w:pPr>
        <w:spacing w:after="80" w:line="252" w:lineRule="auto"/>
        <w:ind w:left="317"/>
      </w:pPr>
      <w:r>
        <w:rPr>
          <w:rFonts w:ascii="Times New Roman" w:hAnsi="Times New Roman" w:eastAsia="Times New Roman"/>
          <w:b w:val="0"/>
          <w:i/>
          <w:sz w:val="18"/>
        </w:rPr>
        <w:t>34(2) The situations referred to in sub-section (1) include attempts to split income by direct or indirect transfer, through one or more interposed entities, between a person and an associated person, of: (a) amounts to be received or expenses to be incurred; or (b) amounts to be received or enjoyed by a transferee of an asset from that asset, or expenses borne or payments made for ownership of that asset, where the purpose of the transfer is to reduce tax payable by the person or associated person.</w:t>
      </w:r>
    </w:p>
    <w:p>
      <w:pPr>
        <w:spacing w:after="80" w:line="252" w:lineRule="auto"/>
        <w:ind w:left="317"/>
      </w:pPr>
      <w:r>
        <w:rPr>
          <w:rFonts w:ascii="Times New Roman" w:hAnsi="Times New Roman" w:eastAsia="Times New Roman"/>
          <w:b w:val="0"/>
          <w:i/>
          <w:sz w:val="18"/>
        </w:rPr>
        <w:t>34(3) In determining whether a person has attempted to split income under sub-section (2), the Department shall use the market value of any payment made for the transfer as a basis.</w:t>
      </w:r>
    </w:p>
    <w:p>
      <w:pPr>
        <w:spacing w:after="80" w:line="252" w:lineRule="auto"/>
        <w:ind w:firstLine="317"/>
      </w:pPr>
      <w:r>
        <w:rPr>
          <w:rFonts w:ascii="Times New Roman" w:hAnsi="Times New Roman" w:eastAsia="Times New Roman"/>
          <w:b w:val="0"/>
          <w:i w:val="0"/>
        </w:rPr>
        <w:t>If a person attempts to split income with another person and, because of that attempt, the tax payable would be reduced, the Department or subordinate office may issue written notice and adjust inclusions or deductions in computing the income of each person as necessary. The Department bases its determination of attempted income splitting on the market value of any payment made for the transfer. Where direct or indirect transfer of income or expenses through interposed entities between a person and an associated person reduces tax, the transaction is treated as income splitting and adjusted accordingly. Similarly, a transfer relating to amounts or benefits from an asset, or expenses or payments borne for ownership of an asset, may be adjusted as income splitting where it reduces tax liability.</w:t>
      </w:r>
    </w:p>
    <w:p>
      <w:pPr>
        <w:pStyle w:val="Heading2"/>
        <w:spacing w:after="80" w:line="252" w:lineRule="auto"/>
      </w:pPr>
      <w:r>
        <w:rPr>
          <w:rFonts w:ascii="Times New Roman" w:hAnsi="Times New Roman" w:eastAsia="Times New Roman"/>
          <w:b w:val="0"/>
          <w:i w:val="0"/>
        </w:rPr>
        <w:t>7.10 General Anti-Avoidance Rule</w:t>
      </w:r>
    </w:p>
    <w:p>
      <w:pPr>
        <w:pStyle w:val="Heading3"/>
        <w:spacing w:after="80" w:line="252" w:lineRule="auto"/>
      </w:pPr>
      <w:r>
        <w:rPr>
          <w:rFonts w:ascii="Times New Roman" w:hAnsi="Times New Roman" w:eastAsia="Times New Roman"/>
          <w:b w:val="0"/>
          <w:i w:val="0"/>
        </w:rPr>
        <w:t>7.10.1 Concept of the General Anti-Avoidance Rule</w:t>
      </w:r>
    </w:p>
    <w:p>
      <w:pPr>
        <w:spacing w:after="80" w:line="252" w:lineRule="auto"/>
        <w:ind w:firstLine="317"/>
      </w:pPr>
      <w:r>
        <w:rPr>
          <w:rFonts w:ascii="Times New Roman" w:hAnsi="Times New Roman" w:eastAsia="Times New Roman"/>
          <w:b w:val="0"/>
          <w:i w:val="0"/>
        </w:rPr>
        <w:t>A tax avoidance scheme means an arrangement whose main purpose is to avoid tax liability or reduce tax liability. Such an arrangement may be made together with other persons, or by the taxpayer alone in relation to the taxpayer’s enterprise or transaction. Although there may be other minor purposes for such an arrangement, if, upon examination, the main purpose is found to be tax avoidance, the tax administration may disregard the scheme, determine the tax liability that would have arisen in the absence of the scheme, and make an assessment. In modern tax law, this general authority to disregard tax avoidance arrangements is known as the General Anti-Avoidance Rule, or GAAR.</w:t>
      </w:r>
    </w:p>
    <w:p>
      <w:pPr>
        <w:spacing w:after="80" w:line="252" w:lineRule="auto"/>
        <w:ind w:firstLine="317"/>
      </w:pPr>
      <w:r>
        <w:rPr>
          <w:rFonts w:ascii="Times New Roman" w:hAnsi="Times New Roman" w:eastAsia="Times New Roman"/>
          <w:b w:val="0"/>
          <w:i w:val="0"/>
        </w:rPr>
        <w:t>GAAR originated in various countries, such as Australia and New Zealand, through court decisions. Where a tax system taxes different transactions, enterprises or types of income differently, taxpayers may exploit complexity to make arrangements that are not commercially necessary or naturally required in the course of transactions, but are made only to avoid or reduce tax liability. Courts have disregarded such arrangements as contrary to the fundamental objective of income tax law and as creating an artificial situation in which the State does not receive the revenue it should justly receive. This principle has gradually been established as a statutory doctrine, and the Income Tax Act, 2058 also contains provisions on GAAR.</w:t>
      </w:r>
    </w:p>
    <w:p>
      <w:pPr>
        <w:pStyle w:val="Heading3"/>
        <w:spacing w:after="80" w:line="252" w:lineRule="auto"/>
      </w:pPr>
      <w:r>
        <w:rPr>
          <w:rFonts w:ascii="Times New Roman" w:hAnsi="Times New Roman" w:eastAsia="Times New Roman"/>
          <w:b w:val="0"/>
          <w:i w:val="0"/>
        </w:rPr>
        <w:t>7.10.2 Implementation of the General Anti-Avoidance Rule (GAAR)</w:t>
      </w:r>
    </w:p>
    <w:p>
      <w:pPr>
        <w:spacing w:after="80" w:line="252" w:lineRule="auto"/>
        <w:ind w:firstLine="317"/>
      </w:pPr>
      <w:r>
        <w:rPr>
          <w:rFonts w:ascii="Times New Roman" w:hAnsi="Times New Roman" w:eastAsia="Times New Roman"/>
          <w:b w:val="0"/>
          <w:i w:val="0"/>
        </w:rPr>
        <w:t>Section 35 provides as follows regarding implementation of GAAR:</w:t>
      </w:r>
    </w:p>
    <w:p>
      <w:pPr>
        <w:spacing w:after="80" w:line="252" w:lineRule="auto"/>
        <w:ind w:left="317"/>
      </w:pPr>
      <w:r>
        <w:rPr>
          <w:rFonts w:ascii="Times New Roman" w:hAnsi="Times New Roman" w:eastAsia="Times New Roman"/>
          <w:b w:val="0"/>
          <w:i/>
          <w:sz w:val="18"/>
        </w:rPr>
        <w:t>35. For the purpose of determining tax liability under this Act, the Department may: (a) re-characterise any arrangement, or part of an arrangement, made or attempted to be made as part of a tax avoidance scheme; (b) disregard any arrangement, or part of an arrangement, that does not show any substantial economic effect; or (c) re-characterise any arrangement, or part of an arrangement, that does not show substance.</w:t>
      </w:r>
    </w:p>
    <w:p>
      <w:pPr>
        <w:spacing w:after="80" w:line="252" w:lineRule="auto"/>
        <w:ind w:left="317"/>
      </w:pPr>
      <w:r>
        <w:rPr>
          <w:rFonts w:ascii="Times New Roman" w:hAnsi="Times New Roman" w:eastAsia="Times New Roman"/>
          <w:b w:val="0"/>
          <w:i/>
          <w:sz w:val="18"/>
        </w:rPr>
        <w:t>Explanation: For the purposes of this section, "tax avoidance scheme" means an arrangement whose main purpose is to avoid or reduce tax liability.</w:t>
      </w:r>
    </w:p>
    <w:p>
      <w:pPr>
        <w:spacing w:after="80" w:line="252" w:lineRule="auto"/>
        <w:ind w:firstLine="317"/>
      </w:pPr>
      <w:r>
        <w:rPr>
          <w:rFonts w:ascii="Times New Roman" w:hAnsi="Times New Roman" w:eastAsia="Times New Roman"/>
          <w:b w:val="0"/>
          <w:i w:val="0"/>
        </w:rPr>
        <w:t>Under the Income Tax Act, 2058, for determining tax liability, the Department or subordinate office may re-characterise an arrangement, or part of an arrangement, made or attempted to be made as part of a tax avoidance scheme. This means that the arrangement need not be interpreted according to its written form if such interpretation would reduce tax. Similarly, if an arrangement or part of an arrangement does not show substantial economic effect, the Department or office may disregard it. Where the form of an arrangement does not reflect its substance, the Department or office may disregard or re-characterise the arrangement or part of it and determine the tax liability accordingly.</w:t>
      </w:r>
    </w:p>
    <w:p>
      <w:pPr>
        <w:spacing w:after="80" w:line="252" w:lineRule="auto"/>
        <w:ind w:firstLine="317"/>
      </w:pPr>
      <w:r>
        <w:rPr>
          <w:rFonts w:ascii="Times New Roman" w:hAnsi="Times New Roman" w:eastAsia="Times New Roman"/>
          <w:b w:val="0"/>
          <w:i w:val="0"/>
        </w:rPr>
        <w:t>The Income Tax Act, 2058 contains separate special provisions to prevent tax avoidance through transfer pricing, income splitting, dividend stripping, and arrangements with associated persons or tax-exempt persons that reduce capital, such as thin capitalisation. In addition to those specific provisions, the Act gives the tax administration the power under GAAR to disregard and re-characterise any arrangement, transaction or scheme designed to avoid or reduce tax, affecting both inclusions and deductions. It is not possible to describe the full scope of this authority in the Act or Rules because modern transactions, including electronic transactions, become increasingly complex over time. The principle can be stated that, within the scope of the general rule that tax applies to all income-generating transactions, a tax avoidance scheme may be disregarded; however, all possible future situations cannot be exhaustively described.</w:t>
      </w:r>
    </w:p>
    <w:p>
      <w:pPr>
        <w:spacing w:after="80" w:line="252" w:lineRule="auto"/>
        <w:ind w:firstLine="317"/>
      </w:pPr>
      <w:r>
        <w:rPr>
          <w:rFonts w:ascii="Times New Roman" w:hAnsi="Times New Roman" w:eastAsia="Times New Roman"/>
          <w:b w:val="0"/>
          <w:i w:val="0"/>
        </w:rPr>
        <w:t>For this reason, tax administration must be very careful in applying GAAR. It must understand ordinary business practices and determine whether an arrangement has a real economic effect connected with modern business. It must distinguish between a scheme encouraged by the State to promote a specified economic or business sector, which is tax planning, and a scheme whose only purpose is tax avoidance without economic effect. For example, if a concessional tax rate is provided to promote industry in Himalayan areas and an enterprise establishes an industry in such an area and earns income there, the concession should be treated as a State-intended incentive and GAAR should not apply. However, if an arrangement is made only on paper to fit within the Act while the real economic effect - employment, production and physical infrastructure - remains in an urban area, GAAR should be applied and the arrangement disregarded.</w:t>
      </w:r>
    </w:p>
    <w:p>
      <w:pPr>
        <w:spacing w:after="80" w:line="252" w:lineRule="auto"/>
        <w:ind w:firstLine="317"/>
      </w:pPr>
      <w:r>
        <w:rPr>
          <w:rFonts w:ascii="Times New Roman" w:hAnsi="Times New Roman" w:eastAsia="Times New Roman"/>
          <w:b w:val="0"/>
          <w:i w:val="0"/>
        </w:rPr>
        <w:t>To prevent misuse of GAAR, and to ensure that ordinary commercial practice or State-granted incentives are not denied, the Department should regulate its application through administrative instructions, departmental control, public circulars or directives. Taxpayers and tax professionals should also seriously consider the difference between tax planning and tax avoidance and avoid arrangements made solely to avoid tax. Purely commercial transactions or transactions arising from business relationships should not be manipulated through accounts merely for the purpose of tax avoidance.</w:t>
      </w:r>
    </w:p>
    <w:p>
      <w:r>
        <w:br w:type="page"/>
      </w:r>
    </w:p>
    <w:p>
      <w:pPr>
        <w:spacing w:after="160" w:line="252" w:lineRule="auto"/>
        <w:jc w:val="center"/>
      </w:pPr>
      <w:r>
        <w:rPr>
          <w:rFonts w:ascii="Times New Roman" w:hAnsi="Times New Roman" w:eastAsia="Times New Roman"/>
          <w:b/>
          <w:i w:val="0"/>
        </w:rPr>
        <w:t>Income Tax Directive, 2066</w:t>
      </w:r>
    </w:p>
    <w:p>
      <w:pPr>
        <w:spacing w:after="160" w:line="252" w:lineRule="auto"/>
        <w:jc w:val="center"/>
      </w:pPr>
      <w:r>
        <w:rPr>
          <w:rFonts w:ascii="Times New Roman" w:hAnsi="Times New Roman" w:eastAsia="Times New Roman"/>
          <w:b/>
          <w:i w:val="0"/>
        </w:rPr>
        <w:t>(Fifth Amendment, 2081)</w:t>
      </w:r>
    </w:p>
    <w:p>
      <w:pPr>
        <w:spacing w:after="160" w:line="252" w:lineRule="auto"/>
        <w:jc w:val="center"/>
      </w:pPr>
      <w:r>
        <w:rPr>
          <w:rFonts w:ascii="Times New Roman" w:hAnsi="Times New Roman" w:eastAsia="Times New Roman"/>
          <w:b/>
          <w:i w:val="0"/>
        </w:rPr>
        <w:t>English Translation - Part 8</w:t>
      </w:r>
    </w:p>
    <w:p>
      <w:pPr>
        <w:spacing w:after="160" w:line="252" w:lineRule="auto"/>
        <w:jc w:val="center"/>
      </w:pPr>
      <w:r>
        <w:rPr>
          <w:rFonts w:ascii="Times New Roman" w:hAnsi="Times New Roman" w:eastAsia="Times New Roman"/>
          <w:b/>
          <w:i w:val="0"/>
        </w:rPr>
        <w:t>Chapter 8: Tax Accounting and Timing</w:t>
      </w:r>
    </w:p>
    <w:p>
      <w:pPr>
        <w:spacing w:after="280" w:line="252" w:lineRule="auto"/>
        <w:jc w:val="center"/>
      </w:pPr>
      <w:r>
        <w:rPr>
          <w:rFonts w:ascii="Times New Roman" w:hAnsi="Times New Roman" w:eastAsia="Times New Roman"/>
          <w:b w:val="0"/>
          <w:i/>
        </w:rPr>
        <w:t>Translated from the uploaded Nepali PDF while preserving the structure, numbering and legal meaning as far as practicable. Statutory expressions are aligned with the English terminology used in the official English Income Tax Act, 2002 (2058), published by the Inland Revenue Department, wherever applicable.</w:t>
      </w:r>
    </w:p>
    <w:p>
      <w:r>
        <w:rPr>
          <w:rFonts w:ascii="Times New Roman" w:hAnsi="Times New Roman" w:eastAsia="Times New Roman"/>
        </w:rPr>
        <w:br w:type="page"/>
      </w:r>
    </w:p>
    <w:p>
      <w:pPr>
        <w:spacing w:after="40" w:line="252" w:lineRule="auto"/>
        <w:jc w:val="center"/>
      </w:pPr>
      <w:r>
        <w:rPr>
          <w:rFonts w:ascii="Times New Roman" w:hAnsi="Times New Roman" w:eastAsia="Times New Roman"/>
          <w:b/>
          <w:i w:val="0"/>
        </w:rPr>
        <w:t>Chapter 8</w:t>
      </w:r>
    </w:p>
    <w:p>
      <w:pPr>
        <w:spacing w:after="40" w:line="252" w:lineRule="auto"/>
        <w:jc w:val="center"/>
      </w:pPr>
      <w:r>
        <w:rPr>
          <w:rFonts w:ascii="Times New Roman" w:hAnsi="Times New Roman" w:eastAsia="Times New Roman"/>
          <w:b/>
          <w:i w:val="0"/>
        </w:rPr>
        <w:t>Tax Accounting and Timing</w:t>
      </w:r>
    </w:p>
    <w:p>
      <w:pPr>
        <w:spacing w:after="240" w:line="252" w:lineRule="auto"/>
        <w:jc w:val="center"/>
      </w:pPr>
      <w:r>
        <w:rPr>
          <w:rFonts w:ascii="Times New Roman" w:hAnsi="Times New Roman" w:eastAsia="Times New Roman"/>
          <w:b w:val="0"/>
          <w:i/>
        </w:rPr>
        <w:t>(Tax Accounting and Timing)</w:t>
      </w:r>
    </w:p>
    <w:p>
      <w:pPr>
        <w:pStyle w:val="Heading2"/>
        <w:spacing w:after="80" w:line="252" w:lineRule="auto"/>
      </w:pPr>
      <w:r>
        <w:rPr>
          <w:rFonts w:ascii="Times New Roman" w:hAnsi="Times New Roman" w:eastAsia="Times New Roman"/>
          <w:b w:val="0"/>
          <w:i w:val="0"/>
        </w:rPr>
        <w:t>8.1 Introduction</w:t>
      </w:r>
    </w:p>
    <w:p>
      <w:pPr>
        <w:spacing w:after="80" w:line="252" w:lineRule="auto"/>
        <w:ind w:firstLine="317"/>
      </w:pPr>
      <w:r>
        <w:rPr>
          <w:rFonts w:ascii="Times New Roman" w:hAnsi="Times New Roman" w:eastAsia="Times New Roman"/>
          <w:b w:val="0"/>
          <w:i w:val="0"/>
        </w:rPr>
        <w:t>Tax accounting means the accounting method to be adopted for income tax purposes. Since the method of accounting may have a significant effect on the accounting of income, the Income Tax Act, 2058 provides, with the objective of maintaining consistency in tax accounting, that accounting for tax purposes shall be maintained in accordance with generally accepted accounting principles, subject to the Act.</w:t>
      </w:r>
    </w:p>
    <w:p>
      <w:pPr>
        <w:spacing w:after="80" w:line="252" w:lineRule="auto"/>
        <w:ind w:firstLine="317"/>
      </w:pPr>
      <w:r>
        <w:rPr>
          <w:rFonts w:ascii="Times New Roman" w:hAnsi="Times New Roman" w:eastAsia="Times New Roman"/>
          <w:b w:val="0"/>
          <w:i w:val="0"/>
        </w:rPr>
        <w:t>Where the Income Tax Act clearly specifies the method of accounting, accounting must be done accordingly; where it is not specified, accounting must be done in accordance with generally accepted accounting principles. In this context, the Act provides that accounting must be based on Nepal Accounting Standards/Nepal Financial Reporting Standards prepared by the Nepal Accounting Standards Board and issued by the Institute of Chartered Accountants of Nepal (ICAN), and, where such standards are not available, on International Accounting Standards/International Financial Reporting Standards or other prevailing principles. The purpose of this Chapter is to explain the various aspects of the tax accounting provisions contained in the Act.</w:t>
      </w:r>
    </w:p>
    <w:p>
      <w:pPr>
        <w:pStyle w:val="Heading2"/>
        <w:spacing w:after="80" w:line="252" w:lineRule="auto"/>
      </w:pPr>
      <w:r>
        <w:rPr>
          <w:rFonts w:ascii="Times New Roman" w:hAnsi="Times New Roman" w:eastAsia="Times New Roman"/>
          <w:b w:val="0"/>
          <w:i w:val="0"/>
        </w:rPr>
        <w:t>8.2 Tax Accounting and Timing</w:t>
      </w:r>
    </w:p>
    <w:p>
      <w:pPr>
        <w:pStyle w:val="Heading3"/>
        <w:spacing w:after="80" w:line="252" w:lineRule="auto"/>
      </w:pPr>
      <w:r>
        <w:rPr>
          <w:rFonts w:ascii="Times New Roman" w:hAnsi="Times New Roman" w:eastAsia="Times New Roman"/>
          <w:b w:val="0"/>
          <w:i w:val="0"/>
        </w:rPr>
        <w:t>8.2.1 Provision of Section 22</w:t>
      </w:r>
    </w:p>
    <w:p>
      <w:pPr>
        <w:spacing w:after="80" w:line="252" w:lineRule="auto"/>
        <w:ind w:firstLine="317"/>
      </w:pPr>
      <w:r>
        <w:rPr>
          <w:rFonts w:ascii="Times New Roman" w:hAnsi="Times New Roman" w:eastAsia="Times New Roman"/>
          <w:b w:val="0"/>
          <w:i w:val="0"/>
        </w:rPr>
        <w:t>Section 22 of the Act provides as follows in relation to tax accounting and timing:</w:t>
      </w:r>
    </w:p>
    <w:p>
      <w:pPr>
        <w:spacing w:after="60" w:line="252" w:lineRule="auto"/>
        <w:ind w:left="317"/>
      </w:pPr>
      <w:r>
        <w:rPr>
          <w:rFonts w:ascii="Times New Roman" w:hAnsi="Times New Roman" w:eastAsia="Times New Roman"/>
          <w:b w:val="0"/>
          <w:i/>
          <w:sz w:val="18"/>
        </w:rPr>
        <w:t>22(1) The time at which a person derives income or incurs expenditure shall be determined, subject to this Act, in accordance with generally accepted accounting principles.</w:t>
      </w:r>
    </w:p>
    <w:p>
      <w:pPr>
        <w:spacing w:after="80" w:line="252" w:lineRule="auto"/>
        <w:ind w:firstLine="317"/>
      </w:pPr>
      <w:r>
        <w:rPr>
          <w:rFonts w:ascii="Times New Roman" w:hAnsi="Times New Roman" w:eastAsia="Times New Roman"/>
          <w:b w:val="0"/>
          <w:i w:val="0"/>
        </w:rPr>
        <w:t>Tax accounting plays an important role in determining when amounts are included in income and when expenditures are recognised for income tax purposes. Unless specifically provided in the Income Tax Act or in prevailing law, the method and timing of accounting are determined in accordance with generally accepted accounting principles.</w:t>
      </w:r>
    </w:p>
    <w:p>
      <w:pPr>
        <w:spacing w:after="80" w:line="252" w:lineRule="auto"/>
        <w:ind w:firstLine="317"/>
      </w:pPr>
      <w:r>
        <w:rPr>
          <w:rFonts w:ascii="Times New Roman" w:hAnsi="Times New Roman" w:eastAsia="Times New Roman"/>
          <w:b w:val="0"/>
          <w:i w:val="0"/>
        </w:rPr>
        <w:t>Generally accepted accounting principles mean the concepts of accounting. Because accounting is the language that presents the transactions of a business, certain accounting concepts have been developed to inform all users. Persons maintaining accounts are required to follow these concepts throughout the world. The principal concepts are briefly explained below.</w:t>
      </w:r>
    </w:p>
    <w:p>
      <w:pPr>
        <w:spacing w:after="40" w:line="252" w:lineRule="auto"/>
        <w:ind w:left="432" w:hanging="259"/>
      </w:pPr>
      <w:r>
        <w:rPr>
          <w:rFonts w:ascii="Times New Roman" w:hAnsi="Times New Roman" w:eastAsia="Times New Roman"/>
          <w:b w:val="0"/>
          <w:i w:val="0"/>
        </w:rPr>
        <w:t>1. Business Entity - All transactions of a business are recorded on the assumption that the business and the owner of the business are separate persons. If transactions are not recorded on this basis, the owner’s personal transactions may be mixed with the transactions of the business, and the actual position of business transactions cannot be presented.</w:t>
      </w:r>
    </w:p>
    <w:p>
      <w:pPr>
        <w:spacing w:after="40" w:line="252" w:lineRule="auto"/>
        <w:ind w:left="432" w:hanging="259"/>
      </w:pPr>
      <w:r>
        <w:rPr>
          <w:rFonts w:ascii="Times New Roman" w:hAnsi="Times New Roman" w:eastAsia="Times New Roman"/>
          <w:b w:val="0"/>
          <w:i w:val="0"/>
        </w:rPr>
        <w:t>2. Money Measurement - Under this concept, transactions of a business are recorded only when they are measurable in money. Events such as an agreement to admit a new partner into a business or the appointment of a chief executive are not monetary transactions, and therefore are not recorded in the accounts.</w:t>
      </w:r>
    </w:p>
    <w:p>
      <w:pPr>
        <w:spacing w:after="40" w:line="252" w:lineRule="auto"/>
        <w:ind w:left="432" w:hanging="259"/>
      </w:pPr>
      <w:r>
        <w:rPr>
          <w:rFonts w:ascii="Times New Roman" w:hAnsi="Times New Roman" w:eastAsia="Times New Roman"/>
          <w:b w:val="0"/>
          <w:i w:val="0"/>
        </w:rPr>
        <w:t>3. Cost - Under this concept, only the value at which the transaction actually takes place is recorded. For example, if the market value of a plot of land is Rs. 500,000 but it is purchased from an unrelated person for Rs. 300,000, the payment or transaction value of the land is Rs. 300,000 and it is recorded at that cost. The market value of Rs. 500,000 is not used for accounting in that situation.</w:t>
      </w:r>
    </w:p>
    <w:p>
      <w:pPr>
        <w:spacing w:after="40" w:line="252" w:lineRule="auto"/>
        <w:ind w:left="432" w:hanging="259"/>
      </w:pPr>
      <w:r>
        <w:rPr>
          <w:rFonts w:ascii="Times New Roman" w:hAnsi="Times New Roman" w:eastAsia="Times New Roman"/>
          <w:b w:val="0"/>
          <w:i w:val="0"/>
        </w:rPr>
        <w:t>4. Going Concern - Accounting is carried out on the assumption that the business is not operated for a temporary period only, but will continue to operate.</w:t>
      </w:r>
    </w:p>
    <w:p>
      <w:pPr>
        <w:spacing w:after="40" w:line="252" w:lineRule="auto"/>
        <w:ind w:left="432" w:hanging="259"/>
      </w:pPr>
      <w:r>
        <w:rPr>
          <w:rFonts w:ascii="Times New Roman" w:hAnsi="Times New Roman" w:eastAsia="Times New Roman"/>
          <w:b w:val="0"/>
          <w:i w:val="0"/>
        </w:rPr>
        <w:t>5. Dual Aspect - Every transaction is recorded under the double-entry system. For example, if a person carrying on a sole proprietorship invests Rs. 100,000 as capital to operate the business, cash (an asset) is debited by Rs. 100,000 and capital (a liability/equity item) is credited by Rs. 100,000.</w:t>
      </w:r>
    </w:p>
    <w:p>
      <w:pPr>
        <w:spacing w:after="40" w:line="252" w:lineRule="auto"/>
        <w:ind w:left="432" w:hanging="259"/>
      </w:pPr>
      <w:r>
        <w:rPr>
          <w:rFonts w:ascii="Times New Roman" w:hAnsi="Times New Roman" w:eastAsia="Times New Roman"/>
          <w:b w:val="0"/>
          <w:i w:val="0"/>
        </w:rPr>
        <w:t>6. Types of Accounting - There are mainly two methods of recording transactions: cash basis accounting and accrual basis accounting. Around the world, transactions are generally recorded by one of these two methods.</w:t>
      </w:r>
    </w:p>
    <w:p>
      <w:pPr>
        <w:spacing w:after="80" w:line="252" w:lineRule="auto"/>
        <w:ind w:firstLine="317"/>
      </w:pPr>
      <w:r>
        <w:rPr>
          <w:rFonts w:ascii="Times New Roman" w:hAnsi="Times New Roman" w:eastAsia="Times New Roman"/>
          <w:b w:val="0"/>
          <w:i w:val="0"/>
        </w:rPr>
        <w:t>Under cash basis accounting, income or expenditure is recorded when the amount receivable for a transaction is actually received, or when the amount payable is actually paid. A person using this method does not record income until the amount receivable as income is received and does not record expenditure until the amount payable as expenditure is paid.</w:t>
      </w:r>
    </w:p>
    <w:p>
      <w:pPr>
        <w:spacing w:after="80" w:line="252" w:lineRule="auto"/>
        <w:ind w:firstLine="317"/>
      </w:pPr>
      <w:r>
        <w:rPr>
          <w:rFonts w:ascii="Times New Roman" w:hAnsi="Times New Roman" w:eastAsia="Times New Roman"/>
          <w:b w:val="0"/>
          <w:i w:val="0"/>
        </w:rPr>
        <w:t>Under accrual basis accounting, income is recorded as soon as the right to receive payment is created, and expenditure is recorded as soon as the obligation to pay is created. A person using this method records income even though the amount receivable has not yet been received, and records expenditure even though the amount payable has not yet been paid.</w:t>
      </w:r>
    </w:p>
    <w:p>
      <w:pPr>
        <w:spacing w:after="80" w:line="252" w:lineRule="auto"/>
        <w:ind w:firstLine="317"/>
      </w:pPr>
      <w:r>
        <w:rPr>
          <w:rFonts w:ascii="Times New Roman" w:hAnsi="Times New Roman" w:eastAsia="Times New Roman"/>
          <w:b w:val="0"/>
          <w:i w:val="0"/>
        </w:rPr>
        <w:t>Generally, for tax accounting, the following bases are taken into account:</w:t>
      </w:r>
    </w:p>
    <w:p>
      <w:pPr>
        <w:spacing w:after="40" w:line="252" w:lineRule="auto"/>
        <w:ind w:left="432" w:hanging="259"/>
      </w:pPr>
      <w:r>
        <w:rPr>
          <w:rFonts w:ascii="Times New Roman" w:hAnsi="Times New Roman" w:eastAsia="Times New Roman"/>
          <w:b w:val="0"/>
          <w:i w:val="0"/>
        </w:rPr>
        <w:t>• the basis prescribed in the Income Tax Act;</w:t>
      </w:r>
    </w:p>
    <w:p>
      <w:pPr>
        <w:spacing w:after="40" w:line="252" w:lineRule="auto"/>
        <w:ind w:left="432" w:hanging="259"/>
      </w:pPr>
      <w:r>
        <w:rPr>
          <w:rFonts w:ascii="Times New Roman" w:hAnsi="Times New Roman" w:eastAsia="Times New Roman"/>
          <w:b w:val="0"/>
          <w:i w:val="0"/>
        </w:rPr>
        <w:t>• the basis prescribed in prevailing law;</w:t>
      </w:r>
    </w:p>
    <w:p>
      <w:pPr>
        <w:spacing w:after="40" w:line="252" w:lineRule="auto"/>
        <w:ind w:left="432" w:hanging="259"/>
      </w:pPr>
      <w:r>
        <w:rPr>
          <w:rFonts w:ascii="Times New Roman" w:hAnsi="Times New Roman" w:eastAsia="Times New Roman"/>
          <w:b w:val="0"/>
          <w:i w:val="0"/>
        </w:rPr>
        <w:t>• the accounting standards adopted by the Institute of Chartered Accountants of Nepal;</w:t>
      </w:r>
    </w:p>
    <w:p>
      <w:pPr>
        <w:spacing w:after="40" w:line="252" w:lineRule="auto"/>
        <w:ind w:left="432" w:hanging="259"/>
      </w:pPr>
      <w:r>
        <w:rPr>
          <w:rFonts w:ascii="Times New Roman" w:hAnsi="Times New Roman" w:eastAsia="Times New Roman"/>
          <w:b w:val="0"/>
          <w:i w:val="0"/>
        </w:rPr>
        <w:t>• the basis prescribed by the Inland Revenue Department on the basis of any international standard; and</w:t>
      </w:r>
    </w:p>
    <w:p>
      <w:pPr>
        <w:spacing w:after="40" w:line="252" w:lineRule="auto"/>
        <w:ind w:left="432" w:hanging="259"/>
      </w:pPr>
      <w:r>
        <w:rPr>
          <w:rFonts w:ascii="Times New Roman" w:hAnsi="Times New Roman" w:eastAsia="Times New Roman"/>
          <w:b w:val="0"/>
          <w:i w:val="0"/>
        </w:rPr>
        <w:t>• the basis prescribed by the Department on the basis of prevailing best practice.</w:t>
      </w:r>
    </w:p>
    <w:p>
      <w:pPr>
        <w:spacing w:after="60" w:line="252" w:lineRule="auto"/>
        <w:ind w:left="317"/>
      </w:pPr>
      <w:r>
        <w:rPr>
          <w:rFonts w:ascii="Times New Roman" w:hAnsi="Times New Roman" w:eastAsia="Times New Roman"/>
          <w:b w:val="0"/>
          <w:i/>
          <w:sz w:val="18"/>
        </w:rPr>
        <w:t>22(2) Computation of income derived by a natural person from employment and investment: A natural person shall, for tax purposes, account for income derived from employment and investment on a cash basis.</w:t>
      </w:r>
    </w:p>
    <w:p>
      <w:pPr>
        <w:spacing w:after="60" w:line="252" w:lineRule="auto"/>
        <w:ind w:left="317"/>
      </w:pPr>
      <w:r>
        <w:rPr>
          <w:rFonts w:ascii="Times New Roman" w:hAnsi="Times New Roman" w:eastAsia="Times New Roman"/>
          <w:b w:val="0"/>
          <w:i/>
          <w:sz w:val="18"/>
        </w:rPr>
        <w:t>Provided that, where, after resolution of a case filed in a court, a natural person receives a lump-sum payment of remuneration for employment relating to previous income years, the accounting for tax purposes shall be made on the accrual basis in the respective income years.</w:t>
      </w:r>
    </w:p>
    <w:p>
      <w:pPr>
        <w:spacing w:after="80" w:line="252" w:lineRule="auto"/>
        <w:ind w:firstLine="317"/>
      </w:pPr>
      <w:r>
        <w:rPr>
          <w:rFonts w:ascii="Times New Roman" w:hAnsi="Times New Roman" w:eastAsia="Times New Roman"/>
          <w:b w:val="0"/>
          <w:i w:val="0"/>
        </w:rPr>
        <w:t>Except as provided in the proviso to section 22(2), a natural person must account for income derived from employment and investment for income tax purposes on the basis of cash receipt. The provision is clarified by the following example.</w:t>
      </w:r>
    </w:p>
    <w:p>
      <w:pPr>
        <w:spacing w:after="20" w:line="252" w:lineRule="auto"/>
      </w:pPr>
      <w:r>
        <w:rPr>
          <w:rFonts w:ascii="Times New Roman" w:hAnsi="Times New Roman" w:eastAsia="Times New Roman"/>
          <w:b/>
          <w:i w:val="0"/>
        </w:rPr>
        <w:t>Example 8.2.1</w:t>
      </w:r>
    </w:p>
    <w:p>
      <w:pPr>
        <w:spacing w:after="60" w:line="252" w:lineRule="auto"/>
        <w:ind w:firstLine="317"/>
      </w:pPr>
      <w:r>
        <w:rPr>
          <w:rFonts w:ascii="Times New Roman" w:hAnsi="Times New Roman" w:eastAsia="Times New Roman"/>
          <w:b w:val="0"/>
          <w:i w:val="0"/>
        </w:rPr>
        <w:t>Suppose Kamal Pariyar is an employee of Agricultural Inputs Corporation. He was entitled to salary and allowances at Rs. 20,000 per month from Shrawan 2080 to the end of Ashadh 2081, totalling Rs. 240,000, but he received the amount only in Shrawan 2081. Since accounting is on the cash basis, the amount must be accounted for as income for tax purposes in Shrawan 2081, the month in which it was received. Under this method, even if income relates to any earlier income year, it is recorded as income of the income year in which it is received.</w:t>
      </w:r>
    </w:p>
    <w:p>
      <w:pPr>
        <w:spacing w:after="60" w:line="252" w:lineRule="auto"/>
        <w:ind w:left="317"/>
      </w:pPr>
      <w:r>
        <w:rPr>
          <w:rFonts w:ascii="Times New Roman" w:hAnsi="Times New Roman" w:eastAsia="Times New Roman"/>
          <w:b w:val="0"/>
          <w:i/>
          <w:sz w:val="18"/>
        </w:rPr>
        <w:t>22(3) A company shall, for tax purposes, account on an accrual basis.</w:t>
      </w:r>
    </w:p>
    <w:p>
      <w:pPr>
        <w:spacing w:after="80" w:line="252" w:lineRule="auto"/>
        <w:ind w:firstLine="317"/>
      </w:pPr>
      <w:r>
        <w:rPr>
          <w:rFonts w:ascii="Times New Roman" w:hAnsi="Times New Roman" w:eastAsia="Times New Roman"/>
          <w:b w:val="0"/>
          <w:i w:val="0"/>
        </w:rPr>
        <w:t>For tax purposes, the term "company" has a wider meaning than company for corporate law purposes. The entities treated as companies for tax purposes are described in Chapter 2. Such companies must maintain accounts on the accrual basis. The provision is clarified by the following example.</w:t>
      </w:r>
    </w:p>
    <w:p>
      <w:pPr>
        <w:spacing w:after="20" w:line="252" w:lineRule="auto"/>
      </w:pPr>
      <w:r>
        <w:rPr>
          <w:rFonts w:ascii="Times New Roman" w:hAnsi="Times New Roman" w:eastAsia="Times New Roman"/>
          <w:b/>
          <w:i w:val="0"/>
        </w:rPr>
        <w:t>Example 8.2.2</w:t>
      </w:r>
    </w:p>
    <w:p>
      <w:pPr>
        <w:spacing w:after="60" w:line="252" w:lineRule="auto"/>
        <w:ind w:firstLine="317"/>
      </w:pPr>
      <w:r>
        <w:rPr>
          <w:rFonts w:ascii="Times New Roman" w:hAnsi="Times New Roman" w:eastAsia="Times New Roman"/>
          <w:b w:val="0"/>
          <w:i w:val="0"/>
        </w:rPr>
        <w:t>Suppose Kamal Services and Company Pvt. Ltd. has entered into an agreement to provide security guards to Agricultural Inputs Corporation. In Ashadh 2081, the company provided five security guards. Under the agreement, the invoice value for that month was Rs. 30,000. Since the right of the company to receive Rs. 30,000 from Agricultural Inputs Corporation was created when the security guards were provided, the company must include Rs. 30,000 in its income for income year 2080/081, even if the cash payment has not yet been received from Agricultural Inputs Corporation.</w:t>
      </w:r>
    </w:p>
    <w:p>
      <w:pPr>
        <w:spacing w:after="60" w:line="252" w:lineRule="auto"/>
        <w:ind w:left="317"/>
      </w:pPr>
      <w:r>
        <w:rPr>
          <w:rFonts w:ascii="Times New Roman" w:hAnsi="Times New Roman" w:eastAsia="Times New Roman"/>
          <w:b w:val="0"/>
          <w:i/>
          <w:sz w:val="18"/>
        </w:rPr>
        <w:t>22(4) Except where the Department otherwise prescribes by written notice, a person may, subject to subsections (1), (2) and (3), account for tax purposes on a cash or accrual basis.</w:t>
      </w:r>
    </w:p>
    <w:p>
      <w:pPr>
        <w:spacing w:after="80" w:line="252" w:lineRule="auto"/>
        <w:ind w:firstLine="317"/>
      </w:pPr>
      <w:r>
        <w:rPr>
          <w:rFonts w:ascii="Times New Roman" w:hAnsi="Times New Roman" w:eastAsia="Times New Roman"/>
          <w:b w:val="0"/>
          <w:i w:val="0"/>
        </w:rPr>
        <w:t>A natural person computing income from employment and investment must use the cash basis, and a company must use the accrual basis for tax purposes. In other cases, for example the business income of a natural person or the income of a partnership firm having fewer than 20 partners, the person may use either the cash basis or the accrual basis.</w:t>
      </w:r>
    </w:p>
    <w:tbl>
      <w:tblPr>
        <w:tblStyle w:val="TableGrid"/>
        <w:tblW w:type="auto" w:w="0"/>
        <w:jc w:val="center"/>
        <w:tblLook w:firstColumn="1" w:firstRow="1" w:lastColumn="0" w:lastRow="0" w:noHBand="0" w:noVBand="1" w:val="04A0"/>
      </w:tblPr>
      <w:tblGrid>
        <w:gridCol w:w="3442"/>
        <w:gridCol w:w="3442"/>
        <w:gridCol w:w="3442"/>
      </w:tblGrid>
      <w:tr>
        <w:tc>
          <w:tcPr>
            <w:tcW w:type="dxa" w:w="3442"/>
            <w:vAlign w:val="top"/>
            <w:shd w:fill="E7E6E6"/>
          </w:tcPr>
          <w:p>
            <w:pPr>
              <w:spacing w:after="0" w:line="240" w:lineRule="auto"/>
            </w:pPr>
            <w:r>
              <w:rPr>
                <w:rFonts w:ascii="Times New Roman" w:hAnsi="Times New Roman" w:eastAsia="Times New Roman"/>
                <w:sz w:val="16"/>
              </w:rPr>
            </w:r>
            <w:r>
              <w:rPr>
                <w:rFonts w:ascii="Times New Roman" w:hAnsi="Times New Roman" w:eastAsia="Times New Roman"/>
                <w:b/>
                <w:i w:val="0"/>
                <w:sz w:val="16"/>
              </w:rPr>
              <w:t>Category</w:t>
            </w:r>
          </w:p>
        </w:tc>
        <w:tc>
          <w:tcPr>
            <w:tcW w:type="dxa" w:w="3442"/>
            <w:vAlign w:val="top"/>
            <w:shd w:fill="E7E6E6"/>
          </w:tcPr>
          <w:p>
            <w:pPr>
              <w:spacing w:after="0" w:line="240" w:lineRule="auto"/>
            </w:pPr>
            <w:r>
              <w:rPr>
                <w:rFonts w:ascii="Times New Roman" w:hAnsi="Times New Roman" w:eastAsia="Times New Roman"/>
                <w:sz w:val="16"/>
              </w:rPr>
            </w:r>
            <w:r>
              <w:rPr>
                <w:rFonts w:ascii="Times New Roman" w:hAnsi="Times New Roman" w:eastAsia="Times New Roman"/>
                <w:b/>
                <w:i w:val="0"/>
                <w:sz w:val="16"/>
              </w:rPr>
              <w:t>Person/income</w:t>
            </w:r>
          </w:p>
        </w:tc>
        <w:tc>
          <w:tcPr>
            <w:tcW w:type="dxa" w:w="3442"/>
            <w:vAlign w:val="top"/>
            <w:shd w:fill="E7E6E6"/>
          </w:tcPr>
          <w:p>
            <w:pPr>
              <w:spacing w:after="0" w:line="240" w:lineRule="auto"/>
            </w:pPr>
            <w:r>
              <w:rPr>
                <w:rFonts w:ascii="Times New Roman" w:hAnsi="Times New Roman" w:eastAsia="Times New Roman"/>
                <w:sz w:val="16"/>
              </w:rPr>
            </w:r>
            <w:r>
              <w:rPr>
                <w:rFonts w:ascii="Times New Roman" w:hAnsi="Times New Roman" w:eastAsia="Times New Roman"/>
                <w:b/>
                <w:i w:val="0"/>
                <w:sz w:val="16"/>
              </w:rPr>
              <w:t>Accounting basis</w:t>
            </w:r>
          </w:p>
        </w:tc>
      </w:tr>
      <w:tr>
        <w:tc>
          <w:tcPr>
            <w:tcW w:type="dxa" w:w="3442"/>
            <w:vAlign w:val="top"/>
          </w:tcPr>
          <w:p>
            <w:pPr>
              <w:spacing w:after="0" w:line="240" w:lineRule="auto"/>
            </w:pPr>
            <w:r>
              <w:rPr>
                <w:rFonts w:ascii="Times New Roman" w:hAnsi="Times New Roman" w:eastAsia="Times New Roman"/>
                <w:sz w:val="16"/>
              </w:rPr>
            </w:r>
            <w:r>
              <w:rPr>
                <w:rFonts w:ascii="Times New Roman" w:hAnsi="Times New Roman" w:eastAsia="Times New Roman"/>
                <w:b w:val="0"/>
                <w:i w:val="0"/>
                <w:sz w:val="16"/>
              </w:rPr>
              <w:t>Mandatory</w:t>
            </w:r>
          </w:p>
        </w:tc>
        <w:tc>
          <w:tcPr>
            <w:tcW w:type="dxa" w:w="3442"/>
            <w:vAlign w:val="top"/>
          </w:tcPr>
          <w:p>
            <w:pPr>
              <w:spacing w:after="0" w:line="240" w:lineRule="auto"/>
            </w:pPr>
            <w:r>
              <w:rPr>
                <w:rFonts w:ascii="Times New Roman" w:hAnsi="Times New Roman" w:eastAsia="Times New Roman"/>
                <w:sz w:val="16"/>
              </w:rPr>
            </w:r>
            <w:r>
              <w:rPr>
                <w:rFonts w:ascii="Times New Roman" w:hAnsi="Times New Roman" w:eastAsia="Times New Roman"/>
                <w:b w:val="0"/>
                <w:i w:val="0"/>
                <w:sz w:val="16"/>
              </w:rPr>
              <w:t>Employment income and investment income of a natural person</w:t>
            </w:r>
          </w:p>
        </w:tc>
        <w:tc>
          <w:tcPr>
            <w:tcW w:type="dxa" w:w="3442"/>
            <w:vAlign w:val="top"/>
          </w:tcPr>
          <w:p>
            <w:pPr>
              <w:spacing w:after="0" w:line="240" w:lineRule="auto"/>
            </w:pPr>
            <w:r>
              <w:rPr>
                <w:rFonts w:ascii="Times New Roman" w:hAnsi="Times New Roman" w:eastAsia="Times New Roman"/>
                <w:sz w:val="16"/>
              </w:rPr>
            </w:r>
            <w:r>
              <w:rPr>
                <w:rFonts w:ascii="Times New Roman" w:hAnsi="Times New Roman" w:eastAsia="Times New Roman"/>
                <w:b w:val="0"/>
                <w:i w:val="0"/>
                <w:sz w:val="16"/>
              </w:rPr>
              <w:t>Cash basis, except under the proviso to section 22(2) of the Act</w:t>
            </w:r>
          </w:p>
        </w:tc>
      </w:tr>
      <w:tr>
        <w:tc>
          <w:tcPr>
            <w:tcW w:type="dxa" w:w="3442"/>
            <w:vAlign w:val="top"/>
          </w:tcPr>
          <w:p>
            <w:pPr>
              <w:spacing w:after="0" w:line="240" w:lineRule="auto"/>
            </w:pPr>
            <w:r>
              <w:rPr>
                <w:rFonts w:ascii="Times New Roman" w:hAnsi="Times New Roman" w:eastAsia="Times New Roman"/>
                <w:sz w:val="16"/>
              </w:rPr>
            </w:r>
            <w:r>
              <w:rPr>
                <w:rFonts w:ascii="Times New Roman" w:hAnsi="Times New Roman" w:eastAsia="Times New Roman"/>
                <w:b w:val="0"/>
                <w:i w:val="0"/>
                <w:sz w:val="16"/>
              </w:rPr>
              <w:t>Mandatory</w:t>
            </w:r>
          </w:p>
        </w:tc>
        <w:tc>
          <w:tcPr>
            <w:tcW w:type="dxa" w:w="3442"/>
            <w:vAlign w:val="top"/>
          </w:tcPr>
          <w:p>
            <w:pPr>
              <w:spacing w:after="0" w:line="240" w:lineRule="auto"/>
            </w:pPr>
            <w:r>
              <w:rPr>
                <w:rFonts w:ascii="Times New Roman" w:hAnsi="Times New Roman" w:eastAsia="Times New Roman"/>
                <w:sz w:val="16"/>
              </w:rPr>
            </w:r>
            <w:r>
              <w:rPr>
                <w:rFonts w:ascii="Times New Roman" w:hAnsi="Times New Roman" w:eastAsia="Times New Roman"/>
                <w:b w:val="0"/>
                <w:i w:val="0"/>
                <w:sz w:val="16"/>
              </w:rPr>
              <w:t>Company</w:t>
            </w:r>
          </w:p>
        </w:tc>
        <w:tc>
          <w:tcPr>
            <w:tcW w:type="dxa" w:w="3442"/>
            <w:vAlign w:val="top"/>
          </w:tcPr>
          <w:p>
            <w:pPr>
              <w:spacing w:after="0" w:line="240" w:lineRule="auto"/>
            </w:pPr>
            <w:r>
              <w:rPr>
                <w:rFonts w:ascii="Times New Roman" w:hAnsi="Times New Roman" w:eastAsia="Times New Roman"/>
                <w:sz w:val="16"/>
              </w:rPr>
            </w:r>
            <w:r>
              <w:rPr>
                <w:rFonts w:ascii="Times New Roman" w:hAnsi="Times New Roman" w:eastAsia="Times New Roman"/>
                <w:b w:val="0"/>
                <w:i w:val="0"/>
                <w:sz w:val="16"/>
              </w:rPr>
              <w:t>Accrual basis</w:t>
            </w:r>
          </w:p>
        </w:tc>
      </w:tr>
      <w:tr>
        <w:tc>
          <w:tcPr>
            <w:tcW w:type="dxa" w:w="3442"/>
            <w:vAlign w:val="top"/>
          </w:tcPr>
          <w:p>
            <w:pPr>
              <w:spacing w:after="0" w:line="240" w:lineRule="auto"/>
            </w:pPr>
            <w:r>
              <w:rPr>
                <w:rFonts w:ascii="Times New Roman" w:hAnsi="Times New Roman" w:eastAsia="Times New Roman"/>
                <w:sz w:val="16"/>
              </w:rPr>
            </w:r>
            <w:r>
              <w:rPr>
                <w:rFonts w:ascii="Times New Roman" w:hAnsi="Times New Roman" w:eastAsia="Times New Roman"/>
                <w:b w:val="0"/>
                <w:i w:val="0"/>
                <w:sz w:val="16"/>
              </w:rPr>
              <w:t>Optional</w:t>
            </w:r>
          </w:p>
        </w:tc>
        <w:tc>
          <w:tcPr>
            <w:tcW w:type="dxa" w:w="3442"/>
            <w:vAlign w:val="top"/>
          </w:tcPr>
          <w:p>
            <w:pPr>
              <w:spacing w:after="0" w:line="240" w:lineRule="auto"/>
            </w:pPr>
            <w:r>
              <w:rPr>
                <w:rFonts w:ascii="Times New Roman" w:hAnsi="Times New Roman" w:eastAsia="Times New Roman"/>
                <w:sz w:val="16"/>
              </w:rPr>
            </w:r>
            <w:r>
              <w:rPr>
                <w:rFonts w:ascii="Times New Roman" w:hAnsi="Times New Roman" w:eastAsia="Times New Roman"/>
                <w:b w:val="0"/>
                <w:i w:val="0"/>
                <w:sz w:val="16"/>
              </w:rPr>
              <w:t>Business income of a natural person, income of a partnership with fewer than 20 partners, and income of other entities other than a company</w:t>
            </w:r>
          </w:p>
        </w:tc>
        <w:tc>
          <w:tcPr>
            <w:tcW w:type="dxa" w:w="3442"/>
            <w:vAlign w:val="top"/>
          </w:tcPr>
          <w:p>
            <w:pPr>
              <w:spacing w:after="0" w:line="240" w:lineRule="auto"/>
            </w:pPr>
            <w:r>
              <w:rPr>
                <w:rFonts w:ascii="Times New Roman" w:hAnsi="Times New Roman" w:eastAsia="Times New Roman"/>
                <w:sz w:val="16"/>
              </w:rPr>
            </w:r>
            <w:r>
              <w:rPr>
                <w:rFonts w:ascii="Times New Roman" w:hAnsi="Times New Roman" w:eastAsia="Times New Roman"/>
                <w:b w:val="0"/>
                <w:i w:val="0"/>
                <w:sz w:val="16"/>
              </w:rPr>
              <w:t>In the first year of transactions, as chosen by the person; thereafter the same basis must be continued unless approval is obtained from the Department.</w:t>
            </w:r>
          </w:p>
        </w:tc>
      </w:tr>
    </w:tbl>
    <w:p>
      <w:pPr>
        <w:spacing w:after="40" w:line="252" w:lineRule="auto"/>
      </w:pPr>
    </w:p>
    <w:p>
      <w:pPr>
        <w:spacing w:after="60" w:line="252" w:lineRule="auto"/>
        <w:ind w:left="317"/>
      </w:pPr>
      <w:r>
        <w:rPr>
          <w:rFonts w:ascii="Times New Roman" w:hAnsi="Times New Roman" w:eastAsia="Times New Roman"/>
          <w:b w:val="0"/>
          <w:i/>
          <w:sz w:val="18"/>
        </w:rPr>
        <w:t>22(5) Subject to subsections (2) and (3), a person may apply to change the method of accounting for tax purposes. If the Department considers that such change in the method of accounting is necessary in order to clearly reflect the income of that person, the Department may approve the change in the method of accounting.</w:t>
      </w:r>
    </w:p>
    <w:p>
      <w:pPr>
        <w:spacing w:after="80" w:line="252" w:lineRule="auto"/>
        <w:ind w:firstLine="317"/>
      </w:pPr>
      <w:r>
        <w:rPr>
          <w:rFonts w:ascii="Times New Roman" w:hAnsi="Times New Roman" w:eastAsia="Times New Roman"/>
          <w:b w:val="0"/>
          <w:i w:val="0"/>
        </w:rPr>
        <w:t>Generally, once an accounting method has been adopted, it must be applied consistently. However, a person other than a company may apply to the Department to change the method of accounting for a business, for example where the existing method differs from the method used by other persons carrying on similar business and makes comparison difficult, or for any other reasonable cause. Thus, a person accounting on the cash basis who wishes to account on the accrual basis, or a person accounting on the accrual basis who wishes to account on the cash basis, may apply to the Department. If the Department considers that a change in accounting method is necessary to clearly show income, it may approve the change.</w:t>
      </w:r>
    </w:p>
    <w:p>
      <w:pPr>
        <w:spacing w:after="60" w:line="252" w:lineRule="auto"/>
        <w:ind w:left="317"/>
      </w:pPr>
      <w:r>
        <w:rPr>
          <w:rFonts w:ascii="Times New Roman" w:hAnsi="Times New Roman" w:eastAsia="Times New Roman"/>
          <w:b w:val="0"/>
          <w:i/>
          <w:sz w:val="18"/>
        </w:rPr>
        <w:t>22(6) Where, for tax purposes, the method of accounting of a person is changed under subsection (5), adjustments shall be made, in computing the income of that person for the income year in which the change occurs, to amounts included, deducted, includible or deductible, so that no amount is omitted or counted twice.</w:t>
      </w:r>
    </w:p>
    <w:p>
      <w:pPr>
        <w:spacing w:after="80" w:line="252" w:lineRule="auto"/>
        <w:ind w:firstLine="317"/>
      </w:pPr>
      <w:r>
        <w:rPr>
          <w:rFonts w:ascii="Times New Roman" w:hAnsi="Times New Roman" w:eastAsia="Times New Roman"/>
          <w:b w:val="0"/>
          <w:i w:val="0"/>
        </w:rPr>
        <w:t>Rule 8 provides as follows regarding the method of tax accounting:</w:t>
      </w:r>
    </w:p>
    <w:p>
      <w:pPr>
        <w:spacing w:after="60" w:line="252" w:lineRule="auto"/>
        <w:ind w:left="317"/>
      </w:pPr>
      <w:r>
        <w:rPr>
          <w:rFonts w:ascii="Times New Roman" w:hAnsi="Times New Roman" w:eastAsia="Times New Roman"/>
          <w:b w:val="0"/>
          <w:i/>
          <w:sz w:val="18"/>
        </w:rPr>
        <w:t>Rule 8(1) Where tax accounting is carried out under section 22 of the Act, and accounting standards have been provided under prevailing law, accounting shall be done in accordance with such standards.</w:t>
      </w:r>
    </w:p>
    <w:p>
      <w:pPr>
        <w:spacing w:after="60" w:line="252" w:lineRule="auto"/>
        <w:ind w:left="317"/>
      </w:pPr>
      <w:r>
        <w:rPr>
          <w:rFonts w:ascii="Times New Roman" w:hAnsi="Times New Roman" w:eastAsia="Times New Roman"/>
          <w:b w:val="0"/>
          <w:i/>
          <w:sz w:val="18"/>
        </w:rPr>
        <w:t>Rule 8(2) Where no accounting standard has been provided under sub-rule (1), tax accounting shall be done in accordance with the accounting standard prescribed by the Department on the basis of any prevailing international principle or practice.</w:t>
      </w:r>
    </w:p>
    <w:p>
      <w:pPr>
        <w:spacing w:after="80" w:line="252" w:lineRule="auto"/>
        <w:ind w:firstLine="317"/>
      </w:pPr>
      <w:r>
        <w:rPr>
          <w:rFonts w:ascii="Times New Roman" w:hAnsi="Times New Roman" w:eastAsia="Times New Roman"/>
          <w:b w:val="0"/>
          <w:i w:val="0"/>
        </w:rPr>
        <w:t>A natural person must account for employment and investment income on the cash basis, except under the proviso to section 22(2); business income of such person may be accounted for on either accrual or cash basis. A company must account for its income on the accrual basis. In other cases, accounting may be done on the cash or accrual basis in accordance with the prevailing accounting framework. The accounting policy used must be followed consistently in accordance with generally accepted accounting principles. Where no accounting standard exists under prevailing law, accounting must be done according to the accounting standard prescribed by the Department on the basis of any prevailing international principle or practice.</w:t>
      </w:r>
    </w:p>
    <w:p>
      <w:pPr>
        <w:spacing w:after="80" w:line="252" w:lineRule="auto"/>
        <w:ind w:firstLine="317"/>
      </w:pPr>
      <w:r>
        <w:rPr>
          <w:rFonts w:ascii="Times New Roman" w:hAnsi="Times New Roman" w:eastAsia="Times New Roman"/>
          <w:b w:val="0"/>
          <w:i w:val="0"/>
        </w:rPr>
        <w:t>Under prevailing accounting standards and section 22(5) of the Act, accounting method generally cannot be changed. If, however, a change is necessary on the basis of industrial practice, an application must be submitted to the Department; where the Department considers the matter reasonable, it may approve the change for tax purposes. No application may be made to change the statutory requirement that employment and investment income of a natural person must be on the cash basis, except under the proviso to section 22(2), and that income of a company must be on the accrual basis. Where the method is changed for tax purposes with approval from the Department, adjustments must be made in the income year of change so that no amount included or deducted, or includible or deductible, is omitted or counted twice. This is clarified below.</w:t>
      </w:r>
    </w:p>
    <w:p>
      <w:pPr>
        <w:spacing w:after="20" w:line="252" w:lineRule="auto"/>
      </w:pPr>
      <w:r>
        <w:rPr>
          <w:rFonts w:ascii="Times New Roman" w:hAnsi="Times New Roman" w:eastAsia="Times New Roman"/>
          <w:b/>
          <w:i w:val="0"/>
        </w:rPr>
        <w:t>Example 8.2.3</w:t>
      </w:r>
    </w:p>
    <w:p>
      <w:pPr>
        <w:spacing w:after="60" w:line="252" w:lineRule="auto"/>
        <w:ind w:firstLine="317"/>
      </w:pPr>
      <w:r>
        <w:rPr>
          <w:rFonts w:ascii="Times New Roman" w:hAnsi="Times New Roman" w:eastAsia="Times New Roman"/>
          <w:b w:val="0"/>
          <w:i w:val="0"/>
        </w:rPr>
        <w:t>Suppose Deben Mahara is a legal practitioner. He has been accounting for income from his profession on the cash basis. He applied to the Department to change the accounting method from cash basis to accrual basis from income year 2080/081. Since the books of account were consistent with prevailing accounting principles, the Department approved the change to apply from income year 2080/081. Before the change, his accounts were as follows:</w:t>
      </w:r>
    </w:p>
    <w:tbl>
      <w:tblPr>
        <w:tblStyle w:val="TableGrid"/>
        <w:tblW w:type="auto" w:w="0"/>
        <w:jc w:val="center"/>
        <w:tblLook w:firstColumn="1" w:firstRow="1" w:lastColumn="0" w:lastRow="0" w:noHBand="0" w:noVBand="1" w:val="04A0"/>
      </w:tblPr>
      <w:tblGrid>
        <w:gridCol w:w="3442"/>
        <w:gridCol w:w="3442"/>
        <w:gridCol w:w="3442"/>
      </w:tblGrid>
      <w:tr>
        <w:tc>
          <w:tcPr>
            <w:tcW w:type="dxa" w:w="3442"/>
            <w:vAlign w:val="top"/>
            <w:shd w:fill="E7E6E6"/>
          </w:tcPr>
          <w:p>
            <w:pPr>
              <w:spacing w:after="0" w:line="240" w:lineRule="auto"/>
            </w:pPr>
            <w:r>
              <w:rPr>
                <w:rFonts w:ascii="Times New Roman" w:hAnsi="Times New Roman" w:eastAsia="Times New Roman"/>
                <w:sz w:val="15"/>
              </w:rPr>
            </w:r>
            <w:r>
              <w:rPr>
                <w:rFonts w:ascii="Times New Roman" w:hAnsi="Times New Roman" w:eastAsia="Times New Roman"/>
                <w:b/>
                <w:i w:val="0"/>
                <w:sz w:val="15"/>
              </w:rPr>
              <w:t>No.</w:t>
            </w:r>
          </w:p>
        </w:tc>
        <w:tc>
          <w:tcPr>
            <w:tcW w:type="dxa" w:w="3442"/>
            <w:vAlign w:val="top"/>
            <w:shd w:fill="E7E6E6"/>
          </w:tcPr>
          <w:p>
            <w:pPr>
              <w:spacing w:after="0" w:line="240" w:lineRule="auto"/>
            </w:pPr>
            <w:r>
              <w:rPr>
                <w:rFonts w:ascii="Times New Roman" w:hAnsi="Times New Roman" w:eastAsia="Times New Roman"/>
                <w:sz w:val="15"/>
              </w:rPr>
            </w:r>
            <w:r>
              <w:rPr>
                <w:rFonts w:ascii="Times New Roman" w:hAnsi="Times New Roman" w:eastAsia="Times New Roman"/>
                <w:b/>
                <w:i w:val="0"/>
                <w:sz w:val="15"/>
              </w:rPr>
              <w:t>Particulars</w:t>
            </w:r>
          </w:p>
        </w:tc>
        <w:tc>
          <w:tcPr>
            <w:tcW w:type="dxa" w:w="3442"/>
            <w:vAlign w:val="top"/>
            <w:shd w:fill="E7E6E6"/>
          </w:tcPr>
          <w:p>
            <w:pPr>
              <w:spacing w:after="0" w:line="240" w:lineRule="auto"/>
            </w:pPr>
            <w:r>
              <w:rPr>
                <w:rFonts w:ascii="Times New Roman" w:hAnsi="Times New Roman" w:eastAsia="Times New Roman"/>
                <w:sz w:val="15"/>
              </w:rPr>
            </w:r>
            <w:r>
              <w:rPr>
                <w:rFonts w:ascii="Times New Roman" w:hAnsi="Times New Roman" w:eastAsia="Times New Roman"/>
                <w:b/>
                <w:i w:val="0"/>
                <w:sz w:val="15"/>
              </w:rPr>
              <w:t>Amount</w:t>
            </w:r>
          </w:p>
        </w:tc>
      </w:tr>
      <w:tr>
        <w:tc>
          <w:tcPr>
            <w:tcW w:type="dxa" w:w="3442"/>
            <w:vAlign w:val="top"/>
          </w:tcPr>
          <w:p>
            <w:pPr>
              <w:spacing w:after="0" w:line="240" w:lineRule="auto"/>
            </w:pPr>
            <w:r>
              <w:rPr>
                <w:rFonts w:ascii="Times New Roman" w:hAnsi="Times New Roman" w:eastAsia="Times New Roman"/>
                <w:sz w:val="15"/>
              </w:rPr>
            </w:r>
            <w:r>
              <w:rPr>
                <w:rFonts w:ascii="Times New Roman" w:hAnsi="Times New Roman" w:eastAsia="Times New Roman"/>
                <w:b w:val="0"/>
                <w:i w:val="0"/>
                <w:sz w:val="15"/>
              </w:rPr>
              <w:t>1</w:t>
            </w:r>
          </w:p>
        </w:tc>
        <w:tc>
          <w:tcPr>
            <w:tcW w:type="dxa" w:w="3442"/>
            <w:vAlign w:val="top"/>
          </w:tcPr>
          <w:p>
            <w:pPr>
              <w:spacing w:after="0" w:line="240" w:lineRule="auto"/>
            </w:pPr>
            <w:r>
              <w:rPr>
                <w:rFonts w:ascii="Times New Roman" w:hAnsi="Times New Roman" w:eastAsia="Times New Roman"/>
                <w:sz w:val="15"/>
              </w:rPr>
            </w:r>
            <w:r>
              <w:rPr>
                <w:rFonts w:ascii="Times New Roman" w:hAnsi="Times New Roman" w:eastAsia="Times New Roman"/>
                <w:b w:val="0"/>
                <w:i w:val="0"/>
                <w:sz w:val="15"/>
              </w:rPr>
              <w:t>Services were rendered up to 2079/080, but cash was not received, so the amount was not included in income for that year.</w:t>
            </w:r>
          </w:p>
        </w:tc>
        <w:tc>
          <w:tcPr>
            <w:tcW w:type="dxa" w:w="3442"/>
            <w:vAlign w:val="top"/>
          </w:tcPr>
          <w:p>
            <w:pPr>
              <w:spacing w:after="0" w:line="240" w:lineRule="auto"/>
            </w:pPr>
            <w:r>
              <w:rPr>
                <w:rFonts w:ascii="Times New Roman" w:hAnsi="Times New Roman" w:eastAsia="Times New Roman"/>
                <w:sz w:val="15"/>
              </w:rPr>
            </w:r>
            <w:r>
              <w:rPr>
                <w:rFonts w:ascii="Times New Roman" w:hAnsi="Times New Roman" w:eastAsia="Times New Roman"/>
                <w:b w:val="0"/>
                <w:i w:val="0"/>
                <w:sz w:val="15"/>
              </w:rPr>
              <w:t>Rs. 80,000</w:t>
            </w:r>
          </w:p>
        </w:tc>
      </w:tr>
      <w:tr>
        <w:tc>
          <w:tcPr>
            <w:tcW w:type="dxa" w:w="3442"/>
            <w:vAlign w:val="top"/>
          </w:tcPr>
          <w:p>
            <w:pPr>
              <w:spacing w:after="0" w:line="240" w:lineRule="auto"/>
            </w:pPr>
            <w:r>
              <w:rPr>
                <w:rFonts w:ascii="Times New Roman" w:hAnsi="Times New Roman" w:eastAsia="Times New Roman"/>
                <w:sz w:val="15"/>
              </w:rPr>
            </w:r>
            <w:r>
              <w:rPr>
                <w:rFonts w:ascii="Times New Roman" w:hAnsi="Times New Roman" w:eastAsia="Times New Roman"/>
                <w:b w:val="0"/>
                <w:i w:val="0"/>
                <w:sz w:val="15"/>
              </w:rPr>
              <w:t>2</w:t>
            </w:r>
          </w:p>
        </w:tc>
        <w:tc>
          <w:tcPr>
            <w:tcW w:type="dxa" w:w="3442"/>
            <w:vAlign w:val="top"/>
          </w:tcPr>
          <w:p>
            <w:pPr>
              <w:spacing w:after="0" w:line="240" w:lineRule="auto"/>
            </w:pPr>
            <w:r>
              <w:rPr>
                <w:rFonts w:ascii="Times New Roman" w:hAnsi="Times New Roman" w:eastAsia="Times New Roman"/>
                <w:sz w:val="15"/>
              </w:rPr>
            </w:r>
            <w:r>
              <w:rPr>
                <w:rFonts w:ascii="Times New Roman" w:hAnsi="Times New Roman" w:eastAsia="Times New Roman"/>
                <w:b w:val="0"/>
                <w:i w:val="0"/>
                <w:sz w:val="15"/>
              </w:rPr>
              <w:t>Advance was received up to 2079/080 for services to be provided in 2080/081; despite services remaining to be provided, the amount was included in income on the cash basis in that year.</w:t>
            </w:r>
          </w:p>
        </w:tc>
        <w:tc>
          <w:tcPr>
            <w:tcW w:type="dxa" w:w="3442"/>
            <w:vAlign w:val="top"/>
          </w:tcPr>
          <w:p>
            <w:pPr>
              <w:spacing w:after="0" w:line="240" w:lineRule="auto"/>
            </w:pPr>
            <w:r>
              <w:rPr>
                <w:rFonts w:ascii="Times New Roman" w:hAnsi="Times New Roman" w:eastAsia="Times New Roman"/>
                <w:sz w:val="15"/>
              </w:rPr>
            </w:r>
            <w:r>
              <w:rPr>
                <w:rFonts w:ascii="Times New Roman" w:hAnsi="Times New Roman" w:eastAsia="Times New Roman"/>
                <w:b w:val="0"/>
                <w:i w:val="0"/>
                <w:sz w:val="15"/>
              </w:rPr>
              <w:t>Rs. 30,000</w:t>
            </w:r>
          </w:p>
        </w:tc>
      </w:tr>
      <w:tr>
        <w:tc>
          <w:tcPr>
            <w:tcW w:type="dxa" w:w="3442"/>
            <w:vAlign w:val="top"/>
          </w:tcPr>
          <w:p>
            <w:pPr>
              <w:spacing w:after="0" w:line="240" w:lineRule="auto"/>
            </w:pPr>
            <w:r>
              <w:rPr>
                <w:rFonts w:ascii="Times New Roman" w:hAnsi="Times New Roman" w:eastAsia="Times New Roman"/>
                <w:sz w:val="15"/>
              </w:rPr>
            </w:r>
            <w:r>
              <w:rPr>
                <w:rFonts w:ascii="Times New Roman" w:hAnsi="Times New Roman" w:eastAsia="Times New Roman"/>
                <w:b w:val="0"/>
                <w:i w:val="0"/>
                <w:sz w:val="15"/>
              </w:rPr>
              <w:t>3</w:t>
            </w:r>
          </w:p>
        </w:tc>
        <w:tc>
          <w:tcPr>
            <w:tcW w:type="dxa" w:w="3442"/>
            <w:vAlign w:val="top"/>
          </w:tcPr>
          <w:p>
            <w:pPr>
              <w:spacing w:after="0" w:line="240" w:lineRule="auto"/>
            </w:pPr>
            <w:r>
              <w:rPr>
                <w:rFonts w:ascii="Times New Roman" w:hAnsi="Times New Roman" w:eastAsia="Times New Roman"/>
                <w:sz w:val="15"/>
              </w:rPr>
            </w:r>
            <w:r>
              <w:rPr>
                <w:rFonts w:ascii="Times New Roman" w:hAnsi="Times New Roman" w:eastAsia="Times New Roman"/>
                <w:b w:val="0"/>
                <w:i w:val="0"/>
                <w:sz w:val="15"/>
              </w:rPr>
              <w:t>House rent for Magh 2079 to end of Poush 2080 was paid in 2079/080 and deduction was already claimed on the cash basis in that year.</w:t>
            </w:r>
          </w:p>
        </w:tc>
        <w:tc>
          <w:tcPr>
            <w:tcW w:type="dxa" w:w="3442"/>
            <w:vAlign w:val="top"/>
          </w:tcPr>
          <w:p>
            <w:pPr>
              <w:spacing w:after="0" w:line="240" w:lineRule="auto"/>
            </w:pPr>
            <w:r>
              <w:rPr>
                <w:rFonts w:ascii="Times New Roman" w:hAnsi="Times New Roman" w:eastAsia="Times New Roman"/>
                <w:sz w:val="15"/>
              </w:rPr>
            </w:r>
            <w:r>
              <w:rPr>
                <w:rFonts w:ascii="Times New Roman" w:hAnsi="Times New Roman" w:eastAsia="Times New Roman"/>
                <w:b w:val="0"/>
                <w:i w:val="0"/>
                <w:sz w:val="15"/>
              </w:rPr>
              <w:t>Rs. 48,000</w:t>
            </w:r>
          </w:p>
        </w:tc>
      </w:tr>
    </w:tbl>
    <w:p>
      <w:pPr>
        <w:spacing w:after="40" w:line="252" w:lineRule="auto"/>
      </w:pPr>
    </w:p>
    <w:p>
      <w:pPr>
        <w:spacing w:after="80" w:line="252" w:lineRule="auto"/>
        <w:ind w:firstLine="317"/>
      </w:pPr>
      <w:r>
        <w:rPr>
          <w:rFonts w:ascii="Times New Roman" w:hAnsi="Times New Roman" w:eastAsia="Times New Roman"/>
          <w:b w:val="0"/>
          <w:i w:val="0"/>
        </w:rPr>
        <w:t>In the above situation, in income year 2080/081 the following adjustments must be made to income and deductions:</w:t>
      </w:r>
    </w:p>
    <w:p>
      <w:pPr>
        <w:spacing w:after="40" w:line="252" w:lineRule="auto"/>
        <w:ind w:left="432" w:hanging="259"/>
      </w:pPr>
      <w:r>
        <w:rPr>
          <w:rFonts w:ascii="Times New Roman" w:hAnsi="Times New Roman" w:eastAsia="Times New Roman"/>
          <w:b w:val="0"/>
          <w:i w:val="0"/>
        </w:rPr>
        <w:t>1. Rs. 80,000 receivable for services already rendered up to 2079/080 must be included in income in 2080/081.</w:t>
      </w:r>
    </w:p>
    <w:p>
      <w:pPr>
        <w:spacing w:after="40" w:line="252" w:lineRule="auto"/>
        <w:ind w:left="432" w:hanging="259"/>
      </w:pPr>
      <w:r>
        <w:rPr>
          <w:rFonts w:ascii="Times New Roman" w:hAnsi="Times New Roman" w:eastAsia="Times New Roman"/>
          <w:b w:val="0"/>
          <w:i w:val="0"/>
        </w:rPr>
        <w:t>2. The advance of Rs. 30,000 received before services were provided up to 2079/080 was already taxed in 2079/080. Even though the services are provided in 2080/081, the amount is not again included in income of 2080/081.</w:t>
      </w:r>
    </w:p>
    <w:p>
      <w:pPr>
        <w:spacing w:after="40" w:line="252" w:lineRule="auto"/>
        <w:ind w:left="432" w:hanging="259"/>
      </w:pPr>
      <w:r>
        <w:rPr>
          <w:rFonts w:ascii="Times New Roman" w:hAnsi="Times New Roman" w:eastAsia="Times New Roman"/>
          <w:b w:val="0"/>
          <w:i w:val="0"/>
        </w:rPr>
        <w:t>3. Out of advance house rent of Rs. 48,000, Rs. 24,000 relating to six months of 2080/081 cannot again be claimed as a deduction in 2080/081, because deduction had already been claimed in 2079/080 on the cash basis.</w:t>
      </w:r>
    </w:p>
    <w:p>
      <w:pPr>
        <w:spacing w:after="80" w:line="252" w:lineRule="auto"/>
        <w:ind w:firstLine="317"/>
      </w:pPr>
      <w:r>
        <w:rPr>
          <w:rFonts w:ascii="Times New Roman" w:hAnsi="Times New Roman" w:eastAsia="Times New Roman"/>
          <w:b w:val="0"/>
          <w:i w:val="0"/>
        </w:rPr>
        <w:t>After adjustments are made in income year 2080/081 so that income and deductions are not counted twice, accounting must be maintained on the accrual basis for subsequent income years.</w:t>
      </w:r>
    </w:p>
    <w:p>
      <w:pPr>
        <w:pStyle w:val="Heading3"/>
        <w:spacing w:after="80" w:line="252" w:lineRule="auto"/>
      </w:pPr>
      <w:r>
        <w:rPr>
          <w:rFonts w:ascii="Times New Roman" w:hAnsi="Times New Roman" w:eastAsia="Times New Roman"/>
          <w:b w:val="0"/>
          <w:i w:val="0"/>
        </w:rPr>
        <w:t>8.2.2 Accounting Policy</w:t>
      </w:r>
    </w:p>
    <w:p>
      <w:pPr>
        <w:spacing w:after="80" w:line="252" w:lineRule="auto"/>
        <w:ind w:firstLine="317"/>
      </w:pPr>
      <w:r>
        <w:rPr>
          <w:rFonts w:ascii="Times New Roman" w:hAnsi="Times New Roman" w:eastAsia="Times New Roman"/>
          <w:b w:val="0"/>
          <w:i w:val="0"/>
        </w:rPr>
        <w:t>Since the accounting policy may have a significant effect on the accounting of income, the Income Tax Act, 2058 provides, with the objective of maintaining consistency and regularity, that accounting for tax purposes shall be maintained according to generally accepted accounting principles, subject to the Act. Where the Act clearly specifies the accounting process, it must be followed; otherwise, accounting for tax purposes must be done in accordance with generally accepted accounting principles. In this context, accounting must be based on Nepal Accounting Standards/Nepal Financial Reporting Standards issued by ICAN, and, where such standards are not available, on International Accounting Standards/International Financial Reporting Standards or other prevailing principles.</w:t>
      </w:r>
    </w:p>
    <w:p>
      <w:pPr>
        <w:spacing w:after="80" w:line="252" w:lineRule="auto"/>
        <w:ind w:firstLine="317"/>
      </w:pPr>
      <w:r>
        <w:rPr>
          <w:rFonts w:ascii="Times New Roman" w:hAnsi="Times New Roman" w:eastAsia="Times New Roman"/>
          <w:b w:val="0"/>
          <w:i w:val="0"/>
        </w:rPr>
        <w:t>For income tax purposes, the following persons must record transactions by the following accounting methods:</w:t>
      </w:r>
    </w:p>
    <w:tbl>
      <w:tblPr>
        <w:tblStyle w:val="TableGrid"/>
        <w:tblW w:type="auto" w:w="0"/>
        <w:jc w:val="center"/>
        <w:tblLook w:firstColumn="1" w:firstRow="1" w:lastColumn="0" w:lastRow="0" w:noHBand="0" w:noVBand="1" w:val="04A0"/>
      </w:tblPr>
      <w:tblGrid>
        <w:gridCol w:w="3442"/>
        <w:gridCol w:w="3442"/>
        <w:gridCol w:w="3442"/>
      </w:tblGrid>
      <w:tr>
        <w:tc>
          <w:tcPr>
            <w:tcW w:type="dxa" w:w="3442"/>
            <w:vAlign w:val="top"/>
            <w:shd w:fill="E7E6E6"/>
          </w:tcPr>
          <w:p>
            <w:pPr>
              <w:spacing w:after="0" w:line="240" w:lineRule="auto"/>
            </w:pPr>
            <w:r>
              <w:rPr>
                <w:rFonts w:ascii="Times New Roman" w:hAnsi="Times New Roman" w:eastAsia="Times New Roman"/>
                <w:sz w:val="16"/>
              </w:rPr>
            </w:r>
            <w:r>
              <w:rPr>
                <w:rFonts w:ascii="Times New Roman" w:hAnsi="Times New Roman" w:eastAsia="Times New Roman"/>
                <w:b/>
                <w:i w:val="0"/>
                <w:sz w:val="16"/>
              </w:rPr>
              <w:t>Person</w:t>
            </w:r>
          </w:p>
        </w:tc>
        <w:tc>
          <w:tcPr>
            <w:tcW w:type="dxa" w:w="3442"/>
            <w:vAlign w:val="top"/>
            <w:shd w:fill="E7E6E6"/>
          </w:tcPr>
          <w:p>
            <w:pPr>
              <w:spacing w:after="0" w:line="240" w:lineRule="auto"/>
            </w:pPr>
            <w:r>
              <w:rPr>
                <w:rFonts w:ascii="Times New Roman" w:hAnsi="Times New Roman" w:eastAsia="Times New Roman"/>
                <w:sz w:val="16"/>
              </w:rPr>
            </w:r>
            <w:r>
              <w:rPr>
                <w:rFonts w:ascii="Times New Roman" w:hAnsi="Times New Roman" w:eastAsia="Times New Roman"/>
                <w:b/>
                <w:i w:val="0"/>
                <w:sz w:val="16"/>
              </w:rPr>
              <w:t>Head of income</w:t>
            </w:r>
          </w:p>
        </w:tc>
        <w:tc>
          <w:tcPr>
            <w:tcW w:type="dxa" w:w="3442"/>
            <w:vAlign w:val="top"/>
            <w:shd w:fill="E7E6E6"/>
          </w:tcPr>
          <w:p>
            <w:pPr>
              <w:spacing w:after="0" w:line="240" w:lineRule="auto"/>
            </w:pPr>
            <w:r>
              <w:rPr>
                <w:rFonts w:ascii="Times New Roman" w:hAnsi="Times New Roman" w:eastAsia="Times New Roman"/>
                <w:sz w:val="16"/>
              </w:rPr>
            </w:r>
            <w:r>
              <w:rPr>
                <w:rFonts w:ascii="Times New Roman" w:hAnsi="Times New Roman" w:eastAsia="Times New Roman"/>
                <w:b/>
                <w:i w:val="0"/>
                <w:sz w:val="16"/>
              </w:rPr>
              <w:t>Accounting method</w:t>
            </w:r>
          </w:p>
        </w:tc>
      </w:tr>
      <w:tr>
        <w:tc>
          <w:tcPr>
            <w:tcW w:type="dxa" w:w="3442"/>
            <w:vAlign w:val="top"/>
          </w:tcPr>
          <w:p>
            <w:pPr>
              <w:spacing w:after="0" w:line="240" w:lineRule="auto"/>
            </w:pPr>
            <w:r>
              <w:rPr>
                <w:rFonts w:ascii="Times New Roman" w:hAnsi="Times New Roman" w:eastAsia="Times New Roman"/>
                <w:sz w:val="16"/>
              </w:rPr>
            </w:r>
            <w:r>
              <w:rPr>
                <w:rFonts w:ascii="Times New Roman" w:hAnsi="Times New Roman" w:eastAsia="Times New Roman"/>
                <w:b w:val="0"/>
                <w:i w:val="0"/>
                <w:sz w:val="16"/>
              </w:rPr>
              <w:t>Natural person</w:t>
            </w:r>
          </w:p>
        </w:tc>
        <w:tc>
          <w:tcPr>
            <w:tcW w:type="dxa" w:w="3442"/>
            <w:vAlign w:val="top"/>
          </w:tcPr>
          <w:p>
            <w:pPr>
              <w:spacing w:after="0" w:line="240" w:lineRule="auto"/>
            </w:pPr>
            <w:r>
              <w:rPr>
                <w:rFonts w:ascii="Times New Roman" w:hAnsi="Times New Roman" w:eastAsia="Times New Roman"/>
                <w:sz w:val="16"/>
              </w:rPr>
            </w:r>
            <w:r>
              <w:rPr>
                <w:rFonts w:ascii="Times New Roman" w:hAnsi="Times New Roman" w:eastAsia="Times New Roman"/>
                <w:b w:val="0"/>
                <w:i w:val="0"/>
                <w:sz w:val="16"/>
              </w:rPr>
              <w:t>Employment, investment</w:t>
            </w:r>
          </w:p>
        </w:tc>
        <w:tc>
          <w:tcPr>
            <w:tcW w:type="dxa" w:w="3442"/>
            <w:vAlign w:val="top"/>
          </w:tcPr>
          <w:p>
            <w:pPr>
              <w:spacing w:after="0" w:line="240" w:lineRule="auto"/>
            </w:pPr>
            <w:r>
              <w:rPr>
                <w:rFonts w:ascii="Times New Roman" w:hAnsi="Times New Roman" w:eastAsia="Times New Roman"/>
                <w:sz w:val="16"/>
              </w:rPr>
            </w:r>
            <w:r>
              <w:rPr>
                <w:rFonts w:ascii="Times New Roman" w:hAnsi="Times New Roman" w:eastAsia="Times New Roman"/>
                <w:b w:val="0"/>
                <w:i w:val="0"/>
                <w:sz w:val="16"/>
              </w:rPr>
              <w:t>Cash basis, except under the proviso to section 22(2) of the Act</w:t>
            </w:r>
          </w:p>
        </w:tc>
      </w:tr>
      <w:tr>
        <w:tc>
          <w:tcPr>
            <w:tcW w:type="dxa" w:w="3442"/>
            <w:vAlign w:val="top"/>
          </w:tcPr>
          <w:p>
            <w:pPr>
              <w:spacing w:after="0" w:line="240" w:lineRule="auto"/>
            </w:pPr>
            <w:r>
              <w:rPr>
                <w:rFonts w:ascii="Times New Roman" w:hAnsi="Times New Roman" w:eastAsia="Times New Roman"/>
                <w:sz w:val="16"/>
              </w:rPr>
            </w:r>
            <w:r>
              <w:rPr>
                <w:rFonts w:ascii="Times New Roman" w:hAnsi="Times New Roman" w:eastAsia="Times New Roman"/>
                <w:b w:val="0"/>
                <w:i w:val="0"/>
                <w:sz w:val="16"/>
              </w:rPr>
              <w:t>Natural person (including an entity other than a company)</w:t>
            </w:r>
          </w:p>
        </w:tc>
        <w:tc>
          <w:tcPr>
            <w:tcW w:type="dxa" w:w="3442"/>
            <w:vAlign w:val="top"/>
          </w:tcPr>
          <w:p>
            <w:pPr>
              <w:spacing w:after="0" w:line="240" w:lineRule="auto"/>
            </w:pPr>
            <w:r>
              <w:rPr>
                <w:rFonts w:ascii="Times New Roman" w:hAnsi="Times New Roman" w:eastAsia="Times New Roman"/>
                <w:sz w:val="16"/>
              </w:rPr>
            </w:r>
            <w:r>
              <w:rPr>
                <w:rFonts w:ascii="Times New Roman" w:hAnsi="Times New Roman" w:eastAsia="Times New Roman"/>
                <w:b w:val="0"/>
                <w:i w:val="0"/>
                <w:sz w:val="16"/>
              </w:rPr>
              <w:t>Business</w:t>
            </w:r>
          </w:p>
        </w:tc>
        <w:tc>
          <w:tcPr>
            <w:tcW w:type="dxa" w:w="3442"/>
            <w:vAlign w:val="top"/>
          </w:tcPr>
          <w:p>
            <w:pPr>
              <w:spacing w:after="0" w:line="240" w:lineRule="auto"/>
            </w:pPr>
            <w:r>
              <w:rPr>
                <w:rFonts w:ascii="Times New Roman" w:hAnsi="Times New Roman" w:eastAsia="Times New Roman"/>
                <w:sz w:val="16"/>
              </w:rPr>
            </w:r>
            <w:r>
              <w:rPr>
                <w:rFonts w:ascii="Times New Roman" w:hAnsi="Times New Roman" w:eastAsia="Times New Roman"/>
                <w:b w:val="0"/>
                <w:i w:val="0"/>
                <w:sz w:val="16"/>
              </w:rPr>
              <w:t>Cash or accrual basis</w:t>
            </w:r>
          </w:p>
        </w:tc>
      </w:tr>
      <w:tr>
        <w:tc>
          <w:tcPr>
            <w:tcW w:type="dxa" w:w="3442"/>
            <w:vAlign w:val="top"/>
          </w:tcPr>
          <w:p>
            <w:pPr>
              <w:spacing w:after="0" w:line="240" w:lineRule="auto"/>
            </w:pPr>
            <w:r>
              <w:rPr>
                <w:rFonts w:ascii="Times New Roman" w:hAnsi="Times New Roman" w:eastAsia="Times New Roman"/>
                <w:sz w:val="16"/>
              </w:rPr>
            </w:r>
            <w:r>
              <w:rPr>
                <w:rFonts w:ascii="Times New Roman" w:hAnsi="Times New Roman" w:eastAsia="Times New Roman"/>
                <w:b w:val="0"/>
                <w:i w:val="0"/>
                <w:sz w:val="16"/>
              </w:rPr>
              <w:t>Company</w:t>
            </w:r>
          </w:p>
        </w:tc>
        <w:tc>
          <w:tcPr>
            <w:tcW w:type="dxa" w:w="3442"/>
            <w:vAlign w:val="top"/>
          </w:tcPr>
          <w:p>
            <w:pPr>
              <w:spacing w:after="0" w:line="240" w:lineRule="auto"/>
            </w:pPr>
            <w:r>
              <w:rPr>
                <w:rFonts w:ascii="Times New Roman" w:hAnsi="Times New Roman" w:eastAsia="Times New Roman"/>
                <w:sz w:val="16"/>
              </w:rPr>
            </w:r>
            <w:r>
              <w:rPr>
                <w:rFonts w:ascii="Times New Roman" w:hAnsi="Times New Roman" w:eastAsia="Times New Roman"/>
                <w:b w:val="0"/>
                <w:i w:val="0"/>
                <w:sz w:val="16"/>
              </w:rPr>
              <w:t>Business, investment</w:t>
            </w:r>
          </w:p>
        </w:tc>
        <w:tc>
          <w:tcPr>
            <w:tcW w:type="dxa" w:w="3442"/>
            <w:vAlign w:val="top"/>
          </w:tcPr>
          <w:p>
            <w:pPr>
              <w:spacing w:after="0" w:line="240" w:lineRule="auto"/>
            </w:pPr>
            <w:r>
              <w:rPr>
                <w:rFonts w:ascii="Times New Roman" w:hAnsi="Times New Roman" w:eastAsia="Times New Roman"/>
                <w:sz w:val="16"/>
              </w:rPr>
            </w:r>
            <w:r>
              <w:rPr>
                <w:rFonts w:ascii="Times New Roman" w:hAnsi="Times New Roman" w:eastAsia="Times New Roman"/>
                <w:b w:val="0"/>
                <w:i w:val="0"/>
                <w:sz w:val="16"/>
              </w:rPr>
              <w:t>Accrual basis</w:t>
            </w:r>
          </w:p>
        </w:tc>
      </w:tr>
    </w:tbl>
    <w:p>
      <w:pPr>
        <w:spacing w:after="40" w:line="252" w:lineRule="auto"/>
      </w:pPr>
    </w:p>
    <w:p>
      <w:pPr>
        <w:pStyle w:val="Heading2"/>
        <w:spacing w:after="80" w:line="252" w:lineRule="auto"/>
      </w:pPr>
      <w:r>
        <w:rPr>
          <w:rFonts w:ascii="Times New Roman" w:hAnsi="Times New Roman" w:eastAsia="Times New Roman"/>
          <w:b w:val="0"/>
          <w:i w:val="0"/>
        </w:rPr>
        <w:t>8.3 Cash Basis Accounting</w:t>
      </w:r>
    </w:p>
    <w:p>
      <w:pPr>
        <w:pStyle w:val="Heading3"/>
        <w:spacing w:after="80" w:line="252" w:lineRule="auto"/>
      </w:pPr>
      <w:r>
        <w:rPr>
          <w:rFonts w:ascii="Times New Roman" w:hAnsi="Times New Roman" w:eastAsia="Times New Roman"/>
          <w:b w:val="0"/>
          <w:i w:val="0"/>
        </w:rPr>
        <w:t>8.3.1 Provision of Section 23</w:t>
      </w:r>
    </w:p>
    <w:p>
      <w:pPr>
        <w:spacing w:after="80" w:line="252" w:lineRule="auto"/>
        <w:ind w:firstLine="317"/>
      </w:pPr>
      <w:r>
        <w:rPr>
          <w:rFonts w:ascii="Times New Roman" w:hAnsi="Times New Roman" w:eastAsia="Times New Roman"/>
          <w:b w:val="0"/>
          <w:i w:val="0"/>
        </w:rPr>
        <w:t>Section 23 of the Act provides as follows regarding cash basis accounting:</w:t>
      </w:r>
    </w:p>
    <w:p>
      <w:pPr>
        <w:spacing w:after="60" w:line="252" w:lineRule="auto"/>
        <w:ind w:left="317"/>
      </w:pPr>
      <w:r>
        <w:rPr>
          <w:rFonts w:ascii="Times New Roman" w:hAnsi="Times New Roman" w:eastAsia="Times New Roman"/>
          <w:b w:val="0"/>
          <w:i/>
          <w:sz w:val="18"/>
        </w:rPr>
        <w:t>A person accounting for income derived from employment, business or investment on the cash basis for tax purposes, subject to this Act, shall account as follows:</w:t>
      </w:r>
    </w:p>
    <w:p>
      <w:pPr>
        <w:spacing w:after="60" w:line="252" w:lineRule="auto"/>
        <w:ind w:left="317"/>
      </w:pPr>
      <w:r>
        <w:rPr>
          <w:rFonts w:ascii="Times New Roman" w:hAnsi="Times New Roman" w:eastAsia="Times New Roman"/>
          <w:b w:val="0"/>
          <w:i/>
          <w:sz w:val="18"/>
        </w:rPr>
        <w:t>(a) Amounts shall be included in the person’s income only when payment is received by the person or made available to the person.</w:t>
      </w:r>
    </w:p>
    <w:p>
      <w:pPr>
        <w:spacing w:after="60" w:line="252" w:lineRule="auto"/>
        <w:ind w:left="317"/>
      </w:pPr>
      <w:r>
        <w:rPr>
          <w:rFonts w:ascii="Times New Roman" w:hAnsi="Times New Roman" w:eastAsia="Times New Roman"/>
          <w:b w:val="0"/>
          <w:i/>
          <w:sz w:val="18"/>
        </w:rPr>
        <w:t>(b) An expenditure shall be deductible in that computation only after the person makes the payment.</w:t>
      </w:r>
    </w:p>
    <w:p>
      <w:pPr>
        <w:spacing w:after="80" w:line="252" w:lineRule="auto"/>
        <w:ind w:firstLine="317"/>
      </w:pPr>
      <w:r>
        <w:rPr>
          <w:rFonts w:ascii="Times New Roman" w:hAnsi="Times New Roman" w:eastAsia="Times New Roman"/>
          <w:b w:val="0"/>
          <w:i w:val="0"/>
        </w:rPr>
        <w:t>A system under which income is included only after cash is received and expenditure is recorded only after cash is paid is treated as the cash basis accounting method. Even where accounting is maintained on the cash basis, expenditures under section 15 must be accounted for on the accrual basis.</w:t>
      </w:r>
    </w:p>
    <w:p>
      <w:pPr>
        <w:spacing w:after="80" w:line="252" w:lineRule="auto"/>
        <w:ind w:firstLine="317"/>
      </w:pPr>
      <w:r>
        <w:rPr>
          <w:rFonts w:ascii="Times New Roman" w:hAnsi="Times New Roman" w:eastAsia="Times New Roman"/>
          <w:b w:val="0"/>
          <w:i w:val="0"/>
        </w:rPr>
        <w:t>The cash basis accounting rule is clarified by the following example.</w:t>
      </w:r>
    </w:p>
    <w:p>
      <w:pPr>
        <w:spacing w:after="20" w:line="252" w:lineRule="auto"/>
      </w:pPr>
      <w:r>
        <w:rPr>
          <w:rFonts w:ascii="Times New Roman" w:hAnsi="Times New Roman" w:eastAsia="Times New Roman"/>
          <w:b/>
          <w:i w:val="0"/>
        </w:rPr>
        <w:t>Example 8.3.1</w:t>
      </w:r>
    </w:p>
    <w:p>
      <w:pPr>
        <w:spacing w:after="60" w:line="252" w:lineRule="auto"/>
        <w:ind w:firstLine="317"/>
      </w:pPr>
      <w:r>
        <w:rPr>
          <w:rFonts w:ascii="Times New Roman" w:hAnsi="Times New Roman" w:eastAsia="Times New Roman"/>
          <w:b w:val="0"/>
          <w:i w:val="0"/>
        </w:rPr>
        <w:t>Suppose Mohan Kasaju and Sons is a sole proprietorship firm and accounts for its income and expenses on the cash basis for income tax purposes. In income year 2080/081, its transactions are as follows:</w:t>
      </w:r>
    </w:p>
    <w:tbl>
      <w:tblPr>
        <w:tblStyle w:val="TableGrid"/>
        <w:tblW w:type="auto" w:w="0"/>
        <w:jc w:val="center"/>
        <w:tblLook w:firstColumn="1" w:firstRow="1" w:lastColumn="0" w:lastRow="0" w:noHBand="0" w:noVBand="1" w:val="04A0"/>
      </w:tblPr>
      <w:tblGrid>
        <w:gridCol w:w="3442"/>
        <w:gridCol w:w="3442"/>
        <w:gridCol w:w="3442"/>
      </w:tblGrid>
      <w:tr>
        <w:tc>
          <w:tcPr>
            <w:tcW w:type="dxa" w:w="3442"/>
            <w:vAlign w:val="top"/>
            <w:shd w:fill="E7E6E6"/>
          </w:tcPr>
          <w:p>
            <w:pPr>
              <w:spacing w:after="0" w:line="240" w:lineRule="auto"/>
            </w:pPr>
            <w:r>
              <w:rPr>
                <w:rFonts w:ascii="Times New Roman" w:hAnsi="Times New Roman" w:eastAsia="Times New Roman"/>
                <w:sz w:val="14"/>
              </w:rPr>
            </w:r>
            <w:r>
              <w:rPr>
                <w:rFonts w:ascii="Times New Roman" w:hAnsi="Times New Roman" w:eastAsia="Times New Roman"/>
                <w:b/>
                <w:i w:val="0"/>
                <w:sz w:val="14"/>
              </w:rPr>
              <w:t>Item</w:t>
            </w:r>
          </w:p>
        </w:tc>
        <w:tc>
          <w:tcPr>
            <w:tcW w:type="dxa" w:w="3442"/>
            <w:vAlign w:val="top"/>
            <w:shd w:fill="E7E6E6"/>
          </w:tcPr>
          <w:p>
            <w:pPr>
              <w:spacing w:after="0" w:line="240" w:lineRule="auto"/>
            </w:pPr>
            <w:r>
              <w:rPr>
                <w:rFonts w:ascii="Times New Roman" w:hAnsi="Times New Roman" w:eastAsia="Times New Roman"/>
                <w:sz w:val="14"/>
              </w:rPr>
            </w:r>
            <w:r>
              <w:rPr>
                <w:rFonts w:ascii="Times New Roman" w:hAnsi="Times New Roman" w:eastAsia="Times New Roman"/>
                <w:b/>
                <w:i w:val="0"/>
                <w:sz w:val="14"/>
              </w:rPr>
              <w:t>Transaction</w:t>
            </w:r>
          </w:p>
        </w:tc>
        <w:tc>
          <w:tcPr>
            <w:tcW w:type="dxa" w:w="3442"/>
            <w:vAlign w:val="top"/>
            <w:shd w:fill="E7E6E6"/>
          </w:tcPr>
          <w:p>
            <w:pPr>
              <w:spacing w:after="0" w:line="240" w:lineRule="auto"/>
            </w:pPr>
            <w:r>
              <w:rPr>
                <w:rFonts w:ascii="Times New Roman" w:hAnsi="Times New Roman" w:eastAsia="Times New Roman"/>
                <w:sz w:val="14"/>
              </w:rPr>
            </w:r>
            <w:r>
              <w:rPr>
                <w:rFonts w:ascii="Times New Roman" w:hAnsi="Times New Roman" w:eastAsia="Times New Roman"/>
                <w:b/>
                <w:i w:val="0"/>
                <w:sz w:val="14"/>
              </w:rPr>
              <w:t>Amount</w:t>
            </w:r>
          </w:p>
        </w:tc>
      </w:tr>
      <w:tr>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t>a</w:t>
            </w:r>
          </w:p>
        </w:tc>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t>Cash received in 2080/081 from credit sales made in 2079/080</w:t>
            </w:r>
          </w:p>
        </w:tc>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t>Rs. 50,000</w:t>
            </w:r>
          </w:p>
        </w:tc>
      </w:tr>
      <w:tr>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t>b</w:t>
            </w:r>
          </w:p>
        </w:tc>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t>Out of total sales of Rs. 1,000,000 in 2080/081, cash received</w:t>
            </w:r>
          </w:p>
        </w:tc>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t>Rs. 900,000</w:t>
            </w:r>
          </w:p>
        </w:tc>
      </w:tr>
      <w:tr>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t>c</w:t>
            </w:r>
          </w:p>
        </w:tc>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t>Out of employee salary expense of Rs. 200,000 for 2080/081, Rs. 180,000 was paid; Rs. 20,000 was paid only on 2081/04/14</w:t>
            </w:r>
          </w:p>
        </w:tc>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t>Rs. 180,000 paid</w:t>
            </w:r>
          </w:p>
        </w:tc>
      </w:tr>
      <w:tr>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t>d</w:t>
            </w:r>
          </w:p>
        </w:tc>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t>Cost of sales paid</w:t>
            </w:r>
          </w:p>
        </w:tc>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t>Rs. 600,000</w:t>
            </w:r>
          </w:p>
        </w:tc>
      </w:tr>
      <w:tr>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t>e</w:t>
            </w:r>
          </w:p>
        </w:tc>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t>House rent for 2081/082 paid in advance during 2080/081</w:t>
            </w:r>
          </w:p>
        </w:tc>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t>Rs. 100,000</w:t>
            </w:r>
          </w:p>
        </w:tc>
      </w:tr>
      <w:tr>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t>f</w:t>
            </w:r>
          </w:p>
        </w:tc>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t>Rent of 2080/081 amounting to Rs. 90,000 had already been paid in cash in 2079/080</w:t>
            </w:r>
          </w:p>
        </w:tc>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t>-</w:t>
            </w:r>
          </w:p>
        </w:tc>
      </w:tr>
      <w:tr>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t>g</w:t>
            </w:r>
          </w:p>
        </w:tc>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t>Out of interest expense of Rs. 60,000 for 2080/081, Rs. 10,000 was paid only on 2081/04/20</w:t>
            </w:r>
          </w:p>
        </w:tc>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t>Rs. 50,000 paid</w:t>
            </w:r>
          </w:p>
        </w:tc>
      </w:tr>
    </w:tbl>
    <w:p>
      <w:pPr>
        <w:spacing w:after="40" w:line="252" w:lineRule="auto"/>
      </w:pPr>
    </w:p>
    <w:p>
      <w:pPr>
        <w:spacing w:after="80" w:line="252" w:lineRule="auto"/>
        <w:ind w:firstLine="317"/>
      </w:pPr>
      <w:r>
        <w:rPr>
          <w:rFonts w:ascii="Times New Roman" w:hAnsi="Times New Roman" w:eastAsia="Times New Roman"/>
          <w:b w:val="0"/>
          <w:i w:val="0"/>
        </w:rPr>
        <w:t>On the cash basis, the income of the firm for income year 2080/081 is computed as follows:</w:t>
      </w:r>
    </w:p>
    <w:tbl>
      <w:tblPr>
        <w:tblStyle w:val="TableGrid"/>
        <w:tblW w:type="auto" w:w="0"/>
        <w:jc w:val="center"/>
        <w:tblLook w:firstColumn="1" w:firstRow="1" w:lastColumn="0" w:lastRow="0" w:noHBand="0" w:noVBand="1" w:val="04A0"/>
      </w:tblPr>
      <w:tblGrid>
        <w:gridCol w:w="3442"/>
        <w:gridCol w:w="3442"/>
        <w:gridCol w:w="3442"/>
      </w:tblGrid>
      <w:tr>
        <w:tc>
          <w:tcPr>
            <w:tcW w:type="dxa" w:w="3442"/>
            <w:vAlign w:val="top"/>
            <w:shd w:fill="E7E6E6"/>
          </w:tcPr>
          <w:p>
            <w:pPr>
              <w:spacing w:after="0" w:line="240" w:lineRule="auto"/>
            </w:pPr>
            <w:r>
              <w:rPr>
                <w:rFonts w:ascii="Times New Roman" w:hAnsi="Times New Roman" w:eastAsia="Times New Roman"/>
                <w:sz w:val="14"/>
              </w:rPr>
            </w:r>
            <w:r>
              <w:rPr>
                <w:rFonts w:ascii="Times New Roman" w:hAnsi="Times New Roman" w:eastAsia="Times New Roman"/>
                <w:b/>
                <w:i w:val="0"/>
                <w:sz w:val="14"/>
              </w:rPr>
              <w:t>Particulars</w:t>
            </w:r>
          </w:p>
        </w:tc>
        <w:tc>
          <w:tcPr>
            <w:tcW w:type="dxa" w:w="3442"/>
            <w:vAlign w:val="top"/>
            <w:shd w:fill="E7E6E6"/>
          </w:tcPr>
          <w:p>
            <w:pPr>
              <w:spacing w:after="0" w:line="240" w:lineRule="auto"/>
            </w:pPr>
            <w:r>
              <w:rPr>
                <w:rFonts w:ascii="Times New Roman" w:hAnsi="Times New Roman" w:eastAsia="Times New Roman"/>
                <w:sz w:val="14"/>
              </w:rPr>
            </w:r>
            <w:r>
              <w:rPr>
                <w:rFonts w:ascii="Times New Roman" w:hAnsi="Times New Roman" w:eastAsia="Times New Roman"/>
                <w:b/>
                <w:i w:val="0"/>
                <w:sz w:val="14"/>
              </w:rPr>
              <w:t>Deduction (Rs.)</w:t>
            </w:r>
          </w:p>
        </w:tc>
        <w:tc>
          <w:tcPr>
            <w:tcW w:type="dxa" w:w="3442"/>
            <w:vAlign w:val="top"/>
            <w:shd w:fill="E7E6E6"/>
          </w:tcPr>
          <w:p>
            <w:pPr>
              <w:spacing w:after="0" w:line="240" w:lineRule="auto"/>
            </w:pPr>
            <w:r>
              <w:rPr>
                <w:rFonts w:ascii="Times New Roman" w:hAnsi="Times New Roman" w:eastAsia="Times New Roman"/>
                <w:sz w:val="14"/>
              </w:rPr>
            </w:r>
            <w:r>
              <w:rPr>
                <w:rFonts w:ascii="Times New Roman" w:hAnsi="Times New Roman" w:eastAsia="Times New Roman"/>
                <w:b/>
                <w:i w:val="0"/>
                <w:sz w:val="14"/>
              </w:rPr>
              <w:t>Income (Rs.)</w:t>
            </w:r>
          </w:p>
        </w:tc>
      </w:tr>
      <w:tr>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t>a. Cash receipt from sales of 2079/080</w:t>
            </w:r>
          </w:p>
        </w:tc>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r>
          </w:p>
        </w:tc>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t>50,000</w:t>
            </w:r>
          </w:p>
        </w:tc>
      </w:tr>
      <w:tr>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t>b. Cash sales of 2080/081</w:t>
            </w:r>
          </w:p>
        </w:tc>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r>
          </w:p>
        </w:tc>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t>900,000</w:t>
            </w:r>
          </w:p>
        </w:tc>
      </w:tr>
      <w:tr>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t>c. Salary paid in cash to employees in 2080/081</w:t>
            </w:r>
          </w:p>
        </w:tc>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t>180,000</w:t>
            </w:r>
          </w:p>
        </w:tc>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r>
          </w:p>
        </w:tc>
      </w:tr>
      <w:tr>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t>d. Cost of sales</w:t>
            </w:r>
          </w:p>
        </w:tc>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t>600,000</w:t>
            </w:r>
          </w:p>
        </w:tc>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r>
          </w:p>
        </w:tc>
      </w:tr>
      <w:tr>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t>e. House rent paid in cash in 2080/081</w:t>
            </w:r>
          </w:p>
        </w:tc>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t>100,000</w:t>
            </w:r>
          </w:p>
        </w:tc>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r>
          </w:p>
        </w:tc>
      </w:tr>
      <w:tr>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t>f. Rent of 2080/081 was not paid in cash in 2080/081 because it had already been paid in 2079/080</w:t>
            </w:r>
          </w:p>
        </w:tc>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t>-</w:t>
            </w:r>
          </w:p>
        </w:tc>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r>
          </w:p>
        </w:tc>
      </w:tr>
      <w:tr>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t>g. Interest paid in cash</w:t>
            </w:r>
          </w:p>
        </w:tc>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t>50,000</w:t>
            </w:r>
          </w:p>
        </w:tc>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r>
          </w:p>
        </w:tc>
      </w:tr>
      <w:tr>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t>Total</w:t>
            </w:r>
          </w:p>
        </w:tc>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t>930,000</w:t>
            </w:r>
          </w:p>
        </w:tc>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t>950,000</w:t>
            </w:r>
          </w:p>
        </w:tc>
      </w:tr>
    </w:tbl>
    <w:p>
      <w:pPr>
        <w:spacing w:after="40" w:line="252" w:lineRule="auto"/>
      </w:pPr>
    </w:p>
    <w:p>
      <w:pPr>
        <w:spacing w:after="80" w:line="252" w:lineRule="auto"/>
        <w:ind w:firstLine="317"/>
      </w:pPr>
      <w:r>
        <w:rPr>
          <w:rFonts w:ascii="Times New Roman" w:hAnsi="Times New Roman" w:eastAsia="Times New Roman"/>
          <w:b w:val="0"/>
          <w:i w:val="0"/>
        </w:rPr>
        <w:t>Accordingly, where the firm accounts on the cash basis for income tax purposes, Rs. 950,000 must be included in income and Rs. 930,000 may be claimed as deduction.</w:t>
      </w:r>
    </w:p>
    <w:p>
      <w:pPr>
        <w:pStyle w:val="Heading2"/>
        <w:spacing w:after="80" w:line="252" w:lineRule="auto"/>
      </w:pPr>
      <w:r>
        <w:rPr>
          <w:rFonts w:ascii="Times New Roman" w:hAnsi="Times New Roman" w:eastAsia="Times New Roman"/>
          <w:b w:val="0"/>
          <w:i w:val="0"/>
        </w:rPr>
        <w:t>8.4 Accrual Basis Accounting</w:t>
      </w:r>
    </w:p>
    <w:p>
      <w:pPr>
        <w:spacing w:after="80" w:line="252" w:lineRule="auto"/>
        <w:ind w:firstLine="317"/>
      </w:pPr>
      <w:r>
        <w:rPr>
          <w:rFonts w:ascii="Times New Roman" w:hAnsi="Times New Roman" w:eastAsia="Times New Roman"/>
          <w:b w:val="0"/>
          <w:i w:val="0"/>
        </w:rPr>
        <w:t>Accrual basis accounting is an internationally used accounting method. Nepal Accounting Standard 1, Presentation of Financial Statements, requires an entity to prepare financial statements on the accrual basis, except for the cash flow statement. Section 22(3) of the Act clearly provides that a company must account on the accrual basis for tax purposes.</w:t>
      </w:r>
    </w:p>
    <w:p>
      <w:pPr>
        <w:spacing w:after="80" w:line="252" w:lineRule="auto"/>
        <w:ind w:firstLine="317"/>
      </w:pPr>
      <w:r>
        <w:rPr>
          <w:rFonts w:ascii="Times New Roman" w:hAnsi="Times New Roman" w:eastAsia="Times New Roman"/>
          <w:b w:val="0"/>
          <w:i w:val="0"/>
        </w:rPr>
        <w:t>Under accrual basis accounting, economic events or transactions are recorded when they occur. The method under which transactions are recorded in the period to which they relate is called accrual basis accounting. This method also supports the matching concept between income and expenditure. Under this method, income must be recorded when the right to receive payment is created, and expenditure must be recorded when the obligation to pay is created. Therefore, cash receipt or cash payment alone is not the basis of accounting.</w:t>
      </w:r>
    </w:p>
    <w:p>
      <w:pPr>
        <w:spacing w:after="80" w:line="252" w:lineRule="auto"/>
        <w:ind w:firstLine="317"/>
      </w:pPr>
      <w:r>
        <w:rPr>
          <w:rFonts w:ascii="Times New Roman" w:hAnsi="Times New Roman" w:eastAsia="Times New Roman"/>
          <w:b w:val="0"/>
          <w:i w:val="0"/>
        </w:rPr>
        <w:t>Section 24 of the Act provides as follows regarding accrual basis accounting:</w:t>
      </w:r>
    </w:p>
    <w:p>
      <w:pPr>
        <w:spacing w:after="60" w:line="252" w:lineRule="auto"/>
        <w:ind w:left="317"/>
      </w:pPr>
      <w:r>
        <w:rPr>
          <w:rFonts w:ascii="Times New Roman" w:hAnsi="Times New Roman" w:eastAsia="Times New Roman"/>
          <w:b w:val="0"/>
          <w:i/>
          <w:sz w:val="18"/>
        </w:rPr>
        <w:t>24(1) A person accounting for income derived from business or investment on the accrual basis for tax purposes, subject to this Act, shall include a payment in the computation of the person’s income when the right to receive the payment is created, as if the payment had been received.</w:t>
      </w:r>
    </w:p>
    <w:p>
      <w:pPr>
        <w:spacing w:after="80" w:line="252" w:lineRule="auto"/>
        <w:ind w:firstLine="317"/>
      </w:pPr>
      <w:r>
        <w:rPr>
          <w:rFonts w:ascii="Times New Roman" w:hAnsi="Times New Roman" w:eastAsia="Times New Roman"/>
          <w:b w:val="0"/>
          <w:i w:val="0"/>
        </w:rPr>
        <w:t>In accrual accounting, income is recorded as soon as the right to receive payment is created, and expenditure is recorded as soon as the obligation to pay is created. The rule is clarified by the following example.</w:t>
      </w:r>
    </w:p>
    <w:p>
      <w:pPr>
        <w:spacing w:after="20" w:line="252" w:lineRule="auto"/>
      </w:pPr>
      <w:r>
        <w:rPr>
          <w:rFonts w:ascii="Times New Roman" w:hAnsi="Times New Roman" w:eastAsia="Times New Roman"/>
          <w:b/>
          <w:i w:val="0"/>
        </w:rPr>
        <w:t>Example 8.4.1</w:t>
      </w:r>
    </w:p>
    <w:p>
      <w:pPr>
        <w:spacing w:after="60" w:line="252" w:lineRule="auto"/>
        <w:ind w:firstLine="317"/>
      </w:pPr>
      <w:r>
        <w:rPr>
          <w:rFonts w:ascii="Times New Roman" w:hAnsi="Times New Roman" w:eastAsia="Times New Roman"/>
          <w:b w:val="0"/>
          <w:i w:val="0"/>
        </w:rPr>
        <w:t>Suppose Mohan Kasaju and Sons, as mentioned in Example 8.3.1, accounts for its income and expenses on the accrual basis for income tax purposes. The transactions in that example are included in income and claimed as deductions as follows:</w:t>
      </w:r>
    </w:p>
    <w:tbl>
      <w:tblPr>
        <w:tblStyle w:val="TableGrid"/>
        <w:tblW w:type="auto" w:w="0"/>
        <w:jc w:val="center"/>
        <w:tblLook w:firstColumn="1" w:firstRow="1" w:lastColumn="0" w:lastRow="0" w:noHBand="0" w:noVBand="1" w:val="04A0"/>
      </w:tblPr>
      <w:tblGrid>
        <w:gridCol w:w="3442"/>
        <w:gridCol w:w="3442"/>
        <w:gridCol w:w="3442"/>
      </w:tblGrid>
      <w:tr>
        <w:tc>
          <w:tcPr>
            <w:tcW w:type="dxa" w:w="3442"/>
            <w:vAlign w:val="top"/>
            <w:shd w:fill="E7E6E6"/>
          </w:tcPr>
          <w:p>
            <w:pPr>
              <w:spacing w:after="0" w:line="240" w:lineRule="auto"/>
            </w:pPr>
            <w:r>
              <w:rPr>
                <w:rFonts w:ascii="Times New Roman" w:hAnsi="Times New Roman" w:eastAsia="Times New Roman"/>
                <w:sz w:val="14"/>
              </w:rPr>
            </w:r>
            <w:r>
              <w:rPr>
                <w:rFonts w:ascii="Times New Roman" w:hAnsi="Times New Roman" w:eastAsia="Times New Roman"/>
                <w:b/>
                <w:i w:val="0"/>
                <w:sz w:val="14"/>
              </w:rPr>
              <w:t>Particulars</w:t>
            </w:r>
          </w:p>
        </w:tc>
        <w:tc>
          <w:tcPr>
            <w:tcW w:type="dxa" w:w="3442"/>
            <w:vAlign w:val="top"/>
            <w:shd w:fill="E7E6E6"/>
          </w:tcPr>
          <w:p>
            <w:pPr>
              <w:spacing w:after="0" w:line="240" w:lineRule="auto"/>
            </w:pPr>
            <w:r>
              <w:rPr>
                <w:rFonts w:ascii="Times New Roman" w:hAnsi="Times New Roman" w:eastAsia="Times New Roman"/>
                <w:sz w:val="14"/>
              </w:rPr>
            </w:r>
            <w:r>
              <w:rPr>
                <w:rFonts w:ascii="Times New Roman" w:hAnsi="Times New Roman" w:eastAsia="Times New Roman"/>
                <w:b/>
                <w:i w:val="0"/>
                <w:sz w:val="14"/>
              </w:rPr>
              <w:t>Deduction (Rs.)</w:t>
            </w:r>
          </w:p>
        </w:tc>
        <w:tc>
          <w:tcPr>
            <w:tcW w:type="dxa" w:w="3442"/>
            <w:vAlign w:val="top"/>
            <w:shd w:fill="E7E6E6"/>
          </w:tcPr>
          <w:p>
            <w:pPr>
              <w:spacing w:after="0" w:line="240" w:lineRule="auto"/>
            </w:pPr>
            <w:r>
              <w:rPr>
                <w:rFonts w:ascii="Times New Roman" w:hAnsi="Times New Roman" w:eastAsia="Times New Roman"/>
                <w:sz w:val="14"/>
              </w:rPr>
            </w:r>
            <w:r>
              <w:rPr>
                <w:rFonts w:ascii="Times New Roman" w:hAnsi="Times New Roman" w:eastAsia="Times New Roman"/>
                <w:b/>
                <w:i w:val="0"/>
                <w:sz w:val="14"/>
              </w:rPr>
              <w:t>Income (Rs.)</w:t>
            </w:r>
          </w:p>
        </w:tc>
      </w:tr>
      <w:tr>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t>a. Cash received in 2080/081 from sales of 2079/080</w:t>
            </w:r>
          </w:p>
        </w:tc>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r>
          </w:p>
        </w:tc>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t>-</w:t>
            </w:r>
          </w:p>
        </w:tc>
      </w:tr>
      <w:tr>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t>b. Sales of 2080/081</w:t>
            </w:r>
          </w:p>
        </w:tc>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r>
          </w:p>
        </w:tc>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t>1,000,000</w:t>
            </w:r>
          </w:p>
        </w:tc>
      </w:tr>
      <w:tr>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t>c. Employee salary expense of 2080/081</w:t>
            </w:r>
          </w:p>
        </w:tc>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t>200,000</w:t>
            </w:r>
          </w:p>
        </w:tc>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r>
          </w:p>
        </w:tc>
      </w:tr>
      <w:tr>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t>d. Cost of sales</w:t>
            </w:r>
          </w:p>
        </w:tc>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t>600,000</w:t>
            </w:r>
          </w:p>
        </w:tc>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r>
          </w:p>
        </w:tc>
      </w:tr>
      <w:tr>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t>e. Advance rent paid for next income year 2081/082</w:t>
            </w:r>
          </w:p>
        </w:tc>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t>-</w:t>
            </w:r>
          </w:p>
        </w:tc>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r>
          </w:p>
        </w:tc>
      </w:tr>
      <w:tr>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t>f. House rent expense of 2080/081</w:t>
            </w:r>
          </w:p>
        </w:tc>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t>90,000</w:t>
            </w:r>
          </w:p>
        </w:tc>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r>
          </w:p>
        </w:tc>
      </w:tr>
      <w:tr>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t>g. Interest expense</w:t>
            </w:r>
          </w:p>
        </w:tc>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t>60,000</w:t>
            </w:r>
          </w:p>
        </w:tc>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r>
          </w:p>
        </w:tc>
      </w:tr>
      <w:tr>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t>Total</w:t>
            </w:r>
          </w:p>
        </w:tc>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t>950,000</w:t>
            </w:r>
          </w:p>
        </w:tc>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t>1,000,000</w:t>
            </w:r>
          </w:p>
        </w:tc>
      </w:tr>
    </w:tbl>
    <w:p>
      <w:pPr>
        <w:spacing w:after="40" w:line="252" w:lineRule="auto"/>
      </w:pPr>
    </w:p>
    <w:p>
      <w:pPr>
        <w:spacing w:after="80" w:line="252" w:lineRule="auto"/>
        <w:ind w:firstLine="317"/>
      </w:pPr>
      <w:r>
        <w:rPr>
          <w:rFonts w:ascii="Times New Roman" w:hAnsi="Times New Roman" w:eastAsia="Times New Roman"/>
          <w:b w:val="0"/>
          <w:i w:val="0"/>
        </w:rPr>
        <w:t>Accordingly, where the firm accounts on the accrual basis for income tax purposes, Rs. 1,000,000 must be included in income and Rs. 950,000 may be claimed as deduction.</w:t>
      </w:r>
    </w:p>
    <w:p>
      <w:pPr>
        <w:spacing w:after="60" w:line="252" w:lineRule="auto"/>
        <w:ind w:left="317"/>
      </w:pPr>
      <w:r>
        <w:rPr>
          <w:rFonts w:ascii="Times New Roman" w:hAnsi="Times New Roman" w:eastAsia="Times New Roman"/>
          <w:b w:val="0"/>
          <w:i/>
          <w:sz w:val="18"/>
        </w:rPr>
        <w:t>24(2) For the purpose of deducting expenditure in computing the income of a person under subsection (1), the following expenditures shall be treated as incurred:</w:t>
      </w:r>
    </w:p>
    <w:p>
      <w:pPr>
        <w:spacing w:after="60" w:line="252" w:lineRule="auto"/>
        <w:ind w:left="317"/>
      </w:pPr>
      <w:r>
        <w:rPr>
          <w:rFonts w:ascii="Times New Roman" w:hAnsi="Times New Roman" w:eastAsia="Times New Roman"/>
          <w:b w:val="0"/>
          <w:i/>
          <w:sz w:val="18"/>
        </w:rPr>
        <w:t>24(2)(a) Where a payment including such expenditure is made in consideration of a payment made by another person, the expenditure shall be treated as incurred in the following circumstances:</w:t>
      </w:r>
    </w:p>
    <w:p>
      <w:pPr>
        <w:spacing w:after="60" w:line="252" w:lineRule="auto"/>
        <w:ind w:left="317"/>
      </w:pPr>
      <w:r>
        <w:rPr>
          <w:rFonts w:ascii="Times New Roman" w:hAnsi="Times New Roman" w:eastAsia="Times New Roman"/>
          <w:b w:val="0"/>
          <w:i/>
          <w:sz w:val="18"/>
        </w:rPr>
        <w:t>24(2)(a)(1) where the person has an obligation to make the payment;</w:t>
      </w:r>
    </w:p>
    <w:p>
      <w:pPr>
        <w:spacing w:after="80" w:line="252" w:lineRule="auto"/>
        <w:ind w:firstLine="317"/>
      </w:pPr>
      <w:r>
        <w:rPr>
          <w:rFonts w:ascii="Times New Roman" w:hAnsi="Times New Roman" w:eastAsia="Times New Roman"/>
          <w:b w:val="0"/>
          <w:i w:val="0"/>
        </w:rPr>
        <w:t>First condition: for a deduction on the accrual basis, the person entitled to receive payment must be certain. There must be a fixed-party obligation or liability. Where the party is uncertain, it is only a probable obligation or provision, and a provision is not deductible.</w:t>
      </w:r>
    </w:p>
    <w:p>
      <w:pPr>
        <w:spacing w:after="80" w:line="252" w:lineRule="auto"/>
        <w:ind w:firstLine="317"/>
      </w:pPr>
      <w:r>
        <w:rPr>
          <w:rFonts w:ascii="Times New Roman" w:hAnsi="Times New Roman" w:eastAsia="Times New Roman"/>
          <w:b w:val="0"/>
          <w:i w:val="0"/>
        </w:rPr>
        <w:t>For example, suppose Shailesh buys a computer from City Computer Pvt. Ltd. for Rs. 100,000 on credit or in cash. Since ownership of the computer has been transferred from City Computer to Shailesh, Shailesh has incurred a liability to pay Rs. 100,000 to City Computer Pvt. Ltd.</w:t>
      </w:r>
    </w:p>
    <w:p>
      <w:pPr>
        <w:spacing w:after="60" w:line="252" w:lineRule="auto"/>
        <w:ind w:left="317"/>
      </w:pPr>
      <w:r>
        <w:rPr>
          <w:rFonts w:ascii="Times New Roman" w:hAnsi="Times New Roman" w:eastAsia="Times New Roman"/>
          <w:b w:val="0"/>
          <w:i/>
          <w:sz w:val="18"/>
        </w:rPr>
        <w:t>24(2)(a)(2) where the value of that obligation can be reasonably estimated; and</w:t>
      </w:r>
    </w:p>
    <w:p>
      <w:pPr>
        <w:spacing w:after="80" w:line="252" w:lineRule="auto"/>
        <w:ind w:firstLine="317"/>
      </w:pPr>
      <w:r>
        <w:rPr>
          <w:rFonts w:ascii="Times New Roman" w:hAnsi="Times New Roman" w:eastAsia="Times New Roman"/>
          <w:b w:val="0"/>
          <w:i w:val="0"/>
        </w:rPr>
        <w:t>Second condition: for a deduction on the accrual basis, the amount of the expenditure must be measurable. Even where there is an obligation to pay, if the amount is uncertain, the financial statements may recognise an estimated loss or provision, but such provision is not deductible for tax purposes.</w:t>
      </w:r>
    </w:p>
    <w:p>
      <w:pPr>
        <w:spacing w:after="80" w:line="252" w:lineRule="auto"/>
        <w:ind w:firstLine="317"/>
      </w:pPr>
      <w:r>
        <w:rPr>
          <w:rFonts w:ascii="Times New Roman" w:hAnsi="Times New Roman" w:eastAsia="Times New Roman"/>
          <w:b w:val="0"/>
          <w:i w:val="0"/>
        </w:rPr>
        <w:t>In the example above, because Shailesh purchased goods worth Rs. 100,000 from City Computer Pvt. Ltd. and an invoice had also been issued for those goods, the value of the liability is determinable at Rs. 100,000.</w:t>
      </w:r>
    </w:p>
    <w:p>
      <w:pPr>
        <w:spacing w:after="60" w:line="252" w:lineRule="auto"/>
        <w:ind w:left="317"/>
      </w:pPr>
      <w:r>
        <w:rPr>
          <w:rFonts w:ascii="Times New Roman" w:hAnsi="Times New Roman" w:eastAsia="Times New Roman"/>
          <w:b w:val="0"/>
          <w:i/>
          <w:sz w:val="18"/>
        </w:rPr>
        <w:t>24(2)(a)(3) where payment has been received from another person.</w:t>
      </w:r>
    </w:p>
    <w:p>
      <w:pPr>
        <w:spacing w:after="80" w:line="252" w:lineRule="auto"/>
        <w:ind w:firstLine="317"/>
      </w:pPr>
      <w:r>
        <w:rPr>
          <w:rFonts w:ascii="Times New Roman" w:hAnsi="Times New Roman" w:eastAsia="Times New Roman"/>
          <w:b w:val="0"/>
          <w:i w:val="0"/>
        </w:rPr>
        <w:t>Third condition: for a deduction on the accrual basis, the expenditure must relate to goods or services received from the party entitled to receive payment. Where goods or services have not been received, even though the payee and the amount are certain, the amount is not expenditure but prepaid expenditure.</w:t>
      </w:r>
    </w:p>
    <w:p>
      <w:pPr>
        <w:spacing w:after="80" w:line="252" w:lineRule="auto"/>
        <w:ind w:firstLine="317"/>
      </w:pPr>
      <w:r>
        <w:rPr>
          <w:rFonts w:ascii="Times New Roman" w:hAnsi="Times New Roman" w:eastAsia="Times New Roman"/>
          <w:b w:val="0"/>
          <w:i w:val="0"/>
        </w:rPr>
        <w:t>In the example above, Shailesh received payment in kind, that is, goods, from City Computer Pvt. Ltd. Since all three conditions required for recognising expenditure on the accrual basis are satisfied, the purchase transaction must be recorded as an expense on the accrual basis.</w:t>
      </w:r>
    </w:p>
    <w:p>
      <w:pPr>
        <w:spacing w:after="80" w:line="252" w:lineRule="auto"/>
        <w:ind w:firstLine="317"/>
      </w:pPr>
      <w:r>
        <w:rPr>
          <w:rFonts w:ascii="Times New Roman" w:hAnsi="Times New Roman" w:eastAsia="Times New Roman"/>
          <w:b w:val="0"/>
          <w:i w:val="0"/>
        </w:rPr>
        <w:t>The accounting of payment is further clarified below.</w:t>
      </w:r>
    </w:p>
    <w:p>
      <w:pPr>
        <w:spacing w:after="20" w:line="252" w:lineRule="auto"/>
      </w:pPr>
      <w:r>
        <w:rPr>
          <w:rFonts w:ascii="Times New Roman" w:hAnsi="Times New Roman" w:eastAsia="Times New Roman"/>
          <w:b/>
          <w:i w:val="0"/>
        </w:rPr>
        <w:t>Example 8.4.2</w:t>
      </w:r>
    </w:p>
    <w:p>
      <w:pPr>
        <w:spacing w:after="60" w:line="252" w:lineRule="auto"/>
        <w:ind w:firstLine="317"/>
      </w:pPr>
      <w:r>
        <w:rPr>
          <w:rFonts w:ascii="Times New Roman" w:hAnsi="Times New Roman" w:eastAsia="Times New Roman"/>
          <w:b w:val="0"/>
          <w:i w:val="0"/>
        </w:rPr>
        <w:t>Suppose Bikash Nepal Trading Pvt. Ltd. sells goods worth Rs. 50,000 to Swarnim Pvt. Ltd. on the condition that payment will be made after one month. Since Swarnim Pvt. Ltd. has received goods worth Rs. 50,000 from Bikash Nepal Trading Pvt. Ltd., Swarnim Pvt. Ltd. has an obligation to pay that amount after one month, and the obligation can be reliably determined. Therefore, Swarnim Pvt. Ltd. may claim deduction of the expenditure at that time on the accrual basis.</w:t>
      </w:r>
    </w:p>
    <w:p>
      <w:pPr>
        <w:spacing w:after="60" w:line="252" w:lineRule="auto"/>
        <w:ind w:left="317"/>
      </w:pPr>
      <w:r>
        <w:rPr>
          <w:rFonts w:ascii="Times New Roman" w:hAnsi="Times New Roman" w:eastAsia="Times New Roman"/>
          <w:b w:val="0"/>
          <w:i/>
          <w:sz w:val="18"/>
        </w:rPr>
        <w:t>24(2)(b) In all cases other than those referred to in clause (a), expenditure shall be treated as incurred at the time the payment is made.</w:t>
      </w:r>
    </w:p>
    <w:p>
      <w:pPr>
        <w:spacing w:after="80" w:line="252" w:lineRule="auto"/>
        <w:ind w:firstLine="317"/>
      </w:pPr>
      <w:r>
        <w:rPr>
          <w:rFonts w:ascii="Times New Roman" w:hAnsi="Times New Roman" w:eastAsia="Times New Roman"/>
          <w:b w:val="0"/>
          <w:i w:val="0"/>
        </w:rPr>
        <w:t>As stated above, even though a provision expense may be treated as an expense in the financial statements, it is not treated as an expense for tax purposes. However, actual payments made from such provisions are allowed as deduction in the income year in which the payments are made. Such expenses are treated as incurred on the basis of actual payments. This is clarified below.</w:t>
      </w:r>
    </w:p>
    <w:p>
      <w:pPr>
        <w:spacing w:after="20" w:line="252" w:lineRule="auto"/>
      </w:pPr>
      <w:r>
        <w:rPr>
          <w:rFonts w:ascii="Times New Roman" w:hAnsi="Times New Roman" w:eastAsia="Times New Roman"/>
          <w:b/>
          <w:i w:val="0"/>
        </w:rPr>
        <w:t>Example 8.4.3</w:t>
      </w:r>
    </w:p>
    <w:p>
      <w:pPr>
        <w:spacing w:after="60" w:line="252" w:lineRule="auto"/>
        <w:ind w:firstLine="317"/>
      </w:pPr>
      <w:r>
        <w:rPr>
          <w:rFonts w:ascii="Times New Roman" w:hAnsi="Times New Roman" w:eastAsia="Times New Roman"/>
          <w:b w:val="0"/>
          <w:i w:val="0"/>
        </w:rPr>
        <w:t>Suppose Red Nepal and Company Pvt. Ltd. has, by the end of income year 2080/081, incurred an employee gratuity liability of Rs. 500,000 under its employee service rules. In preparing financial statements under Nepal Accounting Standards, the company would record the amount as expenditure and liability. However, since the employees had not retired at that time and the liability amount may change by the time of future retirement, the gratuity liability is not treated as a reliably determinable liability for income tax purposes. Even though the amount is claimed as an expense in the financial accounts, it is not deductible for income tax purposes. If the company had paid the liability to an approved retirement fund in a manner that the company could not use the amount and on a definite basis in the names of employees, so that the value of the liability could be reasonably estimated, deduction could be claimed for income tax purposes at the time of payment. Otherwise, the gratuity liability is treated as incurred only when it is paid to the employee at retirement.</w:t>
      </w:r>
    </w:p>
    <w:p>
      <w:pPr>
        <w:spacing w:after="60" w:line="252" w:lineRule="auto"/>
        <w:ind w:left="317"/>
      </w:pPr>
      <w:r>
        <w:rPr>
          <w:rFonts w:ascii="Times New Roman" w:hAnsi="Times New Roman" w:eastAsia="Times New Roman"/>
          <w:b w:val="0"/>
          <w:i/>
          <w:sz w:val="18"/>
        </w:rPr>
        <w:t>24(3) Notwithstanding anything contained in subsection (1), in relation to banking business, the Department may recognise the accounting prescribed by Nepal Rastra Bank subject to the Nepal Rastra Bank Act, 2058 and the prevailing law relating to banking.</w:t>
      </w:r>
    </w:p>
    <w:p>
      <w:pPr>
        <w:spacing w:after="60" w:line="252" w:lineRule="auto"/>
        <w:ind w:left="317"/>
      </w:pPr>
      <w:r>
        <w:rPr>
          <w:rFonts w:ascii="Times New Roman" w:hAnsi="Times New Roman" w:eastAsia="Times New Roman"/>
          <w:b w:val="0"/>
          <w:i/>
          <w:sz w:val="18"/>
        </w:rPr>
        <w:t>Provided that a cooperative institution may account for interest income also on the cash basis.</w:t>
      </w:r>
    </w:p>
    <w:p>
      <w:pPr>
        <w:spacing w:after="80" w:line="252" w:lineRule="auto"/>
        <w:ind w:firstLine="317"/>
      </w:pPr>
      <w:r>
        <w:rPr>
          <w:rFonts w:ascii="Times New Roman" w:hAnsi="Times New Roman" w:eastAsia="Times New Roman"/>
          <w:b w:val="0"/>
          <w:i w:val="0"/>
        </w:rPr>
        <w:t>Although a company is required to account on the accrual basis for tax purposes, an entity carrying on banking business may use the accounting method prescribed by Nepal Rastra Bank under the Nepal Rastra Bank Act, 2058 and prevailing banking law if recognised by the Department. Similarly, cooperative institutions may also account for interest income on the cash basis.</w:t>
      </w:r>
    </w:p>
    <w:p>
      <w:pPr>
        <w:pStyle w:val="Heading2"/>
        <w:spacing w:after="80" w:line="252" w:lineRule="auto"/>
      </w:pPr>
      <w:r>
        <w:rPr>
          <w:rFonts w:ascii="Times New Roman" w:hAnsi="Times New Roman" w:eastAsia="Times New Roman"/>
          <w:b w:val="0"/>
          <w:i w:val="0"/>
        </w:rPr>
        <w:t>8.5 Foreign Exchange Gain or Loss</w:t>
      </w:r>
    </w:p>
    <w:p>
      <w:pPr>
        <w:spacing w:after="80" w:line="252" w:lineRule="auto"/>
        <w:ind w:firstLine="317"/>
      </w:pPr>
      <w:r>
        <w:rPr>
          <w:rFonts w:ascii="Times New Roman" w:hAnsi="Times New Roman" w:eastAsia="Times New Roman"/>
          <w:b w:val="0"/>
          <w:i w:val="0"/>
        </w:rPr>
        <w:t>Under section 28 of the Act, income or expenditure from a foreign-currency transaction is recorded using the prevailing or average exchange rate. The amount receivable or payable in respect of such transaction may be received or paid on a date different from the transaction date, either before or after it. The exchange rate on the transaction date and on the date of receipt or payment may differ. In such a case, the amount recorded as income may differ from the amount actually received, or the amount recorded as expenditure may differ from the amount actually paid. Section 28(4) provides as follows on how such difference is adjusted:</w:t>
      </w:r>
    </w:p>
    <w:p>
      <w:pPr>
        <w:spacing w:after="60" w:line="252" w:lineRule="auto"/>
        <w:ind w:left="317"/>
      </w:pPr>
      <w:r>
        <w:rPr>
          <w:rFonts w:ascii="Times New Roman" w:hAnsi="Times New Roman" w:eastAsia="Times New Roman"/>
          <w:b w:val="0"/>
          <w:i/>
          <w:sz w:val="18"/>
        </w:rPr>
        <w:t>28(4) Where, in computing income derived by a person from business or investment on the accrual basis, a person has included a payment receivable or deducted a payment payable, and because of a difference in exchange rate or otherwise the amount differs when the payment is received or made, the difference shall be adjusted when the payment is received or made.</w:t>
      </w:r>
    </w:p>
    <w:p>
      <w:pPr>
        <w:spacing w:after="80" w:line="252" w:lineRule="auto"/>
        <w:ind w:firstLine="317"/>
      </w:pPr>
      <w:r>
        <w:rPr>
          <w:rFonts w:ascii="Times New Roman" w:hAnsi="Times New Roman" w:eastAsia="Times New Roman"/>
          <w:b w:val="0"/>
          <w:i w:val="0"/>
        </w:rPr>
        <w:t>According to this provision, where a person converts income or expenditure in foreign currency into Nepalese rupees at the exchange rate prevailing on the transaction date under section 28(1), and later receives or pays more or less than the amount recorded, the difference must be included in income or claimed as expenditure as foreign exchange gain or loss on the date the payment is received or made. Nepal Accounting Standards require foreign currency receivables or payables outstanding at the end of an income year to be translated into Nepalese currency at the exchange rate prevailing on the last day of that income year, and the resulting gain or loss to be recorded in the profit and loss account for that income year. Although this treatment is valid and binding for financial reporting purposes, for income tax purposes the gain or loss on foreign currency receivables or payables outstanding at year-end is not included in income or deducted as expenditure merely by translating the year-end balance. For income tax purposes, foreign exchange gain or loss is calculated at the exchange rate on the day the payment is received or made, and such gain or loss is included in income or deducted in the income year in which payment is received or made. The following examples clarify this rule.</w:t>
      </w:r>
    </w:p>
    <w:p>
      <w:pPr>
        <w:spacing w:after="20" w:line="252" w:lineRule="auto"/>
      </w:pPr>
      <w:r>
        <w:rPr>
          <w:rFonts w:ascii="Times New Roman" w:hAnsi="Times New Roman" w:eastAsia="Times New Roman"/>
          <w:b/>
          <w:i w:val="0"/>
        </w:rPr>
        <w:t>Example 8.5.1</w:t>
      </w:r>
    </w:p>
    <w:p>
      <w:pPr>
        <w:spacing w:after="60" w:line="252" w:lineRule="auto"/>
        <w:ind w:firstLine="317"/>
      </w:pPr>
      <w:r>
        <w:rPr>
          <w:rFonts w:ascii="Times New Roman" w:hAnsi="Times New Roman" w:eastAsia="Times New Roman"/>
          <w:b w:val="0"/>
          <w:i w:val="0"/>
        </w:rPr>
        <w:t>Suppose Ganga Manpower Services Pvt. Ltd. claimed deduction on 2080/06/05 for commission payable to Overseas International Inc. amounting to US$ 10,000. After deducting 5 percent tax, it recorded US$ 9,500 as a liability payable, translated at the transaction-date exchange rate of Rs. 133 per US dollar, i.e. Rs. 1,263,500. The company remitted US$ 9,500 to Overseas International Inc. on 2080/12/03. If the exchange rate on the date of payment was Rs. 130 per US dollar, the company must adjust income in income year 2080/081 as follows:</w:t>
      </w:r>
    </w:p>
    <w:tbl>
      <w:tblPr>
        <w:tblStyle w:val="TableGrid"/>
        <w:tblW w:type="auto" w:w="0"/>
        <w:jc w:val="center"/>
        <w:tblLook w:firstColumn="1" w:firstRow="1" w:lastColumn="0" w:lastRow="0" w:noHBand="0" w:noVBand="1" w:val="04A0"/>
      </w:tblPr>
      <w:tblGrid>
        <w:gridCol w:w="3442"/>
        <w:gridCol w:w="3442"/>
        <w:gridCol w:w="3442"/>
      </w:tblGrid>
      <w:tr>
        <w:tc>
          <w:tcPr>
            <w:tcW w:type="dxa" w:w="3442"/>
            <w:vAlign w:val="top"/>
            <w:shd w:fill="E7E6E6"/>
          </w:tcPr>
          <w:p>
            <w:pPr>
              <w:spacing w:after="0" w:line="240" w:lineRule="auto"/>
            </w:pPr>
            <w:r>
              <w:rPr>
                <w:rFonts w:ascii="Times New Roman" w:hAnsi="Times New Roman" w:eastAsia="Times New Roman"/>
                <w:sz w:val="15"/>
              </w:rPr>
            </w:r>
            <w:r>
              <w:rPr>
                <w:rFonts w:ascii="Times New Roman" w:hAnsi="Times New Roman" w:eastAsia="Times New Roman"/>
                <w:b/>
                <w:i w:val="0"/>
                <w:sz w:val="15"/>
              </w:rPr>
              <w:t>No.</w:t>
            </w:r>
          </w:p>
        </w:tc>
        <w:tc>
          <w:tcPr>
            <w:tcW w:type="dxa" w:w="3442"/>
            <w:vAlign w:val="top"/>
            <w:shd w:fill="E7E6E6"/>
          </w:tcPr>
          <w:p>
            <w:pPr>
              <w:spacing w:after="0" w:line="240" w:lineRule="auto"/>
            </w:pPr>
            <w:r>
              <w:rPr>
                <w:rFonts w:ascii="Times New Roman" w:hAnsi="Times New Roman" w:eastAsia="Times New Roman"/>
                <w:sz w:val="15"/>
              </w:rPr>
            </w:r>
            <w:r>
              <w:rPr>
                <w:rFonts w:ascii="Times New Roman" w:hAnsi="Times New Roman" w:eastAsia="Times New Roman"/>
                <w:b/>
                <w:i w:val="0"/>
                <w:sz w:val="15"/>
              </w:rPr>
              <w:t>Particulars</w:t>
            </w:r>
          </w:p>
        </w:tc>
        <w:tc>
          <w:tcPr>
            <w:tcW w:type="dxa" w:w="3442"/>
            <w:vAlign w:val="top"/>
            <w:shd w:fill="E7E6E6"/>
          </w:tcPr>
          <w:p>
            <w:pPr>
              <w:spacing w:after="0" w:line="240" w:lineRule="auto"/>
            </w:pPr>
            <w:r>
              <w:rPr>
                <w:rFonts w:ascii="Times New Roman" w:hAnsi="Times New Roman" w:eastAsia="Times New Roman"/>
                <w:sz w:val="15"/>
              </w:rPr>
            </w:r>
            <w:r>
              <w:rPr>
                <w:rFonts w:ascii="Times New Roman" w:hAnsi="Times New Roman" w:eastAsia="Times New Roman"/>
                <w:b/>
                <w:i w:val="0"/>
                <w:sz w:val="15"/>
              </w:rPr>
              <w:t>Amount</w:t>
            </w:r>
          </w:p>
        </w:tc>
      </w:tr>
      <w:tr>
        <w:tc>
          <w:tcPr>
            <w:tcW w:type="dxa" w:w="3442"/>
            <w:vAlign w:val="top"/>
          </w:tcPr>
          <w:p>
            <w:pPr>
              <w:spacing w:after="0" w:line="240" w:lineRule="auto"/>
            </w:pPr>
            <w:r>
              <w:rPr>
                <w:rFonts w:ascii="Times New Roman" w:hAnsi="Times New Roman" w:eastAsia="Times New Roman"/>
                <w:sz w:val="15"/>
              </w:rPr>
            </w:r>
            <w:r>
              <w:rPr>
                <w:rFonts w:ascii="Times New Roman" w:hAnsi="Times New Roman" w:eastAsia="Times New Roman"/>
                <w:b w:val="0"/>
                <w:i w:val="0"/>
                <w:sz w:val="15"/>
              </w:rPr>
              <w:t>1</w:t>
            </w:r>
          </w:p>
        </w:tc>
        <w:tc>
          <w:tcPr>
            <w:tcW w:type="dxa" w:w="3442"/>
            <w:vAlign w:val="top"/>
          </w:tcPr>
          <w:p>
            <w:pPr>
              <w:spacing w:after="0" w:line="240" w:lineRule="auto"/>
            </w:pPr>
            <w:r>
              <w:rPr>
                <w:rFonts w:ascii="Times New Roman" w:hAnsi="Times New Roman" w:eastAsia="Times New Roman"/>
                <w:sz w:val="15"/>
              </w:rPr>
            </w:r>
            <w:r>
              <w:rPr>
                <w:rFonts w:ascii="Times New Roman" w:hAnsi="Times New Roman" w:eastAsia="Times New Roman"/>
                <w:b w:val="0"/>
                <w:i w:val="0"/>
                <w:sz w:val="15"/>
              </w:rPr>
              <w:t>Outstanding payable before adjustment</w:t>
            </w:r>
          </w:p>
        </w:tc>
        <w:tc>
          <w:tcPr>
            <w:tcW w:type="dxa" w:w="3442"/>
            <w:vAlign w:val="top"/>
          </w:tcPr>
          <w:p>
            <w:pPr>
              <w:spacing w:after="0" w:line="240" w:lineRule="auto"/>
            </w:pPr>
            <w:r>
              <w:rPr>
                <w:rFonts w:ascii="Times New Roman" w:hAnsi="Times New Roman" w:eastAsia="Times New Roman"/>
                <w:sz w:val="15"/>
              </w:rPr>
            </w:r>
            <w:r>
              <w:rPr>
                <w:rFonts w:ascii="Times New Roman" w:hAnsi="Times New Roman" w:eastAsia="Times New Roman"/>
                <w:b w:val="0"/>
                <w:i w:val="0"/>
                <w:sz w:val="15"/>
              </w:rPr>
              <w:t>Rs. 1,263,500</w:t>
            </w:r>
          </w:p>
        </w:tc>
      </w:tr>
      <w:tr>
        <w:tc>
          <w:tcPr>
            <w:tcW w:type="dxa" w:w="3442"/>
            <w:vAlign w:val="top"/>
          </w:tcPr>
          <w:p>
            <w:pPr>
              <w:spacing w:after="0" w:line="240" w:lineRule="auto"/>
            </w:pPr>
            <w:r>
              <w:rPr>
                <w:rFonts w:ascii="Times New Roman" w:hAnsi="Times New Roman" w:eastAsia="Times New Roman"/>
                <w:sz w:val="15"/>
              </w:rPr>
            </w:r>
            <w:r>
              <w:rPr>
                <w:rFonts w:ascii="Times New Roman" w:hAnsi="Times New Roman" w:eastAsia="Times New Roman"/>
                <w:b w:val="0"/>
                <w:i w:val="0"/>
                <w:sz w:val="15"/>
              </w:rPr>
              <w:t>2</w:t>
            </w:r>
          </w:p>
        </w:tc>
        <w:tc>
          <w:tcPr>
            <w:tcW w:type="dxa" w:w="3442"/>
            <w:vAlign w:val="top"/>
          </w:tcPr>
          <w:p>
            <w:pPr>
              <w:spacing w:after="0" w:line="240" w:lineRule="auto"/>
            </w:pPr>
            <w:r>
              <w:rPr>
                <w:rFonts w:ascii="Times New Roman" w:hAnsi="Times New Roman" w:eastAsia="Times New Roman"/>
                <w:sz w:val="15"/>
              </w:rPr>
            </w:r>
            <w:r>
              <w:rPr>
                <w:rFonts w:ascii="Times New Roman" w:hAnsi="Times New Roman" w:eastAsia="Times New Roman"/>
                <w:b w:val="0"/>
                <w:i w:val="0"/>
                <w:sz w:val="15"/>
              </w:rPr>
              <w:t>Amount at the exchange rate on payment date (US$ 9,500 x 130)</w:t>
            </w:r>
          </w:p>
        </w:tc>
        <w:tc>
          <w:tcPr>
            <w:tcW w:type="dxa" w:w="3442"/>
            <w:vAlign w:val="top"/>
          </w:tcPr>
          <w:p>
            <w:pPr>
              <w:spacing w:after="0" w:line="240" w:lineRule="auto"/>
            </w:pPr>
            <w:r>
              <w:rPr>
                <w:rFonts w:ascii="Times New Roman" w:hAnsi="Times New Roman" w:eastAsia="Times New Roman"/>
                <w:sz w:val="15"/>
              </w:rPr>
            </w:r>
            <w:r>
              <w:rPr>
                <w:rFonts w:ascii="Times New Roman" w:hAnsi="Times New Roman" w:eastAsia="Times New Roman"/>
                <w:b w:val="0"/>
                <w:i w:val="0"/>
                <w:sz w:val="15"/>
              </w:rPr>
              <w:t>Rs. 1,235,000</w:t>
            </w:r>
          </w:p>
        </w:tc>
      </w:tr>
      <w:tr>
        <w:tc>
          <w:tcPr>
            <w:tcW w:type="dxa" w:w="3442"/>
            <w:vAlign w:val="top"/>
          </w:tcPr>
          <w:p>
            <w:pPr>
              <w:spacing w:after="0" w:line="240" w:lineRule="auto"/>
            </w:pPr>
            <w:r>
              <w:rPr>
                <w:rFonts w:ascii="Times New Roman" w:hAnsi="Times New Roman" w:eastAsia="Times New Roman"/>
                <w:sz w:val="15"/>
              </w:rPr>
            </w:r>
            <w:r>
              <w:rPr>
                <w:rFonts w:ascii="Times New Roman" w:hAnsi="Times New Roman" w:eastAsia="Times New Roman"/>
                <w:b w:val="0"/>
                <w:i w:val="0"/>
                <w:sz w:val="15"/>
              </w:rPr>
              <w:t>3</w:t>
            </w:r>
          </w:p>
        </w:tc>
        <w:tc>
          <w:tcPr>
            <w:tcW w:type="dxa" w:w="3442"/>
            <w:vAlign w:val="top"/>
          </w:tcPr>
          <w:p>
            <w:pPr>
              <w:spacing w:after="0" w:line="240" w:lineRule="auto"/>
            </w:pPr>
            <w:r>
              <w:rPr>
                <w:rFonts w:ascii="Times New Roman" w:hAnsi="Times New Roman" w:eastAsia="Times New Roman"/>
                <w:sz w:val="15"/>
              </w:rPr>
            </w:r>
            <w:r>
              <w:rPr>
                <w:rFonts w:ascii="Times New Roman" w:hAnsi="Times New Roman" w:eastAsia="Times New Roman"/>
                <w:b w:val="0"/>
                <w:i w:val="0"/>
                <w:sz w:val="15"/>
              </w:rPr>
              <w:t>Amount to be adjusted by adding to income (foreign exchange gain)</w:t>
            </w:r>
          </w:p>
        </w:tc>
        <w:tc>
          <w:tcPr>
            <w:tcW w:type="dxa" w:w="3442"/>
            <w:vAlign w:val="top"/>
          </w:tcPr>
          <w:p>
            <w:pPr>
              <w:spacing w:after="0" w:line="240" w:lineRule="auto"/>
            </w:pPr>
            <w:r>
              <w:rPr>
                <w:rFonts w:ascii="Times New Roman" w:hAnsi="Times New Roman" w:eastAsia="Times New Roman"/>
                <w:sz w:val="15"/>
              </w:rPr>
            </w:r>
            <w:r>
              <w:rPr>
                <w:rFonts w:ascii="Times New Roman" w:hAnsi="Times New Roman" w:eastAsia="Times New Roman"/>
                <w:b w:val="0"/>
                <w:i w:val="0"/>
                <w:sz w:val="15"/>
              </w:rPr>
              <w:t>Rs. 28,500</w:t>
            </w:r>
          </w:p>
        </w:tc>
      </w:tr>
    </w:tbl>
    <w:p>
      <w:pPr>
        <w:spacing w:after="40" w:line="252" w:lineRule="auto"/>
      </w:pPr>
    </w:p>
    <w:p>
      <w:pPr>
        <w:spacing w:after="20" w:line="252" w:lineRule="auto"/>
      </w:pPr>
      <w:r>
        <w:rPr>
          <w:rFonts w:ascii="Times New Roman" w:hAnsi="Times New Roman" w:eastAsia="Times New Roman"/>
          <w:b/>
          <w:i w:val="0"/>
        </w:rPr>
        <w:t>Example 8.5.2</w:t>
      </w:r>
    </w:p>
    <w:p>
      <w:pPr>
        <w:spacing w:after="60" w:line="252" w:lineRule="auto"/>
        <w:ind w:firstLine="317"/>
      </w:pPr>
      <w:r>
        <w:rPr>
          <w:rFonts w:ascii="Times New Roman" w:hAnsi="Times New Roman" w:eastAsia="Times New Roman"/>
          <w:b w:val="0"/>
          <w:i w:val="0"/>
        </w:rPr>
        <w:t>Suppose, in the facts of the above example, Ganga Manpower Services Pvt. Ltd. remits US$ 9,500 to Overseas International Inc. on 2080/12/03 when the exchange rate is Rs. 134 per US dollar. The company must adjust income in income year 2080/081 as follows:</w:t>
      </w:r>
    </w:p>
    <w:tbl>
      <w:tblPr>
        <w:tblStyle w:val="TableGrid"/>
        <w:tblW w:type="auto" w:w="0"/>
        <w:jc w:val="center"/>
        <w:tblLook w:firstColumn="1" w:firstRow="1" w:lastColumn="0" w:lastRow="0" w:noHBand="0" w:noVBand="1" w:val="04A0"/>
      </w:tblPr>
      <w:tblGrid>
        <w:gridCol w:w="3442"/>
        <w:gridCol w:w="3442"/>
        <w:gridCol w:w="3442"/>
      </w:tblGrid>
      <w:tr>
        <w:tc>
          <w:tcPr>
            <w:tcW w:type="dxa" w:w="3442"/>
            <w:vAlign w:val="top"/>
            <w:shd w:fill="E7E6E6"/>
          </w:tcPr>
          <w:p>
            <w:pPr>
              <w:spacing w:after="0" w:line="240" w:lineRule="auto"/>
            </w:pPr>
            <w:r>
              <w:rPr>
                <w:rFonts w:ascii="Times New Roman" w:hAnsi="Times New Roman" w:eastAsia="Times New Roman"/>
                <w:sz w:val="15"/>
              </w:rPr>
            </w:r>
            <w:r>
              <w:rPr>
                <w:rFonts w:ascii="Times New Roman" w:hAnsi="Times New Roman" w:eastAsia="Times New Roman"/>
                <w:b/>
                <w:i w:val="0"/>
                <w:sz w:val="15"/>
              </w:rPr>
              <w:t>No.</w:t>
            </w:r>
          </w:p>
        </w:tc>
        <w:tc>
          <w:tcPr>
            <w:tcW w:type="dxa" w:w="3442"/>
            <w:vAlign w:val="top"/>
            <w:shd w:fill="E7E6E6"/>
          </w:tcPr>
          <w:p>
            <w:pPr>
              <w:spacing w:after="0" w:line="240" w:lineRule="auto"/>
            </w:pPr>
            <w:r>
              <w:rPr>
                <w:rFonts w:ascii="Times New Roman" w:hAnsi="Times New Roman" w:eastAsia="Times New Roman"/>
                <w:sz w:val="15"/>
              </w:rPr>
            </w:r>
            <w:r>
              <w:rPr>
                <w:rFonts w:ascii="Times New Roman" w:hAnsi="Times New Roman" w:eastAsia="Times New Roman"/>
                <w:b/>
                <w:i w:val="0"/>
                <w:sz w:val="15"/>
              </w:rPr>
              <w:t>Particulars</w:t>
            </w:r>
          </w:p>
        </w:tc>
        <w:tc>
          <w:tcPr>
            <w:tcW w:type="dxa" w:w="3442"/>
            <w:vAlign w:val="top"/>
            <w:shd w:fill="E7E6E6"/>
          </w:tcPr>
          <w:p>
            <w:pPr>
              <w:spacing w:after="0" w:line="240" w:lineRule="auto"/>
            </w:pPr>
            <w:r>
              <w:rPr>
                <w:rFonts w:ascii="Times New Roman" w:hAnsi="Times New Roman" w:eastAsia="Times New Roman"/>
                <w:sz w:val="15"/>
              </w:rPr>
            </w:r>
            <w:r>
              <w:rPr>
                <w:rFonts w:ascii="Times New Roman" w:hAnsi="Times New Roman" w:eastAsia="Times New Roman"/>
                <w:b/>
                <w:i w:val="0"/>
                <w:sz w:val="15"/>
              </w:rPr>
              <w:t>Amount</w:t>
            </w:r>
          </w:p>
        </w:tc>
      </w:tr>
      <w:tr>
        <w:tc>
          <w:tcPr>
            <w:tcW w:type="dxa" w:w="3442"/>
            <w:vAlign w:val="top"/>
          </w:tcPr>
          <w:p>
            <w:pPr>
              <w:spacing w:after="0" w:line="240" w:lineRule="auto"/>
            </w:pPr>
            <w:r>
              <w:rPr>
                <w:rFonts w:ascii="Times New Roman" w:hAnsi="Times New Roman" w:eastAsia="Times New Roman"/>
                <w:sz w:val="15"/>
              </w:rPr>
            </w:r>
            <w:r>
              <w:rPr>
                <w:rFonts w:ascii="Times New Roman" w:hAnsi="Times New Roman" w:eastAsia="Times New Roman"/>
                <w:b w:val="0"/>
                <w:i w:val="0"/>
                <w:sz w:val="15"/>
              </w:rPr>
              <w:t>1</w:t>
            </w:r>
          </w:p>
        </w:tc>
        <w:tc>
          <w:tcPr>
            <w:tcW w:type="dxa" w:w="3442"/>
            <w:vAlign w:val="top"/>
          </w:tcPr>
          <w:p>
            <w:pPr>
              <w:spacing w:after="0" w:line="240" w:lineRule="auto"/>
            </w:pPr>
            <w:r>
              <w:rPr>
                <w:rFonts w:ascii="Times New Roman" w:hAnsi="Times New Roman" w:eastAsia="Times New Roman"/>
                <w:sz w:val="15"/>
              </w:rPr>
            </w:r>
            <w:r>
              <w:rPr>
                <w:rFonts w:ascii="Times New Roman" w:hAnsi="Times New Roman" w:eastAsia="Times New Roman"/>
                <w:b w:val="0"/>
                <w:i w:val="0"/>
                <w:sz w:val="15"/>
              </w:rPr>
              <w:t>Outstanding payable before adjustment</w:t>
            </w:r>
          </w:p>
        </w:tc>
        <w:tc>
          <w:tcPr>
            <w:tcW w:type="dxa" w:w="3442"/>
            <w:vAlign w:val="top"/>
          </w:tcPr>
          <w:p>
            <w:pPr>
              <w:spacing w:after="0" w:line="240" w:lineRule="auto"/>
            </w:pPr>
            <w:r>
              <w:rPr>
                <w:rFonts w:ascii="Times New Roman" w:hAnsi="Times New Roman" w:eastAsia="Times New Roman"/>
                <w:sz w:val="15"/>
              </w:rPr>
            </w:r>
            <w:r>
              <w:rPr>
                <w:rFonts w:ascii="Times New Roman" w:hAnsi="Times New Roman" w:eastAsia="Times New Roman"/>
                <w:b w:val="0"/>
                <w:i w:val="0"/>
                <w:sz w:val="15"/>
              </w:rPr>
              <w:t>Rs. 1,263,500</w:t>
            </w:r>
          </w:p>
        </w:tc>
      </w:tr>
      <w:tr>
        <w:tc>
          <w:tcPr>
            <w:tcW w:type="dxa" w:w="3442"/>
            <w:vAlign w:val="top"/>
          </w:tcPr>
          <w:p>
            <w:pPr>
              <w:spacing w:after="0" w:line="240" w:lineRule="auto"/>
            </w:pPr>
            <w:r>
              <w:rPr>
                <w:rFonts w:ascii="Times New Roman" w:hAnsi="Times New Roman" w:eastAsia="Times New Roman"/>
                <w:sz w:val="15"/>
              </w:rPr>
            </w:r>
            <w:r>
              <w:rPr>
                <w:rFonts w:ascii="Times New Roman" w:hAnsi="Times New Roman" w:eastAsia="Times New Roman"/>
                <w:b w:val="0"/>
                <w:i w:val="0"/>
                <w:sz w:val="15"/>
              </w:rPr>
              <w:t>2</w:t>
            </w:r>
          </w:p>
        </w:tc>
        <w:tc>
          <w:tcPr>
            <w:tcW w:type="dxa" w:w="3442"/>
            <w:vAlign w:val="top"/>
          </w:tcPr>
          <w:p>
            <w:pPr>
              <w:spacing w:after="0" w:line="240" w:lineRule="auto"/>
            </w:pPr>
            <w:r>
              <w:rPr>
                <w:rFonts w:ascii="Times New Roman" w:hAnsi="Times New Roman" w:eastAsia="Times New Roman"/>
                <w:sz w:val="15"/>
              </w:rPr>
            </w:r>
            <w:r>
              <w:rPr>
                <w:rFonts w:ascii="Times New Roman" w:hAnsi="Times New Roman" w:eastAsia="Times New Roman"/>
                <w:b w:val="0"/>
                <w:i w:val="0"/>
                <w:sz w:val="15"/>
              </w:rPr>
              <w:t>Amount at the exchange rate on payment date (US$ 9,500 x 134)</w:t>
            </w:r>
          </w:p>
        </w:tc>
        <w:tc>
          <w:tcPr>
            <w:tcW w:type="dxa" w:w="3442"/>
            <w:vAlign w:val="top"/>
          </w:tcPr>
          <w:p>
            <w:pPr>
              <w:spacing w:after="0" w:line="240" w:lineRule="auto"/>
            </w:pPr>
            <w:r>
              <w:rPr>
                <w:rFonts w:ascii="Times New Roman" w:hAnsi="Times New Roman" w:eastAsia="Times New Roman"/>
                <w:sz w:val="15"/>
              </w:rPr>
            </w:r>
            <w:r>
              <w:rPr>
                <w:rFonts w:ascii="Times New Roman" w:hAnsi="Times New Roman" w:eastAsia="Times New Roman"/>
                <w:b w:val="0"/>
                <w:i w:val="0"/>
                <w:sz w:val="15"/>
              </w:rPr>
              <w:t>Rs. 1,273,000</w:t>
            </w:r>
          </w:p>
        </w:tc>
      </w:tr>
      <w:tr>
        <w:tc>
          <w:tcPr>
            <w:tcW w:type="dxa" w:w="3442"/>
            <w:vAlign w:val="top"/>
          </w:tcPr>
          <w:p>
            <w:pPr>
              <w:spacing w:after="0" w:line="240" w:lineRule="auto"/>
            </w:pPr>
            <w:r>
              <w:rPr>
                <w:rFonts w:ascii="Times New Roman" w:hAnsi="Times New Roman" w:eastAsia="Times New Roman"/>
                <w:sz w:val="15"/>
              </w:rPr>
            </w:r>
            <w:r>
              <w:rPr>
                <w:rFonts w:ascii="Times New Roman" w:hAnsi="Times New Roman" w:eastAsia="Times New Roman"/>
                <w:b w:val="0"/>
                <w:i w:val="0"/>
                <w:sz w:val="15"/>
              </w:rPr>
              <w:t>3</w:t>
            </w:r>
          </w:p>
        </w:tc>
        <w:tc>
          <w:tcPr>
            <w:tcW w:type="dxa" w:w="3442"/>
            <w:vAlign w:val="top"/>
          </w:tcPr>
          <w:p>
            <w:pPr>
              <w:spacing w:after="0" w:line="240" w:lineRule="auto"/>
            </w:pPr>
            <w:r>
              <w:rPr>
                <w:rFonts w:ascii="Times New Roman" w:hAnsi="Times New Roman" w:eastAsia="Times New Roman"/>
                <w:sz w:val="15"/>
              </w:rPr>
            </w:r>
            <w:r>
              <w:rPr>
                <w:rFonts w:ascii="Times New Roman" w:hAnsi="Times New Roman" w:eastAsia="Times New Roman"/>
                <w:b w:val="0"/>
                <w:i w:val="0"/>
                <w:sz w:val="15"/>
              </w:rPr>
              <w:t>Amount to be adjusted as additional deduction (foreign exchange loss)</w:t>
            </w:r>
          </w:p>
        </w:tc>
        <w:tc>
          <w:tcPr>
            <w:tcW w:type="dxa" w:w="3442"/>
            <w:vAlign w:val="top"/>
          </w:tcPr>
          <w:p>
            <w:pPr>
              <w:spacing w:after="0" w:line="240" w:lineRule="auto"/>
            </w:pPr>
            <w:r>
              <w:rPr>
                <w:rFonts w:ascii="Times New Roman" w:hAnsi="Times New Roman" w:eastAsia="Times New Roman"/>
                <w:sz w:val="15"/>
              </w:rPr>
            </w:r>
            <w:r>
              <w:rPr>
                <w:rFonts w:ascii="Times New Roman" w:hAnsi="Times New Roman" w:eastAsia="Times New Roman"/>
                <w:b w:val="0"/>
                <w:i w:val="0"/>
                <w:sz w:val="15"/>
              </w:rPr>
              <w:t>Rs. 9,500</w:t>
            </w:r>
          </w:p>
        </w:tc>
      </w:tr>
    </w:tbl>
    <w:p>
      <w:pPr>
        <w:spacing w:after="40" w:line="252" w:lineRule="auto"/>
      </w:pPr>
    </w:p>
    <w:p>
      <w:pPr>
        <w:spacing w:after="20" w:line="252" w:lineRule="auto"/>
      </w:pPr>
      <w:r>
        <w:rPr>
          <w:rFonts w:ascii="Times New Roman" w:hAnsi="Times New Roman" w:eastAsia="Times New Roman"/>
          <w:b/>
          <w:i w:val="0"/>
        </w:rPr>
        <w:t>Example 8.5.3</w:t>
      </w:r>
    </w:p>
    <w:p>
      <w:pPr>
        <w:spacing w:after="60" w:line="252" w:lineRule="auto"/>
        <w:ind w:firstLine="317"/>
      </w:pPr>
      <w:r>
        <w:rPr>
          <w:rFonts w:ascii="Times New Roman" w:hAnsi="Times New Roman" w:eastAsia="Times New Roman"/>
          <w:b w:val="0"/>
          <w:i w:val="0"/>
        </w:rPr>
        <w:t>Suppose Colgate Nepal Company issues an export invoice on 2081/02/30 and exports various types of toothpaste worth US$ 50,000. On that date, the company records sales of US$ 50,000 in its sales book and converts the amount at the Nepal Rastra Bank buying rate of US$ 1 = Rs. 132, recording income of Rs. 6,600,000 in the Nepalese rupee column of the sales book. If the amount is received on 2081/08/03 when the published exchange rate is US$ 1 = Rs. 130, the company receives Rs. 6,500,000 and must claim the exchange loss of Rs. 100,000 as expenditure in income year 2081/082. Similarly, if the buying rate of Nepalese currency against the dollar when US$ 50,000 is received is Rs. 133, the exchange gain of Rs. 50,000 must be included in income in income year 2081/082. In this example, irrespective of whether the exchange rate on 2081/03/31, the last day of income year 2080/081, is higher or lower than the rate on 2081/02/30, the receivable may not be translated at the year-end rate for income tax purposes, and the resulting exchange gain or loss may not be included in income or deducted as expenditure for income tax purposes.</w:t>
      </w:r>
    </w:p>
    <w:p>
      <w:pPr>
        <w:spacing w:after="20" w:line="252" w:lineRule="auto"/>
      </w:pPr>
      <w:r>
        <w:rPr>
          <w:rFonts w:ascii="Times New Roman" w:hAnsi="Times New Roman" w:eastAsia="Times New Roman"/>
          <w:b/>
          <w:i w:val="0"/>
        </w:rPr>
        <w:t>Example 8.5.4</w:t>
      </w:r>
    </w:p>
    <w:p>
      <w:pPr>
        <w:spacing w:after="60" w:line="252" w:lineRule="auto"/>
        <w:ind w:firstLine="317"/>
      </w:pPr>
      <w:r>
        <w:rPr>
          <w:rFonts w:ascii="Times New Roman" w:hAnsi="Times New Roman" w:eastAsia="Times New Roman"/>
          <w:b w:val="0"/>
          <w:i w:val="0"/>
        </w:rPr>
        <w:t>Suppose Colgate Nepal Company opens a usance letter of credit on 2081/02/30 to import raw materials for various types of toothpaste worth US$ 50,000, on the condition that payment will be made within 180 days from the date of import. Goods under the letter of credit are imported through Birgunj Customs Office on 2081/03/15. Since the exchange rate on that date is Rs. 130 per US dollar, customs clearance is made on that value and purchase expenditure of Rs. 6,500,000 is recorded. If the company pays the amount on 2081/08/03 when the exchange rate published by Nepal Rastra Bank is US$ 1 = Rs. 128, the company pays Rs. 6,400,000 and must include the exchange gain of Rs. 100,000 in income in income year 2081/082. Similarly, if the exchange rate against the dollar when US$ 50,000 is paid is Rs. 132, the exchange loss of Rs. 100,000 must be deducted as foreign exchange loss in income year 2081/082. In this example, even though the letter of credit was opened and the goods were imported in income year 2080/081, because the price of the imported goods had not been paid by the end of that income year, the outstanding payable must not be translated at the year-end exchange rate and the resulting difference must not be included in income or deducted as expenditure.</w:t>
      </w:r>
    </w:p>
    <w:p>
      <w:pPr>
        <w:pStyle w:val="Heading2"/>
        <w:spacing w:after="80" w:line="252" w:lineRule="auto"/>
      </w:pPr>
      <w:r>
        <w:rPr>
          <w:rFonts w:ascii="Times New Roman" w:hAnsi="Times New Roman" w:eastAsia="Times New Roman"/>
          <w:b w:val="0"/>
          <w:i w:val="0"/>
        </w:rPr>
        <w:t>8.6 Reversal of Bad Debts and Similar Amounts</w:t>
      </w:r>
    </w:p>
    <w:p>
      <w:pPr>
        <w:spacing w:after="80" w:line="252" w:lineRule="auto"/>
        <w:ind w:firstLine="317"/>
      </w:pPr>
      <w:r>
        <w:rPr>
          <w:rFonts w:ascii="Times New Roman" w:hAnsi="Times New Roman" w:eastAsia="Times New Roman"/>
          <w:b w:val="0"/>
          <w:i w:val="0"/>
        </w:rPr>
        <w:t>If amounts included in computing income from business, employment or investment are, in certain circumstances, not received or must be returned, or if expenses claimed as deductions are not required to be paid or are refunded, an appropriate adjustment must be made when the refund is made or received, when payment is not received or no longer needs to be made, or when a similar claim is abandoned, waived or written off. Section 25 of the Act provides as follows regarding such adjustments:</w:t>
      </w:r>
    </w:p>
    <w:p>
      <w:pPr>
        <w:spacing w:after="60" w:line="252" w:lineRule="auto"/>
        <w:ind w:left="317"/>
      </w:pPr>
      <w:r>
        <w:rPr>
          <w:rFonts w:ascii="Times New Roman" w:hAnsi="Times New Roman" w:eastAsia="Times New Roman"/>
          <w:b w:val="0"/>
          <w:i/>
          <w:sz w:val="18"/>
        </w:rPr>
        <w:t>25(1) Where a person accounts for amounts received and expenditures incurred in computing income derived from employment, business or investment, the person shall make appropriate adjustment at the time of reimbursement, recovery, abandonment of claim, write-off or waiver in any of the following circumstances:</w:t>
      </w:r>
    </w:p>
    <w:p>
      <w:pPr>
        <w:spacing w:after="60" w:line="252" w:lineRule="auto"/>
        <w:ind w:left="317"/>
      </w:pPr>
      <w:r>
        <w:rPr>
          <w:rFonts w:ascii="Times New Roman" w:hAnsi="Times New Roman" w:eastAsia="Times New Roman"/>
          <w:b w:val="0"/>
          <w:i/>
          <w:sz w:val="18"/>
        </w:rPr>
        <w:t>25(1)(a) where the person later refunds the amount or recovers the expenditure, as the case may be;</w:t>
      </w:r>
    </w:p>
    <w:p>
      <w:pPr>
        <w:spacing w:after="80" w:line="252" w:lineRule="auto"/>
        <w:ind w:firstLine="317"/>
      </w:pPr>
      <w:r>
        <w:rPr>
          <w:rFonts w:ascii="Times New Roman" w:hAnsi="Times New Roman" w:eastAsia="Times New Roman"/>
          <w:b w:val="0"/>
          <w:i w:val="0"/>
        </w:rPr>
        <w:t>Where an amount claimed for income tax purposes is later reimbursed or refunded, corresponding adjustment must be made in income and expenditure. This is clarified below.</w:t>
      </w:r>
    </w:p>
    <w:p>
      <w:pPr>
        <w:spacing w:after="20" w:line="252" w:lineRule="auto"/>
      </w:pPr>
      <w:r>
        <w:rPr>
          <w:rFonts w:ascii="Times New Roman" w:hAnsi="Times New Roman" w:eastAsia="Times New Roman"/>
          <w:b/>
          <w:i w:val="0"/>
        </w:rPr>
        <w:t>Example 8.6.1</w:t>
      </w:r>
    </w:p>
    <w:p>
      <w:pPr>
        <w:spacing w:after="60" w:line="252" w:lineRule="auto"/>
        <w:ind w:firstLine="317"/>
      </w:pPr>
      <w:r>
        <w:rPr>
          <w:rFonts w:ascii="Times New Roman" w:hAnsi="Times New Roman" w:eastAsia="Times New Roman"/>
          <w:b w:val="0"/>
          <w:i w:val="0"/>
        </w:rPr>
        <w:t>Suppose Ganesh General Stores Pvt. Ltd. purchases goods worth Rs. 500,000 from Nepal Trading Company Ltd. on 2081/03/20. Accordingly, Ganesh General Stores Pvt. Ltd. claims deduction of Rs. 500,000 in income year 2080/081, and Nepal Trading Company Ltd. includes the amount in income as sales. On 2081/04/10, Ganesh General Stores Pvt. Ltd. claims that goods worth Rs. 40,000 out of the purchased goods have expired and are unusable. After this is verified, Ganesh General Stores Pvt. Ltd. returns those goods to Nepal Trading Company Ltd. on 2081/05/20. In this situation, Nepal Trading Company Ltd. must claim deduction and adjust on 2081/05/20, and Ganesh General Stores Pvt. Ltd. must include the refunded amount in income and adjust on the same date.</w:t>
      </w:r>
    </w:p>
    <w:p>
      <w:pPr>
        <w:spacing w:after="60" w:line="252" w:lineRule="auto"/>
        <w:ind w:left="317"/>
      </w:pPr>
      <w:r>
        <w:rPr>
          <w:rFonts w:ascii="Times New Roman" w:hAnsi="Times New Roman" w:eastAsia="Times New Roman"/>
          <w:b w:val="0"/>
          <w:i/>
          <w:sz w:val="18"/>
        </w:rPr>
        <w:t>25(1)(b) where the amount received was accounted for on the accrual basis, and later the person abandons the right to receive the amount, or, where the amount is a debt claim of the person, the person writes off the debt as a bad debt; or</w:t>
      </w:r>
    </w:p>
    <w:p>
      <w:pPr>
        <w:spacing w:after="80" w:line="252" w:lineRule="auto"/>
        <w:ind w:firstLine="317"/>
      </w:pPr>
      <w:r>
        <w:rPr>
          <w:rFonts w:ascii="Times New Roman" w:hAnsi="Times New Roman" w:eastAsia="Times New Roman"/>
          <w:b w:val="0"/>
          <w:i w:val="0"/>
        </w:rPr>
        <w:t>Where a person has accounted for tax purposes on the accrual basis and has recognised an amount receivable as a debt claim, and later abandons the right to receive that amount on the basis specified by the Act, that is, relinquishes the claim over the debt, the corresponding deduction may be claimed. This is clarified below.</w:t>
      </w:r>
    </w:p>
    <w:p>
      <w:pPr>
        <w:spacing w:after="20" w:line="252" w:lineRule="auto"/>
      </w:pPr>
      <w:r>
        <w:rPr>
          <w:rFonts w:ascii="Times New Roman" w:hAnsi="Times New Roman" w:eastAsia="Times New Roman"/>
          <w:b/>
          <w:i w:val="0"/>
        </w:rPr>
        <w:t>Example 8.6.2</w:t>
      </w:r>
    </w:p>
    <w:p>
      <w:pPr>
        <w:spacing w:after="60" w:line="252" w:lineRule="auto"/>
        <w:ind w:firstLine="317"/>
      </w:pPr>
      <w:r>
        <w:rPr>
          <w:rFonts w:ascii="Times New Roman" w:hAnsi="Times New Roman" w:eastAsia="Times New Roman"/>
          <w:b w:val="0"/>
          <w:i w:val="0"/>
        </w:rPr>
        <w:t>Suppose Himal Public Services Pvt. Ltd. sells goods to customers on credit. During income year 2080/081, it had receivables of Rs. 60,000 recorded as income on the accrual basis. Out of the receivables, Rs. 10,000 was receivable from Chipalu Company. A dispute arose regarding this transaction, and in settling the dispute, under a court order the company agreed on 2081/02/05 to abandon Rs. 2,000 of its claim if Chipalu Company paid the remaining Rs. 8,000. The amount of Rs. 2,000 over which the claim was abandoned may be claimed as deduction by the company on the date of abandonment. For Chipalu Company, because the amount remaining payable no longer had to be paid, that amount is included in income.</w:t>
      </w:r>
    </w:p>
    <w:p>
      <w:pPr>
        <w:spacing w:after="60" w:line="252" w:lineRule="auto"/>
        <w:ind w:left="317"/>
      </w:pPr>
      <w:r>
        <w:rPr>
          <w:rFonts w:ascii="Times New Roman" w:hAnsi="Times New Roman" w:eastAsia="Times New Roman"/>
          <w:b w:val="0"/>
          <w:i/>
          <w:sz w:val="18"/>
        </w:rPr>
        <w:t>25(1)(c) where the expenditure was accounted for on the accrual basis, and later the person abandons the liability to incur that expenditure, or, where the expenditure is a debt claim, the person to whom the debt is payable waives the debt.</w:t>
      </w:r>
    </w:p>
    <w:p>
      <w:pPr>
        <w:spacing w:after="80" w:line="252" w:lineRule="auto"/>
        <w:ind w:firstLine="317"/>
      </w:pPr>
      <w:r>
        <w:rPr>
          <w:rFonts w:ascii="Times New Roman" w:hAnsi="Times New Roman" w:eastAsia="Times New Roman"/>
          <w:b w:val="0"/>
          <w:i w:val="0"/>
        </w:rPr>
        <w:t>Where a person has accounted for tax purposes on the accrual basis and has recognised an amount payable as a liability or debt, and later the liability ceases or the person entitled to receive payment abandons the right, that is, relinquishes the claim over the debt, the corresponding adjustment must be made in income. This is clarified below.</w:t>
      </w:r>
    </w:p>
    <w:p>
      <w:pPr>
        <w:spacing w:after="20" w:line="252" w:lineRule="auto"/>
      </w:pPr>
      <w:r>
        <w:rPr>
          <w:rFonts w:ascii="Times New Roman" w:hAnsi="Times New Roman" w:eastAsia="Times New Roman"/>
          <w:b/>
          <w:i w:val="0"/>
        </w:rPr>
        <w:t>Example 8.6.3</w:t>
      </w:r>
    </w:p>
    <w:p>
      <w:pPr>
        <w:spacing w:after="60" w:line="252" w:lineRule="auto"/>
        <w:ind w:firstLine="317"/>
      </w:pPr>
      <w:r>
        <w:rPr>
          <w:rFonts w:ascii="Times New Roman" w:hAnsi="Times New Roman" w:eastAsia="Times New Roman"/>
          <w:b w:val="0"/>
          <w:i w:val="0"/>
        </w:rPr>
        <w:t>Suppose Shubhalaxmi Commercial Bank Ltd., while recovering an old loan from Diwa Industries Pvt. Ltd., waives on 2081/02/01 Rs. 40,000 out of interest receivable of Rs. 100,000. Since Diwa Industries Pvt. Ltd. had claimed deduction of the interest expenditure in previous years on the accrual basis, it must include the waived interest amount of Rs. 40,000 in income at the time the waiver is received.</w:t>
      </w:r>
    </w:p>
    <w:p>
      <w:pPr>
        <w:spacing w:after="60" w:line="252" w:lineRule="auto"/>
        <w:ind w:left="317"/>
      </w:pPr>
      <w:r>
        <w:rPr>
          <w:rFonts w:ascii="Times New Roman" w:hAnsi="Times New Roman" w:eastAsia="Times New Roman"/>
          <w:b w:val="0"/>
          <w:i/>
          <w:sz w:val="18"/>
        </w:rPr>
        <w:t>25(2) A person may abandon a right to receive an amount or write off the person’s debt claim as a bad debt only in the following circumstances:</w:t>
      </w:r>
    </w:p>
    <w:p>
      <w:pPr>
        <w:spacing w:after="60" w:line="252" w:lineRule="auto"/>
        <w:ind w:left="317"/>
      </w:pPr>
      <w:r>
        <w:rPr>
          <w:rFonts w:ascii="Times New Roman" w:hAnsi="Times New Roman" w:eastAsia="Times New Roman"/>
          <w:b w:val="0"/>
          <w:i/>
          <w:sz w:val="18"/>
        </w:rPr>
        <w:t>25(2)(a) in the case of a debt claim of a financial institution or bank, where the debt claim has become bad debt according to the prescribed standards; and</w:t>
      </w:r>
    </w:p>
    <w:p>
      <w:pPr>
        <w:spacing w:after="80" w:line="252" w:lineRule="auto"/>
        <w:ind w:firstLine="317"/>
      </w:pPr>
      <w:r>
        <w:rPr>
          <w:rFonts w:ascii="Times New Roman" w:hAnsi="Times New Roman" w:eastAsia="Times New Roman"/>
          <w:b w:val="0"/>
          <w:i w:val="0"/>
        </w:rPr>
        <w:t>Rule 9 prescribes the standards for a loan to become bad or doubtful as follows:</w:t>
      </w:r>
    </w:p>
    <w:p>
      <w:pPr>
        <w:spacing w:after="60" w:line="252" w:lineRule="auto"/>
        <w:ind w:left="317"/>
      </w:pPr>
      <w:r>
        <w:rPr>
          <w:rFonts w:ascii="Times New Roman" w:hAnsi="Times New Roman" w:eastAsia="Times New Roman"/>
          <w:b w:val="0"/>
          <w:i/>
          <w:sz w:val="18"/>
        </w:rPr>
        <w:t>For the purposes of section 25(2)(a) and section 40(3)(c)(1) of the Act, a loan of a bank or financial institution becomes bad or doubtful according to the standards prescribed by Nepal Rastra Bank.</w:t>
      </w:r>
    </w:p>
    <w:p>
      <w:pPr>
        <w:spacing w:after="80" w:line="252" w:lineRule="auto"/>
        <w:ind w:firstLine="317"/>
      </w:pPr>
      <w:r>
        <w:rPr>
          <w:rFonts w:ascii="Times New Roman" w:hAnsi="Times New Roman" w:eastAsia="Times New Roman"/>
          <w:b w:val="0"/>
          <w:i w:val="0"/>
        </w:rPr>
        <w:t>Banks and financial institutions may write off debt claims subject to the above standards. However, banks and financial institutions that claim deduction for a risk-bearing fund under section 59(1a) of the Act may not claim deduction for debt write-off under this section. If, however, when writing off such loan, an amount in the risk-bearing fund at least equal to the written-off loan amount is included in income, the write-off is not treated as a debt claim written off under this section. When such loan is written off, income equal to the written-off loan must also be recognised in the profit and loss account from the risk-bearing fund. The accounting treatment is clarified below.</w:t>
      </w:r>
    </w:p>
    <w:p>
      <w:pPr>
        <w:spacing w:after="20" w:line="252" w:lineRule="auto"/>
      </w:pPr>
      <w:r>
        <w:rPr>
          <w:rFonts w:ascii="Times New Roman" w:hAnsi="Times New Roman" w:eastAsia="Times New Roman"/>
          <w:b/>
          <w:i w:val="0"/>
        </w:rPr>
        <w:t>Example 8.6.4</w:t>
      </w:r>
    </w:p>
    <w:p>
      <w:pPr>
        <w:spacing w:after="60" w:line="252" w:lineRule="auto"/>
        <w:ind w:firstLine="317"/>
      </w:pPr>
      <w:r>
        <w:rPr>
          <w:rFonts w:ascii="Times New Roman" w:hAnsi="Times New Roman" w:eastAsia="Times New Roman"/>
          <w:b w:val="0"/>
          <w:i w:val="0"/>
        </w:rPr>
        <w:t>Suppose, at the end of income year 2064/065, New Bank Ltd. has total loans outstanding and loans required to be written off as per Nepal Rastra Bank directives as follows:</w:t>
      </w:r>
    </w:p>
    <w:tbl>
      <w:tblPr>
        <w:tblStyle w:val="TableGrid"/>
        <w:tblW w:type="auto" w:w="0"/>
        <w:jc w:val="center"/>
        <w:tblLook w:firstColumn="1" w:firstRow="1" w:lastColumn="0" w:lastRow="0" w:noHBand="0" w:noVBand="1" w:val="04A0"/>
      </w:tblPr>
      <w:tblGrid>
        <w:gridCol w:w="3442"/>
        <w:gridCol w:w="3442"/>
        <w:gridCol w:w="3442"/>
      </w:tblGrid>
      <w:tr>
        <w:tc>
          <w:tcPr>
            <w:tcW w:type="dxa" w:w="3442"/>
            <w:vAlign w:val="top"/>
            <w:shd w:fill="E7E6E6"/>
          </w:tcPr>
          <w:p>
            <w:pPr>
              <w:spacing w:after="0" w:line="240" w:lineRule="auto"/>
            </w:pPr>
            <w:r>
              <w:rPr>
                <w:rFonts w:ascii="Times New Roman" w:hAnsi="Times New Roman" w:eastAsia="Times New Roman"/>
                <w:sz w:val="15"/>
              </w:rPr>
            </w:r>
            <w:r>
              <w:rPr>
                <w:rFonts w:ascii="Times New Roman" w:hAnsi="Times New Roman" w:eastAsia="Times New Roman"/>
                <w:b/>
                <w:i w:val="0"/>
                <w:sz w:val="15"/>
              </w:rPr>
              <w:t>No.</w:t>
            </w:r>
          </w:p>
        </w:tc>
        <w:tc>
          <w:tcPr>
            <w:tcW w:type="dxa" w:w="3442"/>
            <w:vAlign w:val="top"/>
            <w:shd w:fill="E7E6E6"/>
          </w:tcPr>
          <w:p>
            <w:pPr>
              <w:spacing w:after="0" w:line="240" w:lineRule="auto"/>
            </w:pPr>
            <w:r>
              <w:rPr>
                <w:rFonts w:ascii="Times New Roman" w:hAnsi="Times New Roman" w:eastAsia="Times New Roman"/>
                <w:sz w:val="15"/>
              </w:rPr>
            </w:r>
            <w:r>
              <w:rPr>
                <w:rFonts w:ascii="Times New Roman" w:hAnsi="Times New Roman" w:eastAsia="Times New Roman"/>
                <w:b/>
                <w:i w:val="0"/>
                <w:sz w:val="15"/>
              </w:rPr>
              <w:t>Particulars</w:t>
            </w:r>
          </w:p>
        </w:tc>
        <w:tc>
          <w:tcPr>
            <w:tcW w:type="dxa" w:w="3442"/>
            <w:vAlign w:val="top"/>
            <w:shd w:fill="E7E6E6"/>
          </w:tcPr>
          <w:p>
            <w:pPr>
              <w:spacing w:after="0" w:line="240" w:lineRule="auto"/>
            </w:pPr>
            <w:r>
              <w:rPr>
                <w:rFonts w:ascii="Times New Roman" w:hAnsi="Times New Roman" w:eastAsia="Times New Roman"/>
                <w:sz w:val="15"/>
              </w:rPr>
            </w:r>
            <w:r>
              <w:rPr>
                <w:rFonts w:ascii="Times New Roman" w:hAnsi="Times New Roman" w:eastAsia="Times New Roman"/>
                <w:b/>
                <w:i w:val="0"/>
                <w:sz w:val="15"/>
              </w:rPr>
              <w:t>Amount</w:t>
            </w:r>
          </w:p>
        </w:tc>
      </w:tr>
      <w:tr>
        <w:tc>
          <w:tcPr>
            <w:tcW w:type="dxa" w:w="3442"/>
            <w:vAlign w:val="top"/>
          </w:tcPr>
          <w:p>
            <w:pPr>
              <w:spacing w:after="0" w:line="240" w:lineRule="auto"/>
            </w:pPr>
            <w:r>
              <w:rPr>
                <w:rFonts w:ascii="Times New Roman" w:hAnsi="Times New Roman" w:eastAsia="Times New Roman"/>
                <w:sz w:val="15"/>
              </w:rPr>
            </w:r>
            <w:r>
              <w:rPr>
                <w:rFonts w:ascii="Times New Roman" w:hAnsi="Times New Roman" w:eastAsia="Times New Roman"/>
                <w:b w:val="0"/>
                <w:i w:val="0"/>
                <w:sz w:val="15"/>
              </w:rPr>
              <w:t>1</w:t>
            </w:r>
          </w:p>
        </w:tc>
        <w:tc>
          <w:tcPr>
            <w:tcW w:type="dxa" w:w="3442"/>
            <w:vAlign w:val="top"/>
          </w:tcPr>
          <w:p>
            <w:pPr>
              <w:spacing w:after="0" w:line="240" w:lineRule="auto"/>
            </w:pPr>
            <w:r>
              <w:rPr>
                <w:rFonts w:ascii="Times New Roman" w:hAnsi="Times New Roman" w:eastAsia="Times New Roman"/>
                <w:sz w:val="15"/>
              </w:rPr>
            </w:r>
            <w:r>
              <w:rPr>
                <w:rFonts w:ascii="Times New Roman" w:hAnsi="Times New Roman" w:eastAsia="Times New Roman"/>
                <w:b w:val="0"/>
                <w:i w:val="0"/>
                <w:sz w:val="15"/>
              </w:rPr>
              <w:t>Total loans before write-off</w:t>
            </w:r>
          </w:p>
        </w:tc>
        <w:tc>
          <w:tcPr>
            <w:tcW w:type="dxa" w:w="3442"/>
            <w:vAlign w:val="top"/>
          </w:tcPr>
          <w:p>
            <w:pPr>
              <w:spacing w:after="0" w:line="240" w:lineRule="auto"/>
            </w:pPr>
            <w:r>
              <w:rPr>
                <w:rFonts w:ascii="Times New Roman" w:hAnsi="Times New Roman" w:eastAsia="Times New Roman"/>
                <w:sz w:val="15"/>
              </w:rPr>
            </w:r>
            <w:r>
              <w:rPr>
                <w:rFonts w:ascii="Times New Roman" w:hAnsi="Times New Roman" w:eastAsia="Times New Roman"/>
                <w:b w:val="0"/>
                <w:i w:val="0"/>
                <w:sz w:val="15"/>
              </w:rPr>
              <w:t>Rs. 1,000,000,000</w:t>
            </w:r>
          </w:p>
        </w:tc>
      </w:tr>
      <w:tr>
        <w:tc>
          <w:tcPr>
            <w:tcW w:type="dxa" w:w="3442"/>
            <w:vAlign w:val="top"/>
          </w:tcPr>
          <w:p>
            <w:pPr>
              <w:spacing w:after="0" w:line="240" w:lineRule="auto"/>
            </w:pPr>
            <w:r>
              <w:rPr>
                <w:rFonts w:ascii="Times New Roman" w:hAnsi="Times New Roman" w:eastAsia="Times New Roman"/>
                <w:sz w:val="15"/>
              </w:rPr>
            </w:r>
            <w:r>
              <w:rPr>
                <w:rFonts w:ascii="Times New Roman" w:hAnsi="Times New Roman" w:eastAsia="Times New Roman"/>
                <w:b w:val="0"/>
                <w:i w:val="0"/>
                <w:sz w:val="15"/>
              </w:rPr>
              <w:t>2</w:t>
            </w:r>
          </w:p>
        </w:tc>
        <w:tc>
          <w:tcPr>
            <w:tcW w:type="dxa" w:w="3442"/>
            <w:vAlign w:val="top"/>
          </w:tcPr>
          <w:p>
            <w:pPr>
              <w:spacing w:after="0" w:line="240" w:lineRule="auto"/>
            </w:pPr>
            <w:r>
              <w:rPr>
                <w:rFonts w:ascii="Times New Roman" w:hAnsi="Times New Roman" w:eastAsia="Times New Roman"/>
                <w:sz w:val="15"/>
              </w:rPr>
            </w:r>
            <w:r>
              <w:rPr>
                <w:rFonts w:ascii="Times New Roman" w:hAnsi="Times New Roman" w:eastAsia="Times New Roman"/>
                <w:b w:val="0"/>
                <w:i w:val="0"/>
                <w:sz w:val="15"/>
              </w:rPr>
              <w:t>Loans to be written off</w:t>
            </w:r>
          </w:p>
        </w:tc>
        <w:tc>
          <w:tcPr>
            <w:tcW w:type="dxa" w:w="3442"/>
            <w:vAlign w:val="top"/>
          </w:tcPr>
          <w:p>
            <w:pPr>
              <w:spacing w:after="0" w:line="240" w:lineRule="auto"/>
            </w:pPr>
            <w:r>
              <w:rPr>
                <w:rFonts w:ascii="Times New Roman" w:hAnsi="Times New Roman" w:eastAsia="Times New Roman"/>
                <w:sz w:val="15"/>
              </w:rPr>
            </w:r>
            <w:r>
              <w:rPr>
                <w:rFonts w:ascii="Times New Roman" w:hAnsi="Times New Roman" w:eastAsia="Times New Roman"/>
                <w:b w:val="0"/>
                <w:i w:val="0"/>
                <w:sz w:val="15"/>
              </w:rPr>
              <w:t>Rs. 60,000,000</w:t>
            </w:r>
          </w:p>
        </w:tc>
      </w:tr>
      <w:tr>
        <w:tc>
          <w:tcPr>
            <w:tcW w:type="dxa" w:w="3442"/>
            <w:vAlign w:val="top"/>
          </w:tcPr>
          <w:p>
            <w:pPr>
              <w:spacing w:after="0" w:line="240" w:lineRule="auto"/>
            </w:pPr>
            <w:r>
              <w:rPr>
                <w:rFonts w:ascii="Times New Roman" w:hAnsi="Times New Roman" w:eastAsia="Times New Roman"/>
                <w:sz w:val="15"/>
              </w:rPr>
            </w:r>
            <w:r>
              <w:rPr>
                <w:rFonts w:ascii="Times New Roman" w:hAnsi="Times New Roman" w:eastAsia="Times New Roman"/>
                <w:b w:val="0"/>
                <w:i w:val="0"/>
                <w:sz w:val="15"/>
              </w:rPr>
              <w:t>3</w:t>
            </w:r>
          </w:p>
        </w:tc>
        <w:tc>
          <w:tcPr>
            <w:tcW w:type="dxa" w:w="3442"/>
            <w:vAlign w:val="top"/>
          </w:tcPr>
          <w:p>
            <w:pPr>
              <w:spacing w:after="0" w:line="240" w:lineRule="auto"/>
            </w:pPr>
            <w:r>
              <w:rPr>
                <w:rFonts w:ascii="Times New Roman" w:hAnsi="Times New Roman" w:eastAsia="Times New Roman"/>
                <w:sz w:val="15"/>
              </w:rPr>
            </w:r>
            <w:r>
              <w:rPr>
                <w:rFonts w:ascii="Times New Roman" w:hAnsi="Times New Roman" w:eastAsia="Times New Roman"/>
                <w:b w:val="0"/>
                <w:i w:val="0"/>
                <w:sz w:val="15"/>
              </w:rPr>
              <w:t>Loan balance after write-off</w:t>
            </w:r>
          </w:p>
        </w:tc>
        <w:tc>
          <w:tcPr>
            <w:tcW w:type="dxa" w:w="3442"/>
            <w:vAlign w:val="top"/>
          </w:tcPr>
          <w:p>
            <w:pPr>
              <w:spacing w:after="0" w:line="240" w:lineRule="auto"/>
            </w:pPr>
            <w:r>
              <w:rPr>
                <w:rFonts w:ascii="Times New Roman" w:hAnsi="Times New Roman" w:eastAsia="Times New Roman"/>
                <w:sz w:val="15"/>
              </w:rPr>
            </w:r>
            <w:r>
              <w:rPr>
                <w:rFonts w:ascii="Times New Roman" w:hAnsi="Times New Roman" w:eastAsia="Times New Roman"/>
                <w:b w:val="0"/>
                <w:i w:val="0"/>
                <w:sz w:val="15"/>
              </w:rPr>
              <w:t>Rs. 940,000,000</w:t>
            </w:r>
          </w:p>
        </w:tc>
      </w:tr>
    </w:tbl>
    <w:p>
      <w:pPr>
        <w:spacing w:after="40" w:line="252" w:lineRule="auto"/>
      </w:pPr>
    </w:p>
    <w:p>
      <w:pPr>
        <w:spacing w:after="80" w:line="252" w:lineRule="auto"/>
        <w:ind w:firstLine="317"/>
      </w:pPr>
      <w:r>
        <w:rPr>
          <w:rFonts w:ascii="Times New Roman" w:hAnsi="Times New Roman" w:eastAsia="Times New Roman"/>
          <w:b w:val="0"/>
          <w:i w:val="0"/>
        </w:rPr>
        <w:t>The bank writes off loans within the standards prescribed by Nepal Rastra Bank and has not claimed deduction for a risk-bearing fund under section 59(1a) of the Act. In this situation, the bank may claim deduction of Rs. 60,000,000 written off under this section. The accounting entries for the loan write-off are as follows:</w:t>
      </w:r>
    </w:p>
    <w:tbl>
      <w:tblPr>
        <w:tblStyle w:val="TableGrid"/>
        <w:tblW w:type="auto" w:w="0"/>
        <w:jc w:val="center"/>
        <w:tblLook w:firstColumn="1" w:firstRow="1" w:lastColumn="0" w:lastRow="0" w:noHBand="0" w:noVBand="1" w:val="04A0"/>
      </w:tblPr>
      <w:tblGrid>
        <w:gridCol w:w="3442"/>
        <w:gridCol w:w="3442"/>
        <w:gridCol w:w="3442"/>
      </w:tblGrid>
      <w:tr>
        <w:tc>
          <w:tcPr>
            <w:tcW w:type="dxa" w:w="3442"/>
            <w:vAlign w:val="top"/>
            <w:shd w:fill="E7E6E6"/>
          </w:tcPr>
          <w:p>
            <w:pPr>
              <w:spacing w:after="0" w:line="240" w:lineRule="auto"/>
            </w:pPr>
            <w:r>
              <w:rPr>
                <w:rFonts w:ascii="Times New Roman" w:hAnsi="Times New Roman" w:eastAsia="Times New Roman"/>
                <w:sz w:val="14"/>
              </w:rPr>
            </w:r>
            <w:r>
              <w:rPr>
                <w:rFonts w:ascii="Times New Roman" w:hAnsi="Times New Roman" w:eastAsia="Times New Roman"/>
                <w:b/>
                <w:i w:val="0"/>
                <w:sz w:val="14"/>
              </w:rPr>
              <w:t>Entry</w:t>
            </w:r>
          </w:p>
        </w:tc>
        <w:tc>
          <w:tcPr>
            <w:tcW w:type="dxa" w:w="3442"/>
            <w:vAlign w:val="top"/>
            <w:shd w:fill="E7E6E6"/>
          </w:tcPr>
          <w:p>
            <w:pPr>
              <w:spacing w:after="0" w:line="240" w:lineRule="auto"/>
            </w:pPr>
            <w:r>
              <w:rPr>
                <w:rFonts w:ascii="Times New Roman" w:hAnsi="Times New Roman" w:eastAsia="Times New Roman"/>
                <w:sz w:val="14"/>
              </w:rPr>
            </w:r>
            <w:r>
              <w:rPr>
                <w:rFonts w:ascii="Times New Roman" w:hAnsi="Times New Roman" w:eastAsia="Times New Roman"/>
                <w:b/>
                <w:i w:val="0"/>
                <w:sz w:val="14"/>
              </w:rPr>
              <w:t>Debit</w:t>
            </w:r>
          </w:p>
        </w:tc>
        <w:tc>
          <w:tcPr>
            <w:tcW w:type="dxa" w:w="3442"/>
            <w:vAlign w:val="top"/>
            <w:shd w:fill="E7E6E6"/>
          </w:tcPr>
          <w:p>
            <w:pPr>
              <w:spacing w:after="0" w:line="240" w:lineRule="auto"/>
            </w:pPr>
            <w:r>
              <w:rPr>
                <w:rFonts w:ascii="Times New Roman" w:hAnsi="Times New Roman" w:eastAsia="Times New Roman"/>
                <w:sz w:val="14"/>
              </w:rPr>
            </w:r>
            <w:r>
              <w:rPr>
                <w:rFonts w:ascii="Times New Roman" w:hAnsi="Times New Roman" w:eastAsia="Times New Roman"/>
                <w:b/>
                <w:i w:val="0"/>
                <w:sz w:val="14"/>
              </w:rPr>
              <w:t>Credit</w:t>
            </w:r>
          </w:p>
        </w:tc>
      </w:tr>
      <w:tr>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t>Loan write-off</w:t>
            </w:r>
          </w:p>
        </w:tc>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t>Dr. Loan Write-off (Profit and Loss Account) - Rs. 60,000,000</w:t>
            </w:r>
          </w:p>
        </w:tc>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t>Cr. Loans and Advances - Rs. 60,000,000</w:t>
            </w:r>
          </w:p>
        </w:tc>
      </w:tr>
      <w:tr>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t>Adjustment in risk-bearing fund</w:t>
            </w:r>
          </w:p>
        </w:tc>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t>Dr. Loan Loss Provision (Profit and Loss Account) - Rs. 60,000,000</w:t>
            </w:r>
          </w:p>
        </w:tc>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t>Cr. Loan Loss Provision (Balance Sheet) - Rs. 60,000,000</w:t>
            </w:r>
          </w:p>
        </w:tc>
      </w:tr>
    </w:tbl>
    <w:p>
      <w:pPr>
        <w:spacing w:after="40" w:line="252" w:lineRule="auto"/>
      </w:pPr>
    </w:p>
    <w:p>
      <w:pPr>
        <w:spacing w:after="20" w:line="252" w:lineRule="auto"/>
      </w:pPr>
      <w:r>
        <w:rPr>
          <w:rFonts w:ascii="Times New Roman" w:hAnsi="Times New Roman" w:eastAsia="Times New Roman"/>
          <w:b/>
          <w:i w:val="0"/>
        </w:rPr>
        <w:t>Example 8.6.5</w:t>
      </w:r>
    </w:p>
    <w:p>
      <w:pPr>
        <w:spacing w:after="60" w:line="252" w:lineRule="auto"/>
        <w:ind w:firstLine="317"/>
      </w:pPr>
      <w:r>
        <w:rPr>
          <w:rFonts w:ascii="Times New Roman" w:hAnsi="Times New Roman" w:eastAsia="Times New Roman"/>
          <w:b w:val="0"/>
          <w:i w:val="0"/>
        </w:rPr>
        <w:t>Suppose New Bank Ltd. claims deduction for a risk-bearing fund under section 59(1a) of the Act. At the end of income year 2064/065, the position of total loans outstanding, risk-bearing fund and written-off loan is as follows:</w:t>
      </w:r>
    </w:p>
    <w:tbl>
      <w:tblPr>
        <w:tblStyle w:val="TableGrid"/>
        <w:tblW w:type="auto" w:w="0"/>
        <w:jc w:val="center"/>
        <w:tblLook w:firstColumn="1" w:firstRow="1" w:lastColumn="0" w:lastRow="0" w:noHBand="0" w:noVBand="1" w:val="04A0"/>
      </w:tblPr>
      <w:tblGrid>
        <w:gridCol w:w="3442"/>
        <w:gridCol w:w="3442"/>
        <w:gridCol w:w="3442"/>
      </w:tblGrid>
      <w:tr>
        <w:tc>
          <w:tcPr>
            <w:tcW w:type="dxa" w:w="3442"/>
            <w:vAlign w:val="top"/>
            <w:shd w:fill="E7E6E6"/>
          </w:tcPr>
          <w:p>
            <w:pPr>
              <w:spacing w:after="0" w:line="240" w:lineRule="auto"/>
            </w:pPr>
            <w:r>
              <w:rPr>
                <w:rFonts w:ascii="Times New Roman" w:hAnsi="Times New Roman" w:eastAsia="Times New Roman"/>
                <w:sz w:val="14"/>
              </w:rPr>
            </w:r>
            <w:r>
              <w:rPr>
                <w:rFonts w:ascii="Times New Roman" w:hAnsi="Times New Roman" w:eastAsia="Times New Roman"/>
                <w:b/>
                <w:i w:val="0"/>
                <w:sz w:val="14"/>
              </w:rPr>
              <w:t>No.</w:t>
            </w:r>
          </w:p>
        </w:tc>
        <w:tc>
          <w:tcPr>
            <w:tcW w:type="dxa" w:w="3442"/>
            <w:vAlign w:val="top"/>
            <w:shd w:fill="E7E6E6"/>
          </w:tcPr>
          <w:p>
            <w:pPr>
              <w:spacing w:after="0" w:line="240" w:lineRule="auto"/>
            </w:pPr>
            <w:r>
              <w:rPr>
                <w:rFonts w:ascii="Times New Roman" w:hAnsi="Times New Roman" w:eastAsia="Times New Roman"/>
                <w:sz w:val="14"/>
              </w:rPr>
            </w:r>
            <w:r>
              <w:rPr>
                <w:rFonts w:ascii="Times New Roman" w:hAnsi="Times New Roman" w:eastAsia="Times New Roman"/>
                <w:b/>
                <w:i w:val="0"/>
                <w:sz w:val="14"/>
              </w:rPr>
              <w:t>Particulars</w:t>
            </w:r>
          </w:p>
        </w:tc>
        <w:tc>
          <w:tcPr>
            <w:tcW w:type="dxa" w:w="3442"/>
            <w:vAlign w:val="top"/>
            <w:shd w:fill="E7E6E6"/>
          </w:tcPr>
          <w:p>
            <w:pPr>
              <w:spacing w:after="0" w:line="240" w:lineRule="auto"/>
            </w:pPr>
            <w:r>
              <w:rPr>
                <w:rFonts w:ascii="Times New Roman" w:hAnsi="Times New Roman" w:eastAsia="Times New Roman"/>
                <w:sz w:val="14"/>
              </w:rPr>
            </w:r>
            <w:r>
              <w:rPr>
                <w:rFonts w:ascii="Times New Roman" w:hAnsi="Times New Roman" w:eastAsia="Times New Roman"/>
                <w:b/>
                <w:i w:val="0"/>
                <w:sz w:val="14"/>
              </w:rPr>
              <w:t>Amount</w:t>
            </w:r>
          </w:p>
        </w:tc>
      </w:tr>
      <w:tr>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t>1</w:t>
            </w:r>
          </w:p>
        </w:tc>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t>Total loans before write-off</w:t>
            </w:r>
          </w:p>
        </w:tc>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t>Rs. 1,000,000,000</w:t>
            </w:r>
          </w:p>
        </w:tc>
      </w:tr>
      <w:tr>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t>2</w:t>
            </w:r>
          </w:p>
        </w:tc>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t>Loans written off</w:t>
            </w:r>
          </w:p>
        </w:tc>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t>Rs. 10,000,000</w:t>
            </w:r>
          </w:p>
        </w:tc>
      </w:tr>
      <w:tr>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t>3</w:t>
            </w:r>
          </w:p>
        </w:tc>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t>Loan balance after write-off</w:t>
            </w:r>
          </w:p>
        </w:tc>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t>Rs. 990,000,000</w:t>
            </w:r>
          </w:p>
        </w:tc>
      </w:tr>
      <w:tr>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t>4</w:t>
            </w:r>
          </w:p>
        </w:tc>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t>Balance provision in risk-bearing fund as per Nepal Rastra Bank directives</w:t>
            </w:r>
          </w:p>
        </w:tc>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t>Rs. 51,000,000</w:t>
            </w:r>
          </w:p>
        </w:tc>
      </w:tr>
      <w:tr>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t>5</w:t>
            </w:r>
          </w:p>
        </w:tc>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t>Provision maintained up to income year 2063/064</w:t>
            </w:r>
          </w:p>
        </w:tc>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t>Rs. 37,000,000</w:t>
            </w:r>
          </w:p>
        </w:tc>
      </w:tr>
      <w:tr>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t>6</w:t>
            </w:r>
          </w:p>
        </w:tc>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t>Amount transferred from risk-bearing fund to income during the year</w:t>
            </w:r>
          </w:p>
        </w:tc>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t>Rs. 11,000,000</w:t>
            </w:r>
          </w:p>
        </w:tc>
      </w:tr>
      <w:tr>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t>7</w:t>
            </w:r>
          </w:p>
        </w:tc>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t>Amount charged to risk-bearing fund during the year</w:t>
            </w:r>
          </w:p>
        </w:tc>
        <w:tc>
          <w:tcPr>
            <w:tcW w:type="dxa" w:w="3442"/>
            <w:vAlign w:val="top"/>
          </w:tcPr>
          <w:p>
            <w:pPr>
              <w:spacing w:after="0" w:line="240" w:lineRule="auto"/>
            </w:pPr>
            <w:r>
              <w:rPr>
                <w:rFonts w:ascii="Times New Roman" w:hAnsi="Times New Roman" w:eastAsia="Times New Roman"/>
                <w:sz w:val="14"/>
              </w:rPr>
            </w:r>
            <w:r>
              <w:rPr>
                <w:rFonts w:ascii="Times New Roman" w:hAnsi="Times New Roman" w:eastAsia="Times New Roman"/>
                <w:b w:val="0"/>
                <w:i w:val="0"/>
                <w:sz w:val="14"/>
              </w:rPr>
              <w:t>Rs. 25,000,000</w:t>
            </w:r>
          </w:p>
        </w:tc>
      </w:tr>
    </w:tbl>
    <w:p>
      <w:pPr>
        <w:spacing w:after="40" w:line="252" w:lineRule="auto"/>
      </w:pPr>
    </w:p>
    <w:p>
      <w:pPr>
        <w:spacing w:after="80" w:line="252" w:lineRule="auto"/>
        <w:ind w:firstLine="317"/>
      </w:pPr>
      <w:r>
        <w:rPr>
          <w:rFonts w:ascii="Times New Roman" w:hAnsi="Times New Roman" w:eastAsia="Times New Roman"/>
          <w:b w:val="0"/>
          <w:i w:val="0"/>
        </w:rPr>
        <w:t>At the end of income year 2064/065, the limit of the risk-bearing fund under section 59(1a) of the Act is Rs. 49,500,000, being 5 percent of the year-end loan balance of Rs. 990,000,000. Since Rs. 51,000,000 remains in the risk-bearing fund at year-end, the excess provision of Rs. 1,500,000 is not allowable. Thus, out of Rs. 25,000,000 charged as expense during the year, only Rs. 23,500,000 is deductible. Although loans of Rs. 10,000,000 were written off during the year, Rs. 11,000,000 was transferred from the risk-bearing fund to income; therefore, this is not treated as a write-off under this section. In other words, such write-off is not treated as abandonment of a debt claim under section 25(2)(a) of the Act.</w:t>
      </w:r>
    </w:p>
    <w:p>
      <w:pPr>
        <w:spacing w:after="60" w:line="252" w:lineRule="auto"/>
        <w:ind w:left="317"/>
      </w:pPr>
      <w:r>
        <w:rPr>
          <w:rFonts w:ascii="Times New Roman" w:hAnsi="Times New Roman" w:eastAsia="Times New Roman"/>
          <w:b w:val="0"/>
          <w:i/>
          <w:sz w:val="18"/>
        </w:rPr>
        <w:t>25(2)(b) in cases other than the circumstances mentioned in clause (a), where, after taking all appropriate measures to receive payment, the person is reasonably satisfied that the right or debt claim cannot be recovered.</w:t>
      </w:r>
    </w:p>
    <w:p>
      <w:pPr>
        <w:spacing w:after="80" w:line="252" w:lineRule="auto"/>
        <w:ind w:firstLine="317"/>
      </w:pPr>
      <w:r>
        <w:rPr>
          <w:rFonts w:ascii="Times New Roman" w:hAnsi="Times New Roman" w:eastAsia="Times New Roman"/>
          <w:b w:val="0"/>
          <w:i w:val="0"/>
        </w:rPr>
        <w:t>When a person other than a bank or financial institution writes off a debt claim, the person must have attempted recovery by considering the financial condition of the debtor and by taking steps for recovery such as police action, or court proceedings where appropriate. Only where recovery is not possible even after such steps may the person write off the outstanding amount.</w:t>
      </w:r>
    </w:p>
    <w:p>
      <w:pPr>
        <w:pStyle w:val="Heading2"/>
        <w:spacing w:after="80" w:line="252" w:lineRule="auto"/>
      </w:pPr>
      <w:r>
        <w:rPr>
          <w:rFonts w:ascii="Times New Roman" w:hAnsi="Times New Roman" w:eastAsia="Times New Roman"/>
          <w:b w:val="0"/>
          <w:i w:val="0"/>
        </w:rPr>
        <w:t>8.7 Accounting under Long-Term Contracts</w:t>
      </w:r>
    </w:p>
    <w:p>
      <w:pPr>
        <w:spacing w:after="80" w:line="252" w:lineRule="auto"/>
        <w:ind w:firstLine="317"/>
      </w:pPr>
      <w:r>
        <w:rPr>
          <w:rFonts w:ascii="Times New Roman" w:hAnsi="Times New Roman" w:eastAsia="Times New Roman"/>
          <w:b w:val="0"/>
          <w:i w:val="0"/>
        </w:rPr>
        <w:t>A long-term contract means a contract relating to manufacture, installation or construction that remains in force for more than 12 months and provides for deferred return. Section 26 of the Act deals with amounts to be included and deducted under long-term contracts. The provisions and detailed explanation relating to accounting for long-term contracts are provided in Chapter 20 of this Directive.</w:t>
      </w:r>
    </w:p>
    <w:p>
      <w:r>
        <w:br w:type="page"/>
      </w:r>
    </w:p>
    <w:p>
      <w:pPr>
        <w:spacing w:after="160" w:line="252" w:lineRule="auto"/>
        <w:jc w:val="center"/>
      </w:pPr>
      <w:r>
        <w:rPr>
          <w:rFonts w:ascii="Times New Roman" w:hAnsi="Times New Roman" w:eastAsia="Times New Roman"/>
          <w:b/>
          <w:i w:val="0"/>
        </w:rPr>
        <w:t>Income Tax Directive, 2066</w:t>
      </w:r>
    </w:p>
    <w:p>
      <w:pPr>
        <w:spacing w:after="160" w:line="252" w:lineRule="auto"/>
        <w:jc w:val="center"/>
      </w:pPr>
      <w:r>
        <w:rPr>
          <w:rFonts w:ascii="Times New Roman" w:hAnsi="Times New Roman" w:eastAsia="Times New Roman"/>
          <w:b/>
          <w:i w:val="0"/>
        </w:rPr>
        <w:t>(Fifth Amendment, 2081)</w:t>
      </w:r>
    </w:p>
    <w:p>
      <w:pPr>
        <w:spacing w:after="160" w:line="252" w:lineRule="auto"/>
        <w:jc w:val="center"/>
      </w:pPr>
      <w:r>
        <w:rPr>
          <w:rFonts w:ascii="Times New Roman" w:hAnsi="Times New Roman" w:eastAsia="Times New Roman"/>
          <w:b/>
          <w:i w:val="0"/>
        </w:rPr>
        <w:t>English Translation - Part 9</w:t>
      </w:r>
    </w:p>
    <w:p>
      <w:pPr>
        <w:spacing w:after="160" w:line="252" w:lineRule="auto"/>
        <w:jc w:val="center"/>
      </w:pPr>
      <w:r>
        <w:rPr>
          <w:rFonts w:ascii="Times New Roman" w:hAnsi="Times New Roman" w:eastAsia="Times New Roman"/>
          <w:b/>
          <w:i w:val="0"/>
        </w:rPr>
        <w:t>Chapter 9: Exempt Amounts and Other Exemptions</w:t>
      </w:r>
    </w:p>
    <w:p>
      <w:pPr>
        <w:spacing w:after="280" w:line="252" w:lineRule="auto"/>
        <w:jc w:val="center"/>
      </w:pPr>
      <w:r>
        <w:rPr>
          <w:rFonts w:ascii="Times New Roman" w:hAnsi="Times New Roman" w:eastAsia="Times New Roman"/>
          <w:b w:val="0"/>
          <w:i/>
        </w:rPr>
        <w:t>Translated from the uploaded Nepali PDF while preserving the structure, numbering and legal meaning as far as practicable. Statutory expressions are aligned with the English terminology used in the official English Income Tax Act, 2002 (2058), published by the Inland Revenue Department, wherever applicable.</w:t>
      </w:r>
    </w:p>
    <w:p>
      <w:r>
        <w:br w:type="page"/>
      </w:r>
    </w:p>
    <w:p>
      <w:pPr>
        <w:spacing w:after="40" w:line="252" w:lineRule="auto"/>
        <w:jc w:val="center"/>
      </w:pPr>
      <w:r>
        <w:rPr>
          <w:rFonts w:ascii="Times New Roman" w:hAnsi="Times New Roman" w:eastAsia="Times New Roman"/>
          <w:b/>
          <w:i w:val="0"/>
        </w:rPr>
        <w:t>Chapter 9</w:t>
      </w:r>
    </w:p>
    <w:p>
      <w:pPr>
        <w:spacing w:after="40" w:line="252" w:lineRule="auto"/>
        <w:jc w:val="center"/>
      </w:pPr>
      <w:r>
        <w:rPr>
          <w:rFonts w:ascii="Times New Roman" w:hAnsi="Times New Roman" w:eastAsia="Times New Roman"/>
          <w:b/>
          <w:i w:val="0"/>
        </w:rPr>
        <w:t>Exempt Amounts and Other Exemptions</w:t>
      </w:r>
    </w:p>
    <w:p>
      <w:pPr>
        <w:spacing w:after="240" w:line="252" w:lineRule="auto"/>
        <w:jc w:val="center"/>
      </w:pPr>
      <w:r>
        <w:rPr>
          <w:rFonts w:ascii="Times New Roman" w:hAnsi="Times New Roman" w:eastAsia="Times New Roman"/>
          <w:b w:val="0"/>
          <w:i/>
        </w:rPr>
        <w:t>(Exemptions and Other Reductions)</w:t>
      </w:r>
    </w:p>
    <w:p>
      <w:pPr>
        <w:pStyle w:val="Heading2"/>
        <w:spacing w:after="80" w:line="252" w:lineRule="auto"/>
      </w:pPr>
      <w:r>
        <w:rPr>
          <w:rFonts w:ascii="Times New Roman" w:hAnsi="Times New Roman" w:eastAsia="Times New Roman"/>
          <w:b w:val="0"/>
          <w:i w:val="0"/>
        </w:rPr>
        <w:t>9.1 Introduction</w:t>
      </w:r>
    </w:p>
    <w:p>
      <w:pPr>
        <w:spacing w:after="80" w:line="252" w:lineRule="auto"/>
        <w:ind w:firstLine="317"/>
      </w:pPr>
      <w:r>
        <w:rPr>
          <w:rFonts w:ascii="Times New Roman" w:hAnsi="Times New Roman" w:eastAsia="Times New Roman"/>
          <w:b w:val="0"/>
          <w:i w:val="0"/>
        </w:rPr>
        <w:t>The Income Tax Act, 2058 has made provision to exempt certain types of income for the purpose of computing the income of a person. The Act provides for exemption, or for reducing a prescribed amount for tax purposes, in respect of persons or institutions entitled to tax exemption under treaties or agreements entered into by the Government with friendly countries, institutions engaged in social and charitable activities, persons or institutions working in geographically remote areas, physically incapacitated persons, and matters of national priority. Chapter 4 and Schedule 1 of the Act contain provisions regarding exempt income and amounts deductible from taxable income. The objective of this Chapter of the Directive is to explain such income.</w:t>
      </w:r>
    </w:p>
    <w:p>
      <w:pPr>
        <w:pStyle w:val="Heading2"/>
        <w:spacing w:after="80" w:line="252" w:lineRule="auto"/>
      </w:pPr>
      <w:r>
        <w:rPr>
          <w:rFonts w:ascii="Times New Roman" w:hAnsi="Times New Roman" w:eastAsia="Times New Roman"/>
          <w:b w:val="0"/>
          <w:i w:val="0"/>
        </w:rPr>
        <w:t>9.2 Exempt Amounts</w:t>
      </w:r>
    </w:p>
    <w:p>
      <w:pPr>
        <w:pStyle w:val="Heading3"/>
        <w:spacing w:after="80" w:line="252" w:lineRule="auto"/>
      </w:pPr>
      <w:r>
        <w:rPr>
          <w:rFonts w:ascii="Times New Roman" w:hAnsi="Times New Roman" w:eastAsia="Times New Roman"/>
          <w:b w:val="0"/>
          <w:i w:val="0"/>
        </w:rPr>
        <w:t>9.2.1 Amounts Exempt in Income</w:t>
      </w:r>
    </w:p>
    <w:p>
      <w:pPr>
        <w:spacing w:after="80" w:line="252" w:lineRule="auto"/>
        <w:ind w:firstLine="317"/>
      </w:pPr>
      <w:r>
        <w:rPr>
          <w:rFonts w:ascii="Times New Roman" w:hAnsi="Times New Roman" w:eastAsia="Times New Roman"/>
          <w:b w:val="0"/>
          <w:i w:val="0"/>
        </w:rPr>
        <w:t>An exempt amount means an amount that the person receiving the amount is not required to include in income from employment, business or investment for the purpose of computing income. Section 10 of the Act provides that the following amounts are exempt from tax.</w:t>
      </w:r>
    </w:p>
    <w:p>
      <w:pPr>
        <w:spacing w:after="60" w:line="252" w:lineRule="auto"/>
        <w:ind w:left="317"/>
      </w:pPr>
      <w:r>
        <w:rPr>
          <w:rFonts w:ascii="Times New Roman" w:hAnsi="Times New Roman" w:eastAsia="Times New Roman"/>
          <w:b w:val="0"/>
          <w:i/>
          <w:sz w:val="18"/>
        </w:rPr>
        <w:t>10(a) The amount of tax exemption received by a person who is entitled to a tax exemption facility under a bilateral or multilateral treaty or agreement entered into between the Government of Nepal and a foreign country or an international organization.</w:t>
      </w:r>
    </w:p>
    <w:p>
      <w:pPr>
        <w:spacing w:after="80" w:line="252" w:lineRule="auto"/>
        <w:ind w:firstLine="317"/>
      </w:pPr>
      <w:r>
        <w:rPr>
          <w:rFonts w:ascii="Times New Roman" w:hAnsi="Times New Roman" w:eastAsia="Times New Roman"/>
          <w:b w:val="0"/>
          <w:i w:val="0"/>
        </w:rPr>
        <w:t>An amount received by a person entitled to a tax exemption facility under a bilateral treaty or agreement entered into between the Government of Nepal and any foreign country or international organization, subject to that treaty or agreement, is an exempt amount. For example, persons enjoying diplomatic privileges under the Vienna Convention - that is, foreign diplomatic officers, consuls and similar persons - are exempt from tax on employment income received for service to the government of their own country. Even where the place of employment of such persons is in Nepal, section 10(a) exempts the income derived from employment.</w:t>
      </w:r>
    </w:p>
    <w:p>
      <w:pPr>
        <w:spacing w:after="80" w:line="252" w:lineRule="auto"/>
        <w:ind w:firstLine="317"/>
      </w:pPr>
      <w:r>
        <w:rPr>
          <w:rFonts w:ascii="Times New Roman" w:hAnsi="Times New Roman" w:eastAsia="Times New Roman"/>
          <w:b w:val="0"/>
          <w:i w:val="0"/>
        </w:rPr>
        <w:t>Nepal grants tax exemption on employment income received from their own country by foreign diplomatic officers working in foreign embassies and missions in Nepal because Nepal is a signatory to the Vienna Convention, 1961, which Nepal ratified on 28 September 1968.</w:t>
      </w:r>
    </w:p>
    <w:p>
      <w:pPr>
        <w:spacing w:after="60" w:line="252" w:lineRule="auto"/>
        <w:ind w:left="317"/>
      </w:pPr>
      <w:r>
        <w:rPr>
          <w:rFonts w:ascii="Times New Roman" w:hAnsi="Times New Roman" w:eastAsia="Times New Roman"/>
          <w:b w:val="0"/>
          <w:i/>
          <w:sz w:val="18"/>
        </w:rPr>
        <w:t>10(b) An amount received by a natural person for employment in the public service of a foreign country, provided that:</w:t>
      </w:r>
    </w:p>
    <w:p>
      <w:pPr>
        <w:spacing w:after="40" w:line="252" w:lineRule="auto"/>
        <w:ind w:left="432" w:hanging="259"/>
      </w:pPr>
      <w:r>
        <w:rPr>
          <w:rFonts w:ascii="Times New Roman" w:hAnsi="Times New Roman" w:eastAsia="Times New Roman"/>
          <w:b w:val="0"/>
          <w:i w:val="0"/>
        </w:rPr>
        <w:t>1. the person is a resident or non-resident solely by reason of that employment; and</w:t>
      </w:r>
    </w:p>
    <w:p>
      <w:pPr>
        <w:spacing w:after="40" w:line="252" w:lineRule="auto"/>
        <w:ind w:left="432" w:hanging="259"/>
      </w:pPr>
      <w:r>
        <w:rPr>
          <w:rFonts w:ascii="Times New Roman" w:hAnsi="Times New Roman" w:eastAsia="Times New Roman"/>
          <w:b w:val="0"/>
          <w:i w:val="0"/>
        </w:rPr>
        <w:t>2. the amounts are paid out of the public funds of that country.</w:t>
      </w:r>
    </w:p>
    <w:p>
      <w:pPr>
        <w:spacing w:after="80" w:line="252" w:lineRule="auto"/>
        <w:ind w:firstLine="317"/>
      </w:pPr>
      <w:r>
        <w:rPr>
          <w:rFonts w:ascii="Times New Roman" w:hAnsi="Times New Roman" w:eastAsia="Times New Roman"/>
          <w:b w:val="0"/>
          <w:i w:val="0"/>
        </w:rPr>
        <w:t>Where a natural person is employed in Nepal in the public service of a foreign government, is a resident or non-resident solely by reason of that employment, and receives such amounts out of the public funds of that country, that income is exempt from tax in Nepal. The following examples further clarify this provision.</w:t>
      </w:r>
    </w:p>
    <w:p>
      <w:pPr>
        <w:spacing w:after="20" w:line="252" w:lineRule="auto"/>
      </w:pPr>
      <w:r>
        <w:rPr>
          <w:rFonts w:ascii="Times New Roman" w:hAnsi="Times New Roman" w:eastAsia="Times New Roman"/>
          <w:b/>
          <w:i w:val="0"/>
        </w:rPr>
        <w:t>Example 9.2.1</w:t>
      </w:r>
    </w:p>
    <w:p>
      <w:pPr>
        <w:spacing w:after="60" w:line="252" w:lineRule="auto"/>
        <w:ind w:firstLine="317"/>
      </w:pPr>
      <w:r>
        <w:rPr>
          <w:rFonts w:ascii="Times New Roman" w:hAnsi="Times New Roman" w:eastAsia="Times New Roman"/>
          <w:b w:val="0"/>
          <w:i w:val="0"/>
        </w:rPr>
        <w:t>Suppose a person named Ruin Pekhe is employed in the Ministry of Foreign Affairs of a foreign country. That foreign government has deputed him to Nepal to assist in conflict management in Nepal. Ruin Pekhe has been working in Nepal in that capacity for the last one year. He receives remuneration of Euro 10,000 per month from that foreign government. Since Ruin Pekhe is employed in the public service of that foreign government, is a resident of Nepal only because of that employment, and receives the remuneration from the public funds of that foreign government, the amount received by him is treated as an exempt amount.</w:t>
      </w:r>
    </w:p>
    <w:p>
      <w:pPr>
        <w:spacing w:after="20" w:line="252" w:lineRule="auto"/>
      </w:pPr>
      <w:r>
        <w:rPr>
          <w:rFonts w:ascii="Times New Roman" w:hAnsi="Times New Roman" w:eastAsia="Times New Roman"/>
          <w:b/>
          <w:i w:val="0"/>
        </w:rPr>
        <w:t>Example 9.2.2</w:t>
      </w:r>
    </w:p>
    <w:p>
      <w:pPr>
        <w:spacing w:after="60" w:line="252" w:lineRule="auto"/>
        <w:ind w:firstLine="317"/>
      </w:pPr>
      <w:r>
        <w:rPr>
          <w:rFonts w:ascii="Times New Roman" w:hAnsi="Times New Roman" w:eastAsia="Times New Roman"/>
          <w:b w:val="0"/>
          <w:i w:val="0"/>
        </w:rPr>
        <w:t>Suppose Dinesh Chhatkuli, a resident of Nepal, is an employee working in a Conflict Management Program operated in Nepal by a foreign government. He receives monthly remuneration of Euro 5,000 from that foreign government, and the remuneration is paid out of the public funds of that foreign government. Although he receives the payment from the public funds of the foreign government, because he is a resident of Nepal, such income is not treated as an exempt amount, and he must include it in his income from employment.</w:t>
      </w:r>
    </w:p>
    <w:p>
      <w:pPr>
        <w:spacing w:after="80" w:line="252" w:lineRule="auto"/>
        <w:ind w:firstLine="317"/>
      </w:pPr>
      <w:r>
        <w:rPr>
          <w:rFonts w:ascii="Times New Roman" w:hAnsi="Times New Roman" w:eastAsia="Times New Roman"/>
          <w:b w:val="0"/>
          <w:i w:val="0"/>
        </w:rPr>
        <w:t>A detailed explanation of a resident person has been given in Chapter 2.</w:t>
      </w:r>
    </w:p>
    <w:p>
      <w:pPr>
        <w:spacing w:after="80" w:line="252" w:lineRule="auto"/>
        <w:ind w:firstLine="317"/>
      </w:pPr>
      <w:r>
        <w:rPr>
          <w:rFonts w:ascii="Times New Roman" w:hAnsi="Times New Roman" w:eastAsia="Times New Roman"/>
          <w:b w:val="0"/>
          <w:i w:val="0"/>
        </w:rPr>
        <w:t>This provision of the Act allows exemption, in computing income, for amounts received by a natural person for employment in the public service of a foreign country. However, to obtain such exemption, the amount received by that person for public service must be paid out of the public funds of that country, and the person employed in that public service must have become a resident or non-resident only because of that employment. Under this provision, among persons working in the public service of a foreign country situated in Nepal, the exemption is provided only to persons who are resident solely for the purpose of providing that service.</w:t>
      </w:r>
    </w:p>
    <w:p>
      <w:pPr>
        <w:spacing w:after="80" w:line="252" w:lineRule="auto"/>
        <w:ind w:firstLine="317"/>
      </w:pPr>
      <w:r>
        <w:rPr>
          <w:rFonts w:ascii="Times New Roman" w:hAnsi="Times New Roman" w:eastAsia="Times New Roman"/>
          <w:b w:val="0"/>
          <w:i w:val="0"/>
        </w:rPr>
        <w:t>If a person was already present in Nepal before engaging in that type of public service and later becomes employed in the public service of a foreign country, such person does not receive the exemption under this provision in computing income. Persons employed in foreign diplomatic institutions situated in Nepal, and persons working in projects operated with expenses borne from foreign public funds, do not receive this facility if they had already been residing in Nepal before such employment.</w:t>
      </w:r>
    </w:p>
    <w:p>
      <w:pPr>
        <w:spacing w:after="60" w:line="252" w:lineRule="auto"/>
        <w:ind w:left="317"/>
      </w:pPr>
      <w:r>
        <w:rPr>
          <w:rFonts w:ascii="Times New Roman" w:hAnsi="Times New Roman" w:eastAsia="Times New Roman"/>
          <w:b w:val="0"/>
          <w:i/>
          <w:sz w:val="18"/>
        </w:rPr>
        <w:t>10(c) Amounts received from the public funds of a foreign country by a natural person referred to in clause (b), who is not a citizen of Nepal, or by a member of that person’s immediate family.</w:t>
      </w:r>
    </w:p>
    <w:p>
      <w:pPr>
        <w:spacing w:after="80" w:line="252" w:lineRule="auto"/>
        <w:ind w:firstLine="317"/>
      </w:pPr>
      <w:r>
        <w:rPr>
          <w:rFonts w:ascii="Times New Roman" w:hAnsi="Times New Roman" w:eastAsia="Times New Roman"/>
          <w:b w:val="0"/>
          <w:i w:val="0"/>
        </w:rPr>
        <w:t>Where a person is a resident or non-resident only by reason of employment, and receives remuneration from the public funds of a foreign country, payments received from the public funds of that foreign country by a member of the person’s immediate family, such as pension, Far Station Allowance, family allowance and similar amounts, are exempt from tax in Nepal even if received in Nepal. This is clarified by the following example.</w:t>
      </w:r>
    </w:p>
    <w:p>
      <w:pPr>
        <w:spacing w:after="20" w:line="252" w:lineRule="auto"/>
      </w:pPr>
      <w:r>
        <w:rPr>
          <w:rFonts w:ascii="Times New Roman" w:hAnsi="Times New Roman" w:eastAsia="Times New Roman"/>
          <w:b/>
          <w:i w:val="0"/>
        </w:rPr>
        <w:t>Example 9.2.3</w:t>
      </w:r>
    </w:p>
    <w:p>
      <w:pPr>
        <w:spacing w:after="60" w:line="252" w:lineRule="auto"/>
        <w:ind w:firstLine="317"/>
      </w:pPr>
      <w:r>
        <w:rPr>
          <w:rFonts w:ascii="Times New Roman" w:hAnsi="Times New Roman" w:eastAsia="Times New Roman"/>
          <w:b w:val="0"/>
          <w:i w:val="0"/>
        </w:rPr>
        <w:t>Suppose Maria Smith is a foreign woman. Her husband is employed at the embassy of the same foreign country in Nepal. Under the rules of that foreign government, family members of employees working in the embassy are entitled to receive a fixed allowance. Accordingly, Maria Smith receives Far Station Allowance of Pound 3,000 per month from the public funds of that foreign government. In this case, the allowance amount received by her is treated as an exempt amount.</w:t>
      </w:r>
    </w:p>
    <w:p>
      <w:pPr>
        <w:spacing w:after="60" w:line="252" w:lineRule="auto"/>
        <w:ind w:left="317"/>
      </w:pPr>
      <w:r>
        <w:rPr>
          <w:rFonts w:ascii="Times New Roman" w:hAnsi="Times New Roman" w:eastAsia="Times New Roman"/>
          <w:b w:val="0"/>
          <w:i/>
          <w:sz w:val="18"/>
        </w:rPr>
        <w:t>10(d) An amount received by a non-Nepali citizen who has been appointed in the service of the Government of Nepal on a tax-free condition.</w:t>
      </w:r>
    </w:p>
    <w:p>
      <w:pPr>
        <w:spacing w:after="80" w:line="252" w:lineRule="auto"/>
        <w:ind w:firstLine="317"/>
      </w:pPr>
      <w:r>
        <w:rPr>
          <w:rFonts w:ascii="Times New Roman" w:hAnsi="Times New Roman" w:eastAsia="Times New Roman"/>
          <w:b w:val="0"/>
          <w:i w:val="0"/>
        </w:rPr>
        <w:t>The Government of Nepal may appoint a non-Nepali citizen on the condition that tax need not be paid. Where such appointment has been made, the income amount received by that person from the Government of Nepal is treated as an exempt amount. The provision is clarified by the following example.</w:t>
      </w:r>
    </w:p>
    <w:p>
      <w:pPr>
        <w:spacing w:after="20" w:line="252" w:lineRule="auto"/>
      </w:pPr>
      <w:r>
        <w:rPr>
          <w:rFonts w:ascii="Times New Roman" w:hAnsi="Times New Roman" w:eastAsia="Times New Roman"/>
          <w:b/>
          <w:i w:val="0"/>
        </w:rPr>
        <w:t>Example 9.2.4</w:t>
      </w:r>
    </w:p>
    <w:p>
      <w:pPr>
        <w:spacing w:after="60" w:line="252" w:lineRule="auto"/>
        <w:ind w:firstLine="317"/>
      </w:pPr>
      <w:r>
        <w:rPr>
          <w:rFonts w:ascii="Times New Roman" w:hAnsi="Times New Roman" w:eastAsia="Times New Roman"/>
          <w:b w:val="0"/>
          <w:i w:val="0"/>
        </w:rPr>
        <w:t>Suppose the Government of Nepal has formed a high-level task force for the proper utilization of Nepal’s water resources and has appointed a foreign citizen named Teve Fernando to that task force on a tax-free condition, with monthly remuneration of Euro 10,000. In this case, even though the source of his income is in Nepal, the amount received by him is treated as an exempt amount.</w:t>
      </w:r>
    </w:p>
    <w:p>
      <w:pPr>
        <w:spacing w:after="60" w:line="252" w:lineRule="auto"/>
        <w:ind w:left="317"/>
      </w:pPr>
      <w:r>
        <w:rPr>
          <w:rFonts w:ascii="Times New Roman" w:hAnsi="Times New Roman" w:eastAsia="Times New Roman"/>
          <w:b w:val="0"/>
          <w:i/>
          <w:sz w:val="18"/>
        </w:rPr>
        <w:t>10(e) All types of allowances provided as social security by the Government of Nepal, a Provincial Government or a Local Level.</w:t>
      </w:r>
    </w:p>
    <w:p>
      <w:pPr>
        <w:spacing w:after="80" w:line="252" w:lineRule="auto"/>
        <w:ind w:firstLine="317"/>
      </w:pPr>
      <w:r>
        <w:rPr>
          <w:rFonts w:ascii="Times New Roman" w:hAnsi="Times New Roman" w:eastAsia="Times New Roman"/>
          <w:b w:val="0"/>
          <w:i w:val="0"/>
        </w:rPr>
        <w:t>All types of allowances provided as social security by the Government of Nepal, a Provincial Government or a Local Level to widows, elderly persons, disabled persons and incapacitated persons, as assistance for subsistence, are not subject to tax.</w:t>
      </w:r>
    </w:p>
    <w:p>
      <w:pPr>
        <w:spacing w:after="60" w:line="252" w:lineRule="auto"/>
        <w:ind w:left="317"/>
      </w:pPr>
      <w:r>
        <w:rPr>
          <w:rFonts w:ascii="Times New Roman" w:hAnsi="Times New Roman" w:eastAsia="Times New Roman"/>
          <w:b w:val="0"/>
          <w:i/>
          <w:sz w:val="18"/>
        </w:rPr>
        <w:t>10(f) Amounts received in the form of gift, bequest, inheritance or scholarship, other than amounts required to be included in computing income under sections 7, 8 or 9.</w:t>
      </w:r>
    </w:p>
    <w:p>
      <w:pPr>
        <w:spacing w:after="80" w:line="252" w:lineRule="auto"/>
        <w:ind w:firstLine="317"/>
      </w:pPr>
      <w:r>
        <w:rPr>
          <w:rFonts w:ascii="Times New Roman" w:hAnsi="Times New Roman" w:eastAsia="Times New Roman"/>
          <w:b w:val="0"/>
          <w:i w:val="0"/>
        </w:rPr>
        <w:t>A gift connected with employment, business or investment must be included in the corresponding head of income. Similarly, except for amounts subject to windfall gains tax, amounts received in the form of gift, bequest, inheritance or scholarship, such as dowry received at the time of marriage or scholarship available to poor or meritorious students, are also treated as exempt amounts. The provision is further illustrated by the following example.</w:t>
      </w:r>
    </w:p>
    <w:p>
      <w:pPr>
        <w:spacing w:after="20" w:line="252" w:lineRule="auto"/>
      </w:pPr>
      <w:r>
        <w:rPr>
          <w:rFonts w:ascii="Times New Roman" w:hAnsi="Times New Roman" w:eastAsia="Times New Roman"/>
          <w:b/>
          <w:i w:val="0"/>
        </w:rPr>
        <w:t>Example 9.2.5</w:t>
      </w:r>
    </w:p>
    <w:p>
      <w:pPr>
        <w:spacing w:after="60" w:line="252" w:lineRule="auto"/>
        <w:ind w:firstLine="317"/>
      </w:pPr>
      <w:r>
        <w:rPr>
          <w:rFonts w:ascii="Times New Roman" w:hAnsi="Times New Roman" w:eastAsia="Times New Roman"/>
          <w:b w:val="0"/>
          <w:i w:val="0"/>
        </w:rPr>
        <w:t>Suppose Gopi Bantawa is studying MBBS at a medical college under a scholarship received from the Government of Nepal. The study costs Rs. 15 lakh. In addition, he receives Rs. 10,000 per month in cash under the same scholarship. The cost incurred for study and the amount received are not required to be included in his income; such amounts are treated as exempt amounts.</w:t>
      </w:r>
    </w:p>
    <w:p>
      <w:pPr>
        <w:spacing w:after="60" w:line="252" w:lineRule="auto"/>
        <w:ind w:left="317"/>
      </w:pPr>
      <w:r>
        <w:rPr>
          <w:rFonts w:ascii="Times New Roman" w:hAnsi="Times New Roman" w:eastAsia="Times New Roman"/>
          <w:b w:val="0"/>
          <w:i/>
          <w:sz w:val="18"/>
        </w:rPr>
        <w:t>10(g) Amounts received by an exempt organization in respect of the following:</w:t>
      </w:r>
    </w:p>
    <w:p>
      <w:pPr>
        <w:spacing w:after="40" w:line="252" w:lineRule="auto"/>
        <w:ind w:left="432" w:hanging="259"/>
      </w:pPr>
      <w:r>
        <w:rPr>
          <w:rFonts w:ascii="Times New Roman" w:hAnsi="Times New Roman" w:eastAsia="Times New Roman"/>
          <w:b w:val="0"/>
          <w:i w:val="0"/>
        </w:rPr>
        <w:t>1. donation or gift;</w:t>
      </w:r>
    </w:p>
    <w:p>
      <w:pPr>
        <w:spacing w:after="40" w:line="252" w:lineRule="auto"/>
        <w:ind w:left="432" w:hanging="259"/>
      </w:pPr>
      <w:r>
        <w:rPr>
          <w:rFonts w:ascii="Times New Roman" w:hAnsi="Times New Roman" w:eastAsia="Times New Roman"/>
          <w:b w:val="0"/>
          <w:i w:val="0"/>
        </w:rPr>
        <w:t>2. other contributions, whether or not made in expectation of consideration, directly related to the functions of an exempt organization referred to in section 2(ध).</w:t>
      </w:r>
    </w:p>
    <w:p>
      <w:pPr>
        <w:spacing w:after="80" w:line="252" w:lineRule="auto"/>
        <w:ind w:firstLine="317"/>
      </w:pPr>
      <w:r>
        <w:rPr>
          <w:rFonts w:ascii="Times New Roman" w:hAnsi="Times New Roman" w:eastAsia="Times New Roman"/>
          <w:b w:val="0"/>
          <w:i w:val="0"/>
        </w:rPr>
        <w:t>Donation, gift or other contributions received by an exempt organization, whether or not in expectation of consideration from that organization, and directly related to the functions of that organization, are treated as exempt amounts.</w:t>
      </w:r>
    </w:p>
    <w:p>
      <w:pPr>
        <w:spacing w:after="20" w:line="252" w:lineRule="auto"/>
      </w:pPr>
      <w:r>
        <w:rPr>
          <w:rFonts w:ascii="Times New Roman" w:hAnsi="Times New Roman" w:eastAsia="Times New Roman"/>
          <w:b/>
          <w:i w:val="0"/>
        </w:rPr>
        <w:t>Example 9.2.6</w:t>
      </w:r>
    </w:p>
    <w:p>
      <w:pPr>
        <w:spacing w:after="60" w:line="252" w:lineRule="auto"/>
        <w:ind w:firstLine="317"/>
      </w:pPr>
      <w:r>
        <w:rPr>
          <w:rFonts w:ascii="Times New Roman" w:hAnsi="Times New Roman" w:eastAsia="Times New Roman"/>
          <w:b w:val="0"/>
          <w:i w:val="0"/>
        </w:rPr>
        <w:t>Suppose Nepal Dalit Development Forum is an entity registered with the office as a organization entitled to enjoy exemption. The Forum has received donations of Rs. 500,000 from various donors. It has also received a grant of Rs. 10 lakh from the Government of Nepal to be spent for Dalit upliftment activities. Both amounts are treated as exempt amounts for that entity.</w:t>
      </w:r>
    </w:p>
    <w:p>
      <w:pPr>
        <w:spacing w:after="20" w:line="252" w:lineRule="auto"/>
      </w:pPr>
      <w:r>
        <w:rPr>
          <w:rFonts w:ascii="Times New Roman" w:hAnsi="Times New Roman" w:eastAsia="Times New Roman"/>
          <w:b/>
          <w:i w:val="0"/>
        </w:rPr>
        <w:t>Example 9.2.7</w:t>
      </w:r>
    </w:p>
    <w:p>
      <w:pPr>
        <w:spacing w:after="60" w:line="252" w:lineRule="auto"/>
        <w:ind w:firstLine="317"/>
      </w:pPr>
      <w:r>
        <w:rPr>
          <w:rFonts w:ascii="Times New Roman" w:hAnsi="Times New Roman" w:eastAsia="Times New Roman"/>
          <w:b w:val="0"/>
          <w:i w:val="0"/>
        </w:rPr>
        <w:t>Suppose the Nepal Dalit Development Forum mentioned in Example 9.2.6 keeps the amounts it receives in savings deposits with a financial institution. The entity earns interest income of Rs. 1 lakh on such deposits. Since such interest income is not income according to the objective of the entity, it is not exempt from tax. The person paying interest to the entity must withhold tax at the rate of 15 percent under section 88(1) of the Act on the payment of the interest amount, and the interest received by the entity after such withholding is treated as a payment subject to final withholding under section 92(1)(e)(2) of the Act.</w:t>
      </w:r>
    </w:p>
    <w:p>
      <w:pPr>
        <w:spacing w:after="60" w:line="252" w:lineRule="auto"/>
        <w:ind w:left="317"/>
      </w:pPr>
      <w:r>
        <w:rPr>
          <w:rFonts w:ascii="Times New Roman" w:hAnsi="Times New Roman" w:eastAsia="Times New Roman"/>
          <w:b w:val="0"/>
          <w:i/>
          <w:sz w:val="18"/>
        </w:rPr>
        <w:t>10(h) Pension amount received from the public funds of a foreign country by a Nepali citizen who has retired from the army or police service of that country.</w:t>
      </w:r>
    </w:p>
    <w:p>
      <w:pPr>
        <w:spacing w:after="80" w:line="252" w:lineRule="auto"/>
        <w:ind w:firstLine="317"/>
      </w:pPr>
      <w:r>
        <w:rPr>
          <w:rFonts w:ascii="Times New Roman" w:hAnsi="Times New Roman" w:eastAsia="Times New Roman"/>
          <w:b w:val="0"/>
          <w:i w:val="0"/>
        </w:rPr>
        <w:t>Nepali citizens serve in the army or police of India, the United Kingdom and other countries. If those persons, after retirement from service, come and reside in Nepal and the pension amount is received by them or by their family, tax is not levied in Nepal. However, if a Nepali citizen receives pension in Nepal, by himself or through his family, for services rendered other than in the army or police service of a foreign country, the amount must be included in income for tax purposes. The following example clarifies this provision.</w:t>
      </w:r>
    </w:p>
    <w:p>
      <w:pPr>
        <w:spacing w:after="20" w:line="252" w:lineRule="auto"/>
      </w:pPr>
      <w:r>
        <w:rPr>
          <w:rFonts w:ascii="Times New Roman" w:hAnsi="Times New Roman" w:eastAsia="Times New Roman"/>
          <w:b/>
          <w:i w:val="0"/>
        </w:rPr>
        <w:t>Example 9.2.8</w:t>
      </w:r>
    </w:p>
    <w:p>
      <w:pPr>
        <w:spacing w:after="60" w:line="252" w:lineRule="auto"/>
        <w:ind w:firstLine="317"/>
      </w:pPr>
      <w:r>
        <w:rPr>
          <w:rFonts w:ascii="Times New Roman" w:hAnsi="Times New Roman" w:eastAsia="Times New Roman"/>
          <w:b w:val="0"/>
          <w:i w:val="0"/>
        </w:rPr>
        <w:t>Suppose Ram Bahadur Thapa is a retired captain from the British Gurkha military service and is presently residing in Pokhara. He receives monthly pension of Pound 1,200 from the British Government. The pension amount received by him is an exempt amount.</w:t>
      </w:r>
    </w:p>
    <w:p>
      <w:pPr>
        <w:spacing w:after="60" w:line="252" w:lineRule="auto"/>
        <w:ind w:left="317"/>
      </w:pPr>
      <w:r>
        <w:rPr>
          <w:rFonts w:ascii="Times New Roman" w:hAnsi="Times New Roman" w:eastAsia="Times New Roman"/>
          <w:b w:val="0"/>
          <w:i/>
          <w:sz w:val="18"/>
        </w:rPr>
        <w:t>10(i) Any kind of income of the Government of Nepal, a Provincial Government or a Local Level.</w:t>
      </w:r>
    </w:p>
    <w:p>
      <w:pPr>
        <w:spacing w:after="80" w:line="252" w:lineRule="auto"/>
        <w:ind w:firstLine="317"/>
      </w:pPr>
      <w:r>
        <w:rPr>
          <w:rFonts w:ascii="Times New Roman" w:hAnsi="Times New Roman" w:eastAsia="Times New Roman"/>
          <w:b w:val="0"/>
          <w:i w:val="0"/>
        </w:rPr>
        <w:t>Any kind of income of the Government of Nepal, a Provincial Government or a Local Level is treated as fully exempt income, and tax is not required to be withheld at source from amounts paid to the Government of Nepal, a Provincial Government or a Local Level. In this context, the income of a commercial entity wholly owned by the Government of Nepal, such as Rastriya Banijya Bank, is not treated as exempt income on the basis of this clause. Generally, amounts deposited in the Consolidated Fund of the Government of Nepal, and amounts deposited in a fund operated by a government body under prevailing law, are treated as income of the Government of Nepal. Similarly, amounts deposited in the Consolidated Fund of a Provincial Government or Local Level are treated as income of the respective Provincial Government or Local Level.</w:t>
      </w:r>
    </w:p>
    <w:p>
      <w:pPr>
        <w:spacing w:after="60" w:line="252" w:lineRule="auto"/>
        <w:ind w:left="317"/>
      </w:pPr>
      <w:r>
        <w:rPr>
          <w:rFonts w:ascii="Times New Roman" w:hAnsi="Times New Roman" w:eastAsia="Times New Roman"/>
          <w:b w:val="0"/>
          <w:i/>
          <w:sz w:val="18"/>
        </w:rPr>
        <w:t>10(j) Amounts earned by Nepal Rastra Bank in accordance with its objectives.</w:t>
      </w:r>
    </w:p>
    <w:p>
      <w:pPr>
        <w:spacing w:after="80" w:line="252" w:lineRule="auto"/>
        <w:ind w:firstLine="317"/>
      </w:pPr>
      <w:r>
        <w:rPr>
          <w:rFonts w:ascii="Times New Roman" w:hAnsi="Times New Roman" w:eastAsia="Times New Roman"/>
          <w:b w:val="0"/>
          <w:i w:val="0"/>
        </w:rPr>
        <w:t>Amounts earned by Nepal Rastra Bank from financial activities carried out in relation to maintaining financial stability in accordance with the objectives of the Nepal Rastra Bank Act, 2058 are exempt from tax.</w:t>
      </w:r>
    </w:p>
    <w:p>
      <w:pPr>
        <w:spacing w:after="20" w:line="252" w:lineRule="auto"/>
      </w:pPr>
      <w:r>
        <w:rPr>
          <w:rFonts w:ascii="Times New Roman" w:hAnsi="Times New Roman" w:eastAsia="Times New Roman"/>
          <w:b/>
          <w:i w:val="0"/>
        </w:rPr>
        <w:t>Example 9.2.9</w:t>
      </w:r>
    </w:p>
    <w:p>
      <w:pPr>
        <w:spacing w:after="60" w:line="252" w:lineRule="auto"/>
        <w:ind w:firstLine="317"/>
      </w:pPr>
      <w:r>
        <w:rPr>
          <w:rFonts w:ascii="Times New Roman" w:hAnsi="Times New Roman" w:eastAsia="Times New Roman"/>
          <w:b w:val="0"/>
          <w:i w:val="0"/>
        </w:rPr>
        <w:t>Suppose Nepal Rastra Bank has allocated Rs. 20 crore to a Banking Development Fund. The amount in that fund has been placed as deposits with various banks and financial institutions, and Nepal Rastra Bank has earned interest income of Rs. 1 crore from such deposits. Since such income is income of a fund to be spent in accordance with the objective of Nepal Rastra Bank, it is treated as exempt income.</w:t>
      </w:r>
    </w:p>
    <w:p>
      <w:pPr>
        <w:spacing w:after="60" w:line="252" w:lineRule="auto"/>
        <w:ind w:left="317"/>
      </w:pPr>
      <w:r>
        <w:rPr>
          <w:rFonts w:ascii="Times New Roman" w:hAnsi="Times New Roman" w:eastAsia="Times New Roman"/>
          <w:b w:val="0"/>
          <w:i/>
          <w:sz w:val="18"/>
        </w:rPr>
        <w:t>10(l) Amounts earned in accordance with its objectives by a mutual fund approved by the Securities Board of Nepal.</w:t>
      </w:r>
    </w:p>
    <w:p>
      <w:pPr>
        <w:spacing w:after="60" w:line="252" w:lineRule="auto"/>
        <w:ind w:left="317"/>
      </w:pPr>
      <w:r>
        <w:rPr>
          <w:rFonts w:ascii="Times New Roman" w:hAnsi="Times New Roman" w:eastAsia="Times New Roman"/>
          <w:b w:val="0"/>
          <w:i/>
          <w:sz w:val="18"/>
        </w:rPr>
        <w:t>10(m) Amounts earned in accordance with its objectives by an educational institution established and operating on the basis of a memorandum of understanding with the Government of Nepal, with the objective of not earning or distributing profit.</w:t>
      </w:r>
    </w:p>
    <w:p>
      <w:pPr>
        <w:pStyle w:val="Heading3"/>
        <w:spacing w:after="80" w:line="252" w:lineRule="auto"/>
      </w:pPr>
      <w:r>
        <w:rPr>
          <w:rFonts w:ascii="Times New Roman" w:hAnsi="Times New Roman" w:eastAsia="Times New Roman"/>
          <w:b w:val="0"/>
          <w:i w:val="0"/>
        </w:rPr>
        <w:t>9.2.2 Non-taxable Provision</w:t>
      </w:r>
    </w:p>
    <w:p>
      <w:pPr>
        <w:spacing w:after="80" w:line="252" w:lineRule="auto"/>
        <w:ind w:firstLine="317"/>
      </w:pPr>
      <w:r>
        <w:rPr>
          <w:rFonts w:ascii="Times New Roman" w:hAnsi="Times New Roman" w:eastAsia="Times New Roman"/>
          <w:b w:val="0"/>
          <w:i w:val="0"/>
        </w:rPr>
        <w:t>In addition to the provisions mentioned above, amounts received from the disposal of assets or liabilities other than assets or liabilities specified as taxable under the Act are not taxable, and are therefore exempt from tax. Except for the disposal of a non-business taxable asset of a natural person, such as a house, land or an interest in an entity, amounts received from the sale of private assets not related to business, such as furniture, ornaments and similar items, are exempt from tax.</w:t>
      </w:r>
    </w:p>
    <w:p>
      <w:pPr>
        <w:pStyle w:val="Heading3"/>
        <w:spacing w:after="80" w:line="252" w:lineRule="auto"/>
      </w:pPr>
      <w:r>
        <w:rPr>
          <w:rFonts w:ascii="Times New Roman" w:hAnsi="Times New Roman" w:eastAsia="Times New Roman"/>
          <w:b w:val="0"/>
          <w:i w:val="0"/>
        </w:rPr>
        <w:t>9.2.3 Provisions Relating to Partial Exemption</w:t>
      </w:r>
    </w:p>
    <w:p>
      <w:pPr>
        <w:spacing w:after="80" w:line="252" w:lineRule="auto"/>
        <w:ind w:firstLine="317"/>
      </w:pPr>
      <w:r>
        <w:rPr>
          <w:rFonts w:ascii="Times New Roman" w:hAnsi="Times New Roman" w:eastAsia="Times New Roman"/>
          <w:b w:val="0"/>
          <w:i w:val="0"/>
        </w:rPr>
        <w:t>The partial exemptions that a natural person may deduct from taxable income in computing taxable income, as provided in Schedule 1 of the Act, are as follows:</w:t>
      </w:r>
    </w:p>
    <w:p>
      <w:pPr>
        <w:spacing w:after="80" w:line="252" w:lineRule="auto"/>
      </w:pPr>
      <w:r>
        <w:rPr>
          <w:rFonts w:ascii="Times New Roman" w:hAnsi="Times New Roman" w:eastAsia="Times New Roman"/>
          <w:b/>
          <w:i w:val="0"/>
        </w:rPr>
        <w:t>(1) Remote Area Allowance</w:t>
      </w:r>
    </w:p>
    <w:p>
      <w:pPr>
        <w:spacing w:after="80" w:line="252" w:lineRule="auto"/>
        <w:ind w:firstLine="317"/>
      </w:pPr>
      <w:r>
        <w:rPr>
          <w:rFonts w:ascii="Times New Roman" w:hAnsi="Times New Roman" w:eastAsia="Times New Roman"/>
          <w:b w:val="0"/>
          <w:i w:val="0"/>
        </w:rPr>
        <w:t>Regarding the remote area allowance that a natural person may deduct from taxable income in computing taxable income, section 1(5) of Schedule 1 of the Act provides as follows:</w:t>
      </w:r>
    </w:p>
    <w:p>
      <w:pPr>
        <w:spacing w:after="60" w:line="252" w:lineRule="auto"/>
        <w:ind w:left="317"/>
      </w:pPr>
      <w:r>
        <w:rPr>
          <w:rFonts w:ascii="Times New Roman" w:hAnsi="Times New Roman" w:eastAsia="Times New Roman"/>
          <w:b w:val="0"/>
          <w:i/>
          <w:sz w:val="18"/>
        </w:rPr>
        <w:t>In the case of a natural person working in a remote area specified by the Government of Nepal, tax shall be computed under this section only on the amount remaining after deducting from taxable income an amount not exceeding fifty thousand rupees, as prescribed, in respect of remote area allowance.</w:t>
      </w:r>
    </w:p>
    <w:p>
      <w:pPr>
        <w:spacing w:after="80" w:line="252" w:lineRule="auto"/>
        <w:ind w:firstLine="317"/>
      </w:pPr>
      <w:r>
        <w:rPr>
          <w:rFonts w:ascii="Times New Roman" w:hAnsi="Times New Roman" w:eastAsia="Times New Roman"/>
          <w:b w:val="0"/>
          <w:i w:val="0"/>
        </w:rPr>
        <w:t>For the purpose of the above provision of the Act, Rule 38 of the Rules provides as follows:</w:t>
      </w:r>
    </w:p>
    <w:p>
      <w:pPr>
        <w:spacing w:after="60" w:line="252" w:lineRule="auto"/>
        <w:ind w:left="317"/>
      </w:pPr>
      <w:r>
        <w:rPr>
          <w:rFonts w:ascii="Times New Roman" w:hAnsi="Times New Roman" w:eastAsia="Times New Roman"/>
          <w:b w:val="0"/>
          <w:i/>
          <w:sz w:val="18"/>
        </w:rPr>
        <w:t>Rule 38. Limit of remote area allowance: For the purpose of section 1(5) of Schedule 1 of the Act, the amount of remote area allowance to be added to the tax-exempt limit of a person shall be as follows:</w:t>
      </w:r>
    </w:p>
    <w:tbl>
      <w:tblPr>
        <w:tblStyle w:val="TableGrid"/>
        <w:tblW w:type="auto" w:w="0"/>
        <w:jc w:val="center"/>
        <w:tblLook w:firstColumn="1" w:firstRow="1" w:lastColumn="0" w:lastRow="0" w:noHBand="0" w:noVBand="1" w:val="04A0"/>
      </w:tblPr>
      <w:tblGrid>
        <w:gridCol w:w="5162"/>
        <w:gridCol w:w="5162"/>
      </w:tblGrid>
      <w:tr>
        <w:tc>
          <w:tcPr>
            <w:tcW w:type="dxa" w:w="5162"/>
            <w:vAlign w:val="top"/>
            <w:shd w:fill="E7E6E6"/>
          </w:tcPr>
          <w:p>
            <w:pPr>
              <w:spacing w:after="0" w:line="240" w:lineRule="auto"/>
            </w:pPr>
            <w:r>
              <w:rPr>
                <w:rFonts w:ascii="Times New Roman" w:hAnsi="Times New Roman" w:eastAsia="Times New Roman"/>
                <w:sz w:val="16"/>
              </w:rPr>
            </w:r>
            <w:r>
              <w:rPr>
                <w:rFonts w:ascii="Times New Roman" w:hAnsi="Times New Roman" w:eastAsia="Times New Roman"/>
                <w:b/>
                <w:i w:val="0"/>
                <w:sz w:val="16"/>
              </w:rPr>
              <w:t>Remote area category</w:t>
            </w:r>
          </w:p>
        </w:tc>
        <w:tc>
          <w:tcPr>
            <w:tcW w:type="dxa" w:w="5162"/>
            <w:vAlign w:val="top"/>
            <w:shd w:fill="E7E6E6"/>
          </w:tcPr>
          <w:p>
            <w:pPr>
              <w:spacing w:after="0" w:line="240" w:lineRule="auto"/>
            </w:pPr>
            <w:r>
              <w:rPr>
                <w:rFonts w:ascii="Times New Roman" w:hAnsi="Times New Roman" w:eastAsia="Times New Roman"/>
                <w:sz w:val="16"/>
              </w:rPr>
            </w:r>
            <w:r>
              <w:rPr>
                <w:rFonts w:ascii="Times New Roman" w:hAnsi="Times New Roman" w:eastAsia="Times New Roman"/>
                <w:b/>
                <w:i w:val="0"/>
                <w:sz w:val="16"/>
              </w:rPr>
              <w:t>Amount</w:t>
            </w:r>
          </w:p>
        </w:tc>
      </w:tr>
      <w:tr>
        <w:tc>
          <w:tcPr>
            <w:tcW w:type="dxa" w:w="5162"/>
            <w:vAlign w:val="top"/>
          </w:tcPr>
          <w:p>
            <w:pPr>
              <w:spacing w:after="0" w:line="240" w:lineRule="auto"/>
            </w:pPr>
            <w:r>
              <w:rPr>
                <w:rFonts w:ascii="Times New Roman" w:hAnsi="Times New Roman" w:eastAsia="Times New Roman"/>
                <w:sz w:val="16"/>
              </w:rPr>
            </w:r>
            <w:r>
              <w:rPr>
                <w:rFonts w:ascii="Times New Roman" w:hAnsi="Times New Roman" w:eastAsia="Times New Roman"/>
                <w:b w:val="0"/>
                <w:i w:val="0"/>
                <w:sz w:val="16"/>
              </w:rPr>
              <w:t>Class “A” area</w:t>
            </w:r>
          </w:p>
        </w:tc>
        <w:tc>
          <w:tcPr>
            <w:tcW w:type="dxa" w:w="5162"/>
            <w:vAlign w:val="top"/>
          </w:tcPr>
          <w:p>
            <w:pPr>
              <w:spacing w:after="0" w:line="240" w:lineRule="auto"/>
            </w:pPr>
            <w:r>
              <w:rPr>
                <w:rFonts w:ascii="Times New Roman" w:hAnsi="Times New Roman" w:eastAsia="Times New Roman"/>
                <w:sz w:val="16"/>
              </w:rPr>
            </w:r>
            <w:r>
              <w:rPr>
                <w:rFonts w:ascii="Times New Roman" w:hAnsi="Times New Roman" w:eastAsia="Times New Roman"/>
                <w:b w:val="0"/>
                <w:i w:val="0"/>
                <w:sz w:val="16"/>
              </w:rPr>
              <w:t>Rs. 50,000</w:t>
            </w:r>
          </w:p>
        </w:tc>
      </w:tr>
      <w:tr>
        <w:tc>
          <w:tcPr>
            <w:tcW w:type="dxa" w:w="5162"/>
            <w:vAlign w:val="top"/>
          </w:tcPr>
          <w:p>
            <w:pPr>
              <w:spacing w:after="0" w:line="240" w:lineRule="auto"/>
            </w:pPr>
            <w:r>
              <w:rPr>
                <w:rFonts w:ascii="Times New Roman" w:hAnsi="Times New Roman" w:eastAsia="Times New Roman"/>
                <w:sz w:val="16"/>
              </w:rPr>
            </w:r>
            <w:r>
              <w:rPr>
                <w:rFonts w:ascii="Times New Roman" w:hAnsi="Times New Roman" w:eastAsia="Times New Roman"/>
                <w:b w:val="0"/>
                <w:i w:val="0"/>
                <w:sz w:val="16"/>
              </w:rPr>
              <w:t>Class “B” area</w:t>
            </w:r>
          </w:p>
        </w:tc>
        <w:tc>
          <w:tcPr>
            <w:tcW w:type="dxa" w:w="5162"/>
            <w:vAlign w:val="top"/>
          </w:tcPr>
          <w:p>
            <w:pPr>
              <w:spacing w:after="0" w:line="240" w:lineRule="auto"/>
            </w:pPr>
            <w:r>
              <w:rPr>
                <w:rFonts w:ascii="Times New Roman" w:hAnsi="Times New Roman" w:eastAsia="Times New Roman"/>
                <w:sz w:val="16"/>
              </w:rPr>
            </w:r>
            <w:r>
              <w:rPr>
                <w:rFonts w:ascii="Times New Roman" w:hAnsi="Times New Roman" w:eastAsia="Times New Roman"/>
                <w:b w:val="0"/>
                <w:i w:val="0"/>
                <w:sz w:val="16"/>
              </w:rPr>
              <w:t>Rs. 40,000</w:t>
            </w:r>
          </w:p>
        </w:tc>
      </w:tr>
      <w:tr>
        <w:tc>
          <w:tcPr>
            <w:tcW w:type="dxa" w:w="5162"/>
            <w:vAlign w:val="top"/>
          </w:tcPr>
          <w:p>
            <w:pPr>
              <w:spacing w:after="0" w:line="240" w:lineRule="auto"/>
            </w:pPr>
            <w:r>
              <w:rPr>
                <w:rFonts w:ascii="Times New Roman" w:hAnsi="Times New Roman" w:eastAsia="Times New Roman"/>
                <w:sz w:val="16"/>
              </w:rPr>
            </w:r>
            <w:r>
              <w:rPr>
                <w:rFonts w:ascii="Times New Roman" w:hAnsi="Times New Roman" w:eastAsia="Times New Roman"/>
                <w:b w:val="0"/>
                <w:i w:val="0"/>
                <w:sz w:val="16"/>
              </w:rPr>
              <w:t>Class “C” area</w:t>
            </w:r>
          </w:p>
        </w:tc>
        <w:tc>
          <w:tcPr>
            <w:tcW w:type="dxa" w:w="5162"/>
            <w:vAlign w:val="top"/>
          </w:tcPr>
          <w:p>
            <w:pPr>
              <w:spacing w:after="0" w:line="240" w:lineRule="auto"/>
            </w:pPr>
            <w:r>
              <w:rPr>
                <w:rFonts w:ascii="Times New Roman" w:hAnsi="Times New Roman" w:eastAsia="Times New Roman"/>
                <w:sz w:val="16"/>
              </w:rPr>
            </w:r>
            <w:r>
              <w:rPr>
                <w:rFonts w:ascii="Times New Roman" w:hAnsi="Times New Roman" w:eastAsia="Times New Roman"/>
                <w:b w:val="0"/>
                <w:i w:val="0"/>
                <w:sz w:val="16"/>
              </w:rPr>
              <w:t>Rs. 30,000</w:t>
            </w:r>
          </w:p>
        </w:tc>
      </w:tr>
      <w:tr>
        <w:tc>
          <w:tcPr>
            <w:tcW w:type="dxa" w:w="5162"/>
            <w:vAlign w:val="top"/>
          </w:tcPr>
          <w:p>
            <w:pPr>
              <w:spacing w:after="0" w:line="240" w:lineRule="auto"/>
            </w:pPr>
            <w:r>
              <w:rPr>
                <w:rFonts w:ascii="Times New Roman" w:hAnsi="Times New Roman" w:eastAsia="Times New Roman"/>
                <w:sz w:val="16"/>
              </w:rPr>
            </w:r>
            <w:r>
              <w:rPr>
                <w:rFonts w:ascii="Times New Roman" w:hAnsi="Times New Roman" w:eastAsia="Times New Roman"/>
                <w:b w:val="0"/>
                <w:i w:val="0"/>
                <w:sz w:val="16"/>
              </w:rPr>
              <w:t>Class “D” area</w:t>
            </w:r>
          </w:p>
        </w:tc>
        <w:tc>
          <w:tcPr>
            <w:tcW w:type="dxa" w:w="5162"/>
            <w:vAlign w:val="top"/>
          </w:tcPr>
          <w:p>
            <w:pPr>
              <w:spacing w:after="0" w:line="240" w:lineRule="auto"/>
            </w:pPr>
            <w:r>
              <w:rPr>
                <w:rFonts w:ascii="Times New Roman" w:hAnsi="Times New Roman" w:eastAsia="Times New Roman"/>
                <w:sz w:val="16"/>
              </w:rPr>
            </w:r>
            <w:r>
              <w:rPr>
                <w:rFonts w:ascii="Times New Roman" w:hAnsi="Times New Roman" w:eastAsia="Times New Roman"/>
                <w:b w:val="0"/>
                <w:i w:val="0"/>
                <w:sz w:val="16"/>
              </w:rPr>
              <w:t>Rs. 20,000</w:t>
            </w:r>
          </w:p>
        </w:tc>
      </w:tr>
      <w:tr>
        <w:tc>
          <w:tcPr>
            <w:tcW w:type="dxa" w:w="5162"/>
            <w:vAlign w:val="top"/>
          </w:tcPr>
          <w:p>
            <w:pPr>
              <w:spacing w:after="0" w:line="240" w:lineRule="auto"/>
            </w:pPr>
            <w:r>
              <w:rPr>
                <w:rFonts w:ascii="Times New Roman" w:hAnsi="Times New Roman" w:eastAsia="Times New Roman"/>
                <w:sz w:val="16"/>
              </w:rPr>
            </w:r>
            <w:r>
              <w:rPr>
                <w:rFonts w:ascii="Times New Roman" w:hAnsi="Times New Roman" w:eastAsia="Times New Roman"/>
                <w:b w:val="0"/>
                <w:i w:val="0"/>
                <w:sz w:val="16"/>
              </w:rPr>
              <w:t>Class “E” area</w:t>
            </w:r>
          </w:p>
        </w:tc>
        <w:tc>
          <w:tcPr>
            <w:tcW w:type="dxa" w:w="5162"/>
            <w:vAlign w:val="top"/>
          </w:tcPr>
          <w:p>
            <w:pPr>
              <w:spacing w:after="0" w:line="240" w:lineRule="auto"/>
            </w:pPr>
            <w:r>
              <w:rPr>
                <w:rFonts w:ascii="Times New Roman" w:hAnsi="Times New Roman" w:eastAsia="Times New Roman"/>
                <w:sz w:val="16"/>
              </w:rPr>
            </w:r>
            <w:r>
              <w:rPr>
                <w:rFonts w:ascii="Times New Roman" w:hAnsi="Times New Roman" w:eastAsia="Times New Roman"/>
                <w:b w:val="0"/>
                <w:i w:val="0"/>
                <w:sz w:val="16"/>
              </w:rPr>
              <w:t>Rs. 10,000</w:t>
            </w:r>
          </w:p>
        </w:tc>
      </w:tr>
    </w:tbl>
    <w:p>
      <w:pPr>
        <w:spacing w:after="40" w:line="252" w:lineRule="auto"/>
      </w:pPr>
    </w:p>
    <w:p>
      <w:pPr>
        <w:spacing w:after="80" w:line="252" w:lineRule="auto"/>
      </w:pPr>
      <w:r>
        <w:rPr>
          <w:rFonts w:ascii="Times New Roman" w:hAnsi="Times New Roman" w:eastAsia="Times New Roman"/>
          <w:b/>
          <w:i w:val="0"/>
        </w:rPr>
        <w:t>(2) Foreign Allowance</w:t>
      </w:r>
    </w:p>
    <w:p>
      <w:pPr>
        <w:spacing w:after="80" w:line="252" w:lineRule="auto"/>
        <w:ind w:firstLine="317"/>
      </w:pPr>
      <w:r>
        <w:rPr>
          <w:rFonts w:ascii="Times New Roman" w:hAnsi="Times New Roman" w:eastAsia="Times New Roman"/>
          <w:b w:val="0"/>
          <w:i w:val="0"/>
        </w:rPr>
        <w:t>Regarding the foreign allowance that a natural person may deduct from taxable income in computing taxable income, section 1(6) of Schedule 1 of the Act provides as follows:</w:t>
      </w:r>
    </w:p>
    <w:p>
      <w:pPr>
        <w:spacing w:after="60" w:line="252" w:lineRule="auto"/>
        <w:ind w:left="317"/>
      </w:pPr>
      <w:r>
        <w:rPr>
          <w:rFonts w:ascii="Times New Roman" w:hAnsi="Times New Roman" w:eastAsia="Times New Roman"/>
          <w:b w:val="0"/>
          <w:i/>
          <w:sz w:val="18"/>
        </w:rPr>
        <w:t>In the case of an employee working in a diplomatic mission of Nepal situated abroad, tax shall be computed under this section only on the amount remaining after deducting seventy-five percent of the foreign allowance from taxable income.</w:t>
      </w:r>
    </w:p>
    <w:p>
      <w:pPr>
        <w:spacing w:after="80" w:line="252" w:lineRule="auto"/>
      </w:pPr>
      <w:r>
        <w:rPr>
          <w:rFonts w:ascii="Times New Roman" w:hAnsi="Times New Roman" w:eastAsia="Times New Roman"/>
          <w:b/>
          <w:i w:val="0"/>
        </w:rPr>
        <w:t>(3) Amount deductible by a disabled person</w:t>
      </w:r>
    </w:p>
    <w:p>
      <w:pPr>
        <w:spacing w:after="80" w:line="252" w:lineRule="auto"/>
        <w:ind w:firstLine="317"/>
      </w:pPr>
      <w:r>
        <w:rPr>
          <w:rFonts w:ascii="Times New Roman" w:hAnsi="Times New Roman" w:eastAsia="Times New Roman"/>
          <w:b w:val="0"/>
          <w:i w:val="0"/>
        </w:rPr>
        <w:t>Where a resident natural person is disabled, under section 1(10) of Schedule 1 of the Act, a single natural person may deduct an additional amount of Rs. 250,000, being fifty percent of Rs. 500,000, and a couple may deduct an additional amount of Rs. 300,000, being fifty percent of Rs. 600,000, from taxable income.</w:t>
      </w:r>
    </w:p>
    <w:p>
      <w:pPr>
        <w:spacing w:after="80" w:line="252" w:lineRule="auto"/>
      </w:pPr>
      <w:r>
        <w:rPr>
          <w:rFonts w:ascii="Times New Roman" w:hAnsi="Times New Roman" w:eastAsia="Times New Roman"/>
          <w:b/>
          <w:i w:val="0"/>
        </w:rPr>
        <w:t>(4) Premium paid for investment insurance</w:t>
      </w:r>
    </w:p>
    <w:p>
      <w:pPr>
        <w:spacing w:after="80" w:line="252" w:lineRule="auto"/>
        <w:ind w:firstLine="317"/>
      </w:pPr>
      <w:r>
        <w:rPr>
          <w:rFonts w:ascii="Times New Roman" w:hAnsi="Times New Roman" w:eastAsia="Times New Roman"/>
          <w:b w:val="0"/>
          <w:i w:val="0"/>
        </w:rPr>
        <w:t>Where a resident natural person has taken investment insurance, under section 1(12) of Schedule 1 of the Act, the person may deduct from taxable income the annual premium paid for that insurance or Rs. 40,000, whichever is lower.</w:t>
      </w:r>
    </w:p>
    <w:p>
      <w:pPr>
        <w:spacing w:after="80" w:line="252" w:lineRule="auto"/>
      </w:pPr>
      <w:r>
        <w:rPr>
          <w:rFonts w:ascii="Times New Roman" w:hAnsi="Times New Roman" w:eastAsia="Times New Roman"/>
          <w:b/>
          <w:i w:val="0"/>
        </w:rPr>
        <w:t>(5) Premium paid for health insurance</w:t>
      </w:r>
    </w:p>
    <w:p>
      <w:pPr>
        <w:spacing w:after="80" w:line="252" w:lineRule="auto"/>
        <w:ind w:firstLine="317"/>
      </w:pPr>
      <w:r>
        <w:rPr>
          <w:rFonts w:ascii="Times New Roman" w:hAnsi="Times New Roman" w:eastAsia="Times New Roman"/>
          <w:b w:val="0"/>
          <w:i w:val="0"/>
        </w:rPr>
        <w:t>Where a resident natural person has taken health insurance with a resident insurance company, under section 1(16) of Schedule 1 of the Act, the person may deduct from taxable income the annual premium paid for that insurance or Rs. 20,000, whichever is lower.</w:t>
      </w:r>
    </w:p>
    <w:p>
      <w:pPr>
        <w:spacing w:after="80" w:line="252" w:lineRule="auto"/>
      </w:pPr>
      <w:r>
        <w:rPr>
          <w:rFonts w:ascii="Times New Roman" w:hAnsi="Times New Roman" w:eastAsia="Times New Roman"/>
          <w:b/>
          <w:i w:val="0"/>
        </w:rPr>
        <w:t>(6) Amount deductible by a person having pension income</w:t>
      </w:r>
    </w:p>
    <w:p>
      <w:pPr>
        <w:spacing w:after="80" w:line="252" w:lineRule="auto"/>
        <w:ind w:firstLine="317"/>
      </w:pPr>
      <w:r>
        <w:rPr>
          <w:rFonts w:ascii="Times New Roman" w:hAnsi="Times New Roman" w:eastAsia="Times New Roman"/>
          <w:b w:val="0"/>
          <w:i w:val="0"/>
        </w:rPr>
        <w:t>Where a resident natural person has pension income, under section 1(9a) of Schedule 1 of the Act, a single natural person may deduct an additional amount of Rs. 125,000, being 25 percent of Rs. 500,000, and a couple may deduct an additional amount of Rs. 150,000, being 25 percent of Rs. 600,000, from taxable income. However, Rule 39 of the Rules provides that the amount so deductible shall not exceed the pension income. Although the Finance Act, 2077 had removed this provision, the Finance Act, 2078 gave continuity to it again.</w:t>
      </w:r>
    </w:p>
    <w:p>
      <w:pPr>
        <w:spacing w:after="80" w:line="252" w:lineRule="auto"/>
      </w:pPr>
      <w:r>
        <w:rPr>
          <w:rFonts w:ascii="Times New Roman" w:hAnsi="Times New Roman" w:eastAsia="Times New Roman"/>
          <w:b/>
          <w:i w:val="0"/>
        </w:rPr>
        <w:t>(7) Premium paid for insurance of a private building owned by the person</w:t>
      </w:r>
    </w:p>
    <w:p>
      <w:pPr>
        <w:spacing w:after="80" w:line="252" w:lineRule="auto"/>
        <w:ind w:firstLine="317"/>
      </w:pPr>
      <w:r>
        <w:rPr>
          <w:rFonts w:ascii="Times New Roman" w:hAnsi="Times New Roman" w:eastAsia="Times New Roman"/>
          <w:b w:val="0"/>
          <w:i w:val="0"/>
        </w:rPr>
        <w:t>Where a resident natural person has insured a private building owned by him or her with a resident insurance company, under section 1(16a) of Schedule 1 of the Act, the person may deduct from taxable income the annual premium paid for such insurance or Rs. 5,000, whichever is lower.</w:t>
      </w:r>
    </w:p>
    <w:p>
      <w:pPr>
        <w:pStyle w:val="Heading2"/>
        <w:spacing w:after="80" w:line="252" w:lineRule="auto"/>
      </w:pPr>
      <w:r>
        <w:rPr>
          <w:rFonts w:ascii="Times New Roman" w:hAnsi="Times New Roman" w:eastAsia="Times New Roman"/>
          <w:b w:val="0"/>
          <w:i w:val="0"/>
        </w:rPr>
        <w:t>9.3 Tax Exempt Entity</w:t>
      </w:r>
    </w:p>
    <w:p>
      <w:pPr>
        <w:spacing w:after="80" w:line="252" w:lineRule="auto"/>
        <w:ind w:firstLine="317"/>
      </w:pPr>
      <w:r>
        <w:rPr>
          <w:rFonts w:ascii="Times New Roman" w:hAnsi="Times New Roman" w:eastAsia="Times New Roman"/>
          <w:b w:val="0"/>
          <w:i w:val="0"/>
        </w:rPr>
        <w:t>On the basis of social justice, the social responsibility of the State and the prevailing concept of a welfare state, the Act recognizes certain social and charitable associations and institutions, and certain special types of institutions or entities, as tax-exempt entities. It provides that all or certain specified types of income of such associations, institutions or entities shall be exempt from tax chargeable under the Act, and that a certificate of tax exemption shall be provided to such institutions. The intention of the Act is to bring such institutions within the tax net while providing that tax shall not be levied on the tax-exempt income of tax-exempt entities. In this sense, the institution itself is generally not exempt from tax; rather, only donations, grants, gifts and other income specified in section 10(g) of the Act, received in accordance with the objectives of the tax-exempt entity, are exempt. Income from investment such as interest income and rental income, and income earned from business activities, such as consideration received by competing with others or through any other means, are not exempt from tax.</w:t>
      </w:r>
    </w:p>
    <w:p>
      <w:pPr>
        <w:spacing w:after="80" w:line="252" w:lineRule="auto"/>
        <w:ind w:firstLine="317"/>
      </w:pPr>
      <w:r>
        <w:rPr>
          <w:rFonts w:ascii="Times New Roman" w:hAnsi="Times New Roman" w:eastAsia="Times New Roman"/>
          <w:b w:val="0"/>
          <w:i w:val="0"/>
        </w:rPr>
        <w:t>The twelfth amendment to the Income Tax Rules, 2059 in 2078 made provision relating to renewal. A tax-exempt entity that has obtained a tax exemption certificate must, within one year from the end of the income year, apply to the Tax Officer in the prescribed format for renewal of the certificate, together with its income return and the details and evidence of withholding tax deducted and deposited. Earlier, under the eighth amendment to the Income Tax Rules, 2059 in 2075, the provision required renewal within six months.</w:t>
      </w:r>
    </w:p>
    <w:p>
      <w:pPr>
        <w:pStyle w:val="Heading3"/>
        <w:spacing w:after="80" w:line="252" w:lineRule="auto"/>
      </w:pPr>
      <w:r>
        <w:rPr>
          <w:rFonts w:ascii="Times New Roman" w:hAnsi="Times New Roman" w:eastAsia="Times New Roman"/>
          <w:b w:val="0"/>
          <w:i w:val="0"/>
        </w:rPr>
        <w:t>9.3.1 Meaning of a Tax Exempt Entity</w:t>
      </w:r>
    </w:p>
    <w:p>
      <w:pPr>
        <w:spacing w:after="80" w:line="252" w:lineRule="auto"/>
        <w:ind w:firstLine="317"/>
      </w:pPr>
      <w:r>
        <w:rPr>
          <w:rFonts w:ascii="Times New Roman" w:hAnsi="Times New Roman" w:eastAsia="Times New Roman"/>
          <w:b w:val="0"/>
          <w:i w:val="0"/>
        </w:rPr>
        <w:t>Section 2(ध)(1) and (2) of the Act defines “tax exempt entity” as follows:</w:t>
      </w:r>
    </w:p>
    <w:p>
      <w:pPr>
        <w:spacing w:after="60" w:line="252" w:lineRule="auto"/>
        <w:ind w:left="317"/>
      </w:pPr>
      <w:r>
        <w:rPr>
          <w:rFonts w:ascii="Times New Roman" w:hAnsi="Times New Roman" w:eastAsia="Times New Roman"/>
          <w:b w:val="0"/>
          <w:i/>
          <w:sz w:val="18"/>
        </w:rPr>
        <w:t>(1) The following entities registered with the Department as tax-exempt entities:</w:t>
      </w:r>
    </w:p>
    <w:p>
      <w:pPr>
        <w:spacing w:after="40" w:line="252" w:lineRule="auto"/>
        <w:ind w:left="432" w:hanging="259"/>
      </w:pPr>
      <w:r>
        <w:rPr>
          <w:rFonts w:ascii="Times New Roman" w:hAnsi="Times New Roman" w:eastAsia="Times New Roman"/>
          <w:b w:val="0"/>
          <w:i w:val="0"/>
        </w:rPr>
        <w:t>(a) a public social, religious, educational or charitable institution established without the objective of earning profit;</w:t>
      </w:r>
    </w:p>
    <w:p>
      <w:pPr>
        <w:spacing w:after="40" w:line="252" w:lineRule="auto"/>
        <w:ind w:left="432" w:hanging="259"/>
      </w:pPr>
      <w:r>
        <w:rPr>
          <w:rFonts w:ascii="Times New Roman" w:hAnsi="Times New Roman" w:eastAsia="Times New Roman"/>
          <w:b w:val="0"/>
          <w:i w:val="0"/>
        </w:rPr>
        <w:t>(b) an amateur sporting institution formed with the objective of promoting social or sporting facilities, without the members deriving benefits.</w:t>
      </w:r>
    </w:p>
    <w:p>
      <w:pPr>
        <w:spacing w:after="60" w:line="252" w:lineRule="auto"/>
        <w:ind w:left="317"/>
      </w:pPr>
      <w:r>
        <w:rPr>
          <w:rFonts w:ascii="Times New Roman" w:hAnsi="Times New Roman" w:eastAsia="Times New Roman"/>
          <w:b w:val="0"/>
          <w:i/>
          <w:sz w:val="18"/>
        </w:rPr>
        <w:t>(2) A political party registered with the Election Commission.</w:t>
      </w:r>
    </w:p>
    <w:p>
      <w:pPr>
        <w:spacing w:after="60" w:line="252" w:lineRule="auto"/>
        <w:ind w:left="317"/>
      </w:pPr>
      <w:r>
        <w:rPr>
          <w:rFonts w:ascii="Times New Roman" w:hAnsi="Times New Roman" w:eastAsia="Times New Roman"/>
          <w:b w:val="0"/>
          <w:i/>
          <w:sz w:val="18"/>
        </w:rPr>
        <w:t>Provided that, if any person has been provided any benefit from the property of such institution or from amounts received by such institution, except while performing functions in accordance with the objectives of the exempt entity or while making payment for property or services provided to such institution by any person, tax shall not be exempt under this clause.</w:t>
      </w:r>
    </w:p>
    <w:p>
      <w:pPr>
        <w:spacing w:after="80" w:line="252" w:lineRule="auto"/>
        <w:ind w:firstLine="317"/>
      </w:pPr>
      <w:r>
        <w:rPr>
          <w:rFonts w:ascii="Times New Roman" w:hAnsi="Times New Roman" w:eastAsia="Times New Roman"/>
          <w:b w:val="0"/>
          <w:i w:val="0"/>
        </w:rPr>
        <w:t>Analyzing the above provisions, there are two situations in which exemption may be obtained under the Act: a tax-exempt entity, and an entity having tax-exempt income. In the first situation, the entity enjoys the tax exemption facility automatically once it falls within the definition of a tax-exempt entity. In the second situation, even though the entity falls within the definition of a tax-exempt entity, it may enjoy the facility of tax exemption only after registration with the concerned office or after obtaining approval from the concerned office. A political party registered with the Election Commission is an entity that may automatically enjoy the tax exemption facility because it falls within the definition of a tax-exempt entity. On the other hand, although the Act recognizes public social, religious, educational or charitable institutions established without profit motive, and amateur or public sporting institutions formed with the objective of promoting social or sporting facilities, as tax-exempt entities, such institutions may enjoy the tax exemption facility only after registration with the concerned office or after obtaining approval from the concerned office. However, if a tax-exempt or tax-exempted institution provides any personal benefit to any particular person from its property or the amounts received by it, that institution cannot obtain the tax exemption facility.</w:t>
      </w:r>
    </w:p>
    <w:p>
      <w:pPr>
        <w:pStyle w:val="Heading3"/>
        <w:spacing w:after="80" w:line="252" w:lineRule="auto"/>
      </w:pPr>
      <w:r>
        <w:rPr>
          <w:rFonts w:ascii="Times New Roman" w:hAnsi="Times New Roman" w:eastAsia="Times New Roman"/>
          <w:b w:val="0"/>
          <w:i w:val="0"/>
        </w:rPr>
        <w:t>9.3.2 Registration of a Tax Exempt Entity</w:t>
      </w:r>
    </w:p>
    <w:p>
      <w:pPr>
        <w:spacing w:after="80" w:line="252" w:lineRule="auto"/>
        <w:ind w:firstLine="317"/>
      </w:pPr>
      <w:r>
        <w:rPr>
          <w:rFonts w:ascii="Times New Roman" w:hAnsi="Times New Roman" w:eastAsia="Times New Roman"/>
          <w:b w:val="0"/>
          <w:i w:val="0"/>
        </w:rPr>
        <w:t>The public social, religious, educational or charitable institutions established without profit motive, and amateur or public sporting institutions formed with the objective of promoting social or sporting facilities, which are defined as “tax exempt entities” by section 2(ध)(1) of the Act, may obtain the status of a tax-exempt entity and enjoy the tax exemption facility only after registration with the concerned office as a tax-exempt entity. Rule 3 of the Rules provides as follows regarding registration of such institutions as tax-exempt entities:</w:t>
      </w:r>
    </w:p>
    <w:p>
      <w:pPr>
        <w:spacing w:after="60" w:line="252" w:lineRule="auto"/>
        <w:ind w:left="317"/>
      </w:pPr>
      <w:r>
        <w:rPr>
          <w:rFonts w:ascii="Times New Roman" w:hAnsi="Times New Roman" w:eastAsia="Times New Roman"/>
          <w:b w:val="0"/>
          <w:i/>
          <w:sz w:val="18"/>
        </w:rPr>
        <w:t>(1) An institution entitled to tax exemption under section 2(ध) of the Act shall submit an application to the Department for tax exemption by attaching the following details:</w:t>
      </w:r>
    </w:p>
    <w:p>
      <w:pPr>
        <w:spacing w:after="40" w:line="252" w:lineRule="auto"/>
        <w:ind w:left="432" w:hanging="259"/>
      </w:pPr>
      <w:r>
        <w:rPr>
          <w:rFonts w:ascii="Times New Roman" w:hAnsi="Times New Roman" w:eastAsia="Times New Roman"/>
          <w:b w:val="0"/>
          <w:i w:val="0"/>
        </w:rPr>
        <w:t>(a) a copy of the registration certificate, in the case of an institution required to be registered under prevailing law;</w:t>
      </w:r>
    </w:p>
    <w:p>
      <w:pPr>
        <w:spacing w:after="40" w:line="252" w:lineRule="auto"/>
        <w:ind w:left="432" w:hanging="259"/>
      </w:pPr>
      <w:r>
        <w:rPr>
          <w:rFonts w:ascii="Times New Roman" w:hAnsi="Times New Roman" w:eastAsia="Times New Roman"/>
          <w:b w:val="0"/>
          <w:i w:val="0"/>
        </w:rPr>
        <w:t>(b) a copy of the constitution/bylaws relating to the formation of the institution;</w:t>
      </w:r>
    </w:p>
    <w:p>
      <w:pPr>
        <w:spacing w:after="40" w:line="252" w:lineRule="auto"/>
        <w:ind w:left="432" w:hanging="259"/>
      </w:pPr>
      <w:r>
        <w:rPr>
          <w:rFonts w:ascii="Times New Roman" w:hAnsi="Times New Roman" w:eastAsia="Times New Roman"/>
          <w:b w:val="0"/>
          <w:i w:val="0"/>
        </w:rPr>
        <w:t>(c) a copy of the permanent account number certificate, if obtained; and</w:t>
      </w:r>
    </w:p>
    <w:p>
      <w:pPr>
        <w:spacing w:after="40" w:line="252" w:lineRule="auto"/>
        <w:ind w:left="432" w:hanging="259"/>
      </w:pPr>
      <w:r>
        <w:rPr>
          <w:rFonts w:ascii="Times New Roman" w:hAnsi="Times New Roman" w:eastAsia="Times New Roman"/>
          <w:b w:val="0"/>
          <w:i w:val="0"/>
        </w:rPr>
        <w:t>(d) a copy of the audit report, if any.</w:t>
      </w:r>
    </w:p>
    <w:p>
      <w:pPr>
        <w:spacing w:after="60" w:line="252" w:lineRule="auto"/>
        <w:ind w:left="317"/>
      </w:pPr>
      <w:r>
        <w:rPr>
          <w:rFonts w:ascii="Times New Roman" w:hAnsi="Times New Roman" w:eastAsia="Times New Roman"/>
          <w:b w:val="0"/>
          <w:i/>
          <w:sz w:val="18"/>
        </w:rPr>
        <w:t>(2) The Department shall, upon necessary inquiry into an application for tax exemption received under sub-rule (1), register such institution as a tax-exempt entity and issue a certificate.</w:t>
      </w:r>
    </w:p>
    <w:p>
      <w:pPr>
        <w:spacing w:after="60" w:line="252" w:lineRule="auto"/>
        <w:ind w:left="317"/>
      </w:pPr>
      <w:r>
        <w:rPr>
          <w:rFonts w:ascii="Times New Roman" w:hAnsi="Times New Roman" w:eastAsia="Times New Roman"/>
          <w:b w:val="0"/>
          <w:i/>
          <w:sz w:val="18"/>
        </w:rPr>
        <w:t>(3) Notwithstanding anything contained in sub-rules (1) and (2), the Department may prescribe that any entity falling within a tax-exempt entity is not required to be registered.</w:t>
      </w:r>
    </w:p>
    <w:p>
      <w:pPr>
        <w:spacing w:after="80" w:line="252" w:lineRule="auto"/>
        <w:ind w:firstLine="317"/>
      </w:pPr>
      <w:r>
        <w:rPr>
          <w:rFonts w:ascii="Times New Roman" w:hAnsi="Times New Roman" w:eastAsia="Times New Roman"/>
          <w:b w:val="0"/>
          <w:i w:val="0"/>
        </w:rPr>
        <w:t>Rule 5A contains the following provision regarding the income return to be submitted by a tax-exempt entity for the purpose of renewal of that entity:</w:t>
      </w:r>
    </w:p>
    <w:p>
      <w:pPr>
        <w:spacing w:after="60" w:line="252" w:lineRule="auto"/>
        <w:ind w:left="317"/>
      </w:pPr>
      <w:r>
        <w:rPr>
          <w:rFonts w:ascii="Times New Roman" w:hAnsi="Times New Roman" w:eastAsia="Times New Roman"/>
          <w:b w:val="0"/>
          <w:i/>
          <w:sz w:val="18"/>
        </w:rPr>
        <w:t>5A. Provision relating to renewal: (1) An exempt entity registered under Rule 3 and having obtained a tax exemption certificate shall renew such certificate within one year from the end of the income year.</w:t>
      </w:r>
    </w:p>
    <w:p>
      <w:pPr>
        <w:spacing w:after="60" w:line="252" w:lineRule="auto"/>
        <w:ind w:left="317"/>
      </w:pPr>
      <w:r>
        <w:rPr>
          <w:rFonts w:ascii="Times New Roman" w:hAnsi="Times New Roman" w:eastAsia="Times New Roman"/>
          <w:b w:val="0"/>
          <w:i/>
          <w:sz w:val="18"/>
        </w:rPr>
        <w:t>(2) For renewal under sub-rule (1), the institution shall submit an application to the Department in the format prescribed by the Department, together with the income return for the preceding income year and details and evidence showing that advance tax was withheld and deposited.</w:t>
      </w:r>
    </w:p>
    <w:p>
      <w:pPr>
        <w:spacing w:after="60" w:line="252" w:lineRule="auto"/>
        <w:ind w:left="317"/>
      </w:pPr>
      <w:r>
        <w:rPr>
          <w:rFonts w:ascii="Times New Roman" w:hAnsi="Times New Roman" w:eastAsia="Times New Roman"/>
          <w:b w:val="0"/>
          <w:i/>
          <w:sz w:val="18"/>
        </w:rPr>
        <w:t>(3) Where, upon examination of an application received under sub-rule (2), the Department finds that the institution is entitled to tax exemption, it shall renew such certificate.</w:t>
      </w:r>
    </w:p>
    <w:p>
      <w:pPr>
        <w:spacing w:after="60" w:line="252" w:lineRule="auto"/>
        <w:ind w:left="317"/>
      </w:pPr>
      <w:r>
        <w:rPr>
          <w:rFonts w:ascii="Times New Roman" w:hAnsi="Times New Roman" w:eastAsia="Times New Roman"/>
          <w:b w:val="0"/>
          <w:i/>
          <w:sz w:val="18"/>
        </w:rPr>
        <w:t>(4) If a tax exemption certificate received for renewal under this Rule is not in the format prescribed by the Department, a new certificate shall be issued in place of the earlier tax exemption certificate.</w:t>
      </w:r>
    </w:p>
    <w:p>
      <w:pPr>
        <w:spacing w:after="60" w:line="252" w:lineRule="auto"/>
        <w:ind w:left="317"/>
      </w:pPr>
      <w:r>
        <w:rPr>
          <w:rFonts w:ascii="Times New Roman" w:hAnsi="Times New Roman" w:eastAsia="Times New Roman"/>
          <w:b w:val="0"/>
          <w:i/>
          <w:sz w:val="18"/>
        </w:rPr>
        <w:t>(5) Until the tax exemption certificate is renewed under sub-rule (1), the institution that has obtained the tax exemption certificate shall not be entitled to use the tax exemption facility.</w:t>
      </w:r>
    </w:p>
    <w:p>
      <w:pPr>
        <w:spacing w:after="80" w:line="252" w:lineRule="auto"/>
        <w:ind w:firstLine="317"/>
      </w:pPr>
      <w:r>
        <w:rPr>
          <w:rFonts w:ascii="Times New Roman" w:hAnsi="Times New Roman" w:eastAsia="Times New Roman"/>
          <w:b w:val="0"/>
          <w:i w:val="0"/>
        </w:rPr>
        <w:t>In order for an institution to be registered as a tax-exempt entity, to obtain a tax exemption certificate, and to continue the tax exemption facility already obtained, it must complete the following process and conditions:</w:t>
      </w:r>
    </w:p>
    <w:p>
      <w:pPr>
        <w:spacing w:after="40" w:line="252" w:lineRule="auto"/>
        <w:ind w:left="432" w:hanging="259"/>
      </w:pPr>
      <w:r>
        <w:rPr>
          <w:rFonts w:ascii="Times New Roman" w:hAnsi="Times New Roman" w:eastAsia="Times New Roman"/>
          <w:b w:val="0"/>
          <w:i w:val="0"/>
        </w:rPr>
        <w:t>1. For tax exemption, the institution must submit an application to the concerned office with the certificate of registration of the institution, the institution’s constitution/bylaws, the permanent account number registration certificate and, if the institution has been in operation from earlier years, the audit report of the preceding income year together with the income return. However, an institution specified by the Act as not requiring registration need not submit an application for registration.</w:t>
      </w:r>
    </w:p>
    <w:p>
      <w:pPr>
        <w:spacing w:after="40" w:line="252" w:lineRule="auto"/>
        <w:ind w:left="432" w:hanging="259"/>
      </w:pPr>
      <w:r>
        <w:rPr>
          <w:rFonts w:ascii="Times New Roman" w:hAnsi="Times New Roman" w:eastAsia="Times New Roman"/>
          <w:b w:val="0"/>
          <w:i w:val="0"/>
        </w:rPr>
        <w:t>2. The applicant must be a charitable social institution established without the objective of earning profit, as defined as a “tax exempt entity” under section 2(ध) of the Act.</w:t>
      </w:r>
    </w:p>
    <w:p>
      <w:pPr>
        <w:spacing w:after="40" w:line="252" w:lineRule="auto"/>
        <w:ind w:left="432" w:hanging="259"/>
      </w:pPr>
      <w:r>
        <w:rPr>
          <w:rFonts w:ascii="Times New Roman" w:hAnsi="Times New Roman" w:eastAsia="Times New Roman"/>
          <w:b w:val="0"/>
          <w:i w:val="0"/>
        </w:rPr>
        <w:t>3. A tax-exempt entity must file its income return and renew the tax exemption certificate each year within one year from the end of the income year.</w:t>
      </w:r>
    </w:p>
    <w:p>
      <w:pPr>
        <w:spacing w:after="40" w:line="252" w:lineRule="auto"/>
        <w:ind w:left="432" w:hanging="259"/>
      </w:pPr>
      <w:r>
        <w:rPr>
          <w:rFonts w:ascii="Times New Roman" w:hAnsi="Times New Roman" w:eastAsia="Times New Roman"/>
          <w:b w:val="0"/>
          <w:i w:val="0"/>
        </w:rPr>
        <w:t>4. Such institution must submit an income return with its audited annual financial statements and must pay the applicable tax if it has received any amount other than the amounts referred to in section 10(g) of the Act.</w:t>
      </w:r>
    </w:p>
    <w:p>
      <w:pPr>
        <w:spacing w:after="40" w:line="252" w:lineRule="auto"/>
        <w:ind w:left="432" w:hanging="259"/>
      </w:pPr>
      <w:r>
        <w:rPr>
          <w:rFonts w:ascii="Times New Roman" w:hAnsi="Times New Roman" w:eastAsia="Times New Roman"/>
          <w:b w:val="0"/>
          <w:i w:val="0"/>
        </w:rPr>
        <w:t>5. The auditor auditing the exempt institution must state in the audit report whether tax was withheld in advance in accordance with Chapter 17 of the Income Tax Act, 2058, whether the institution has or has not received any amount other than the amounts referred to in section 10(g), and whether the institution has acted only in accordance with its objectives.</w:t>
      </w:r>
    </w:p>
    <w:p>
      <w:pPr>
        <w:spacing w:after="40" w:line="252" w:lineRule="auto"/>
        <w:ind w:left="432" w:hanging="259"/>
      </w:pPr>
      <w:r>
        <w:rPr>
          <w:rFonts w:ascii="Times New Roman" w:hAnsi="Times New Roman" w:eastAsia="Times New Roman"/>
          <w:b w:val="0"/>
          <w:i w:val="0"/>
        </w:rPr>
        <w:t>6. Where a tax-exempt institution receives a payment and, under Chapter 17 of the Income Tax Act, 2058, the payer is required to withhold advance tax on such payment, the payer must withhold tax; if the amount so withheld is not chargeable to tax as income, the institution must claim a tax refund.</w:t>
      </w:r>
    </w:p>
    <w:p>
      <w:pPr>
        <w:spacing w:after="40" w:line="252" w:lineRule="auto"/>
        <w:ind w:left="432" w:hanging="259"/>
      </w:pPr>
      <w:r>
        <w:rPr>
          <w:rFonts w:ascii="Times New Roman" w:hAnsi="Times New Roman" w:eastAsia="Times New Roman"/>
          <w:b w:val="0"/>
          <w:i w:val="0"/>
        </w:rPr>
        <w:t>7. A grant received by competing with persons and institutions carrying on taxable transactions is not recognized as tax exempt.</w:t>
      </w:r>
    </w:p>
    <w:p>
      <w:pPr>
        <w:spacing w:after="40" w:line="252" w:lineRule="auto"/>
        <w:ind w:left="432" w:hanging="259"/>
      </w:pPr>
      <w:r>
        <w:rPr>
          <w:rFonts w:ascii="Times New Roman" w:hAnsi="Times New Roman" w:eastAsia="Times New Roman"/>
          <w:b w:val="0"/>
          <w:i w:val="0"/>
        </w:rPr>
        <w:t>8. A tax-exempt institution must not provide any personal benefit to any particular person from its property or from amounts received by it. If it provides such benefit, its status as a tax-exempt entity ceases.</w:t>
      </w:r>
    </w:p>
    <w:p>
      <w:pPr>
        <w:spacing w:after="40" w:line="252" w:lineRule="auto"/>
        <w:ind w:left="432" w:hanging="259"/>
      </w:pPr>
      <w:r>
        <w:rPr>
          <w:rFonts w:ascii="Times New Roman" w:hAnsi="Times New Roman" w:eastAsia="Times New Roman"/>
          <w:b w:val="0"/>
          <w:i w:val="0"/>
        </w:rPr>
        <w:t>9. A tax-exempt institution must not perform functions contrary to the objectives stated in its constitution/bylaws.</w:t>
      </w:r>
    </w:p>
    <w:p>
      <w:pPr>
        <w:pStyle w:val="Heading3"/>
        <w:spacing w:after="80" w:line="252" w:lineRule="auto"/>
      </w:pPr>
      <w:r>
        <w:rPr>
          <w:rFonts w:ascii="Times New Roman" w:hAnsi="Times New Roman" w:eastAsia="Times New Roman"/>
          <w:b w:val="0"/>
          <w:i w:val="0"/>
        </w:rPr>
        <w:t>9.3.3 Tax Exemption Certificate</w:t>
      </w:r>
    </w:p>
    <w:p>
      <w:pPr>
        <w:spacing w:after="80" w:line="252" w:lineRule="auto"/>
        <w:ind w:firstLine="317"/>
      </w:pPr>
      <w:r>
        <w:rPr>
          <w:rFonts w:ascii="Times New Roman" w:hAnsi="Times New Roman" w:eastAsia="Times New Roman"/>
          <w:b w:val="0"/>
          <w:i w:val="0"/>
        </w:rPr>
        <w:t>Rule 27 of the Rules provides as follows regarding issuance of a tax exemption certificate to a tax-exempt entity:</w:t>
      </w:r>
    </w:p>
    <w:p>
      <w:pPr>
        <w:spacing w:after="60" w:line="252" w:lineRule="auto"/>
        <w:ind w:left="317"/>
      </w:pPr>
      <w:r>
        <w:rPr>
          <w:rFonts w:ascii="Times New Roman" w:hAnsi="Times New Roman" w:eastAsia="Times New Roman"/>
          <w:b w:val="0"/>
          <w:i/>
          <w:sz w:val="18"/>
        </w:rPr>
        <w:t>(1) A person entitled to tax exemption may submit an application to the Department requesting a tax exemption certificate.</w:t>
      </w:r>
    </w:p>
    <w:p>
      <w:pPr>
        <w:spacing w:after="60" w:line="252" w:lineRule="auto"/>
        <w:ind w:left="317"/>
      </w:pPr>
      <w:r>
        <w:rPr>
          <w:rFonts w:ascii="Times New Roman" w:hAnsi="Times New Roman" w:eastAsia="Times New Roman"/>
          <w:b w:val="0"/>
          <w:i/>
          <w:sz w:val="18"/>
        </w:rPr>
        <w:t>(2) After receiving an application under sub-rule (1), if it appears that such person is entitled to tax exemption, the Department shall issue a tax exemption certificate to that person.</w:t>
      </w:r>
    </w:p>
    <w:p>
      <w:pPr>
        <w:spacing w:after="80" w:line="252" w:lineRule="auto"/>
        <w:ind w:firstLine="317"/>
      </w:pPr>
      <w:r>
        <w:rPr>
          <w:rFonts w:ascii="Times New Roman" w:hAnsi="Times New Roman" w:eastAsia="Times New Roman"/>
          <w:b w:val="0"/>
          <w:i w:val="0"/>
        </w:rPr>
        <w:t>Accordingly, an office registering an institution as a tax-exempt entity must issue a tax exemption certificate mentioning the following terms and conditions:</w:t>
      </w:r>
    </w:p>
    <w:p>
      <w:pPr>
        <w:spacing w:after="40" w:line="252" w:lineRule="auto"/>
        <w:ind w:left="432" w:hanging="259"/>
      </w:pPr>
      <w:r>
        <w:rPr>
          <w:rFonts w:ascii="Times New Roman" w:hAnsi="Times New Roman" w:eastAsia="Times New Roman"/>
          <w:b w:val="0"/>
          <w:i w:val="0"/>
        </w:rPr>
        <w:t>1. Out of the income of that institution, only donations and gifts given to that institution by any person under section 10(g)(1) of the Income Tax Act, 2058, and amounts or other contributions provided to that institution under section 10(g)(2), without expectation of consideration, for activities directly related to the functions of that institution, shall be tax exempt. No other type of income shall be exempt from tax.</w:t>
      </w:r>
    </w:p>
    <w:p>
      <w:pPr>
        <w:spacing w:after="40" w:line="252" w:lineRule="auto"/>
        <w:ind w:left="432" w:hanging="259"/>
      </w:pPr>
      <w:r>
        <w:rPr>
          <w:rFonts w:ascii="Times New Roman" w:hAnsi="Times New Roman" w:eastAsia="Times New Roman"/>
          <w:b w:val="0"/>
          <w:i w:val="0"/>
        </w:rPr>
        <w:t>2. If a payment made to that institution includes rent or lease payment, interest, service charge, royalty, payment under a contract or agreement, or gain from disposal of any security, the entity making the payment must withhold advance tax from such payment under sections 87, 88, 88A or 89 of the Income Tax Act, 2058. If the income from which advance tax has been withheld is not chargeable to tax, the institution may claim a refund from the concerned office.</w:t>
      </w:r>
    </w:p>
    <w:p>
      <w:pPr>
        <w:spacing w:after="40" w:line="252" w:lineRule="auto"/>
        <w:ind w:left="432" w:hanging="259"/>
      </w:pPr>
      <w:r>
        <w:rPr>
          <w:rFonts w:ascii="Times New Roman" w:hAnsi="Times New Roman" w:eastAsia="Times New Roman"/>
          <w:b w:val="0"/>
          <w:i w:val="0"/>
        </w:rPr>
        <w:t>3. The institution must submit to the concerned office, within six months, an income return together with audited financial statements for each fiscal year.</w:t>
      </w:r>
    </w:p>
    <w:p>
      <w:pPr>
        <w:spacing w:after="40" w:line="252" w:lineRule="auto"/>
        <w:ind w:left="432" w:hanging="259"/>
      </w:pPr>
      <w:r>
        <w:rPr>
          <w:rFonts w:ascii="Times New Roman" w:hAnsi="Times New Roman" w:eastAsia="Times New Roman"/>
          <w:b w:val="0"/>
          <w:i w:val="0"/>
        </w:rPr>
        <w:t>4. If a payment made by the institution to any person includes remuneration, rent or lease payment, interest, service charge, royalty, payment under a contract or agreement, the institution must withhold advance tax under sections 87, 88, 88A or 89 of the Income Tax Act, 2058 and submit the amount of advance tax withheld and the related return to the concerned office.</w:t>
      </w:r>
    </w:p>
    <w:p>
      <w:pPr>
        <w:spacing w:after="40" w:line="252" w:lineRule="auto"/>
        <w:ind w:left="432" w:hanging="259"/>
      </w:pPr>
      <w:r>
        <w:rPr>
          <w:rFonts w:ascii="Times New Roman" w:hAnsi="Times New Roman" w:eastAsia="Times New Roman"/>
          <w:b w:val="0"/>
          <w:i w:val="0"/>
        </w:rPr>
        <w:t>5. The auditor auditing the institution must specifically state in the audit report whether the institution has withheld advance tax under the Income Tax Act, 2058 and whether the institution has acted only in accordance with its objectives.</w:t>
      </w:r>
    </w:p>
    <w:p>
      <w:pPr>
        <w:spacing w:after="40" w:line="252" w:lineRule="auto"/>
        <w:ind w:left="432" w:hanging="259"/>
      </w:pPr>
      <w:r>
        <w:rPr>
          <w:rFonts w:ascii="Times New Roman" w:hAnsi="Times New Roman" w:eastAsia="Times New Roman"/>
          <w:b w:val="0"/>
          <w:i w:val="0"/>
        </w:rPr>
        <w:t>6. The institution must not perform activities contrary to the objectives stated in its constitution/bylaws or activities not stated in its constitution/bylaws.</w:t>
      </w:r>
    </w:p>
    <w:p>
      <w:pPr>
        <w:pStyle w:val="Heading3"/>
        <w:spacing w:after="80" w:line="252" w:lineRule="auto"/>
      </w:pPr>
      <w:r>
        <w:rPr>
          <w:rFonts w:ascii="Times New Roman" w:hAnsi="Times New Roman" w:eastAsia="Times New Roman"/>
          <w:b w:val="0"/>
          <w:i w:val="0"/>
        </w:rPr>
        <w:t>9.3.4 Circumstances in which the Tax Exemption Facility Terminates</w:t>
      </w:r>
    </w:p>
    <w:p>
      <w:pPr>
        <w:spacing w:after="80" w:line="252" w:lineRule="auto"/>
        <w:ind w:firstLine="317"/>
      </w:pPr>
      <w:r>
        <w:rPr>
          <w:rFonts w:ascii="Times New Roman" w:hAnsi="Times New Roman" w:eastAsia="Times New Roman"/>
          <w:b w:val="0"/>
          <w:i w:val="0"/>
        </w:rPr>
        <w:t>In any one or more of the following circumstances, the tax exemption facility of an institution registered as a tax-exempt entity and having obtained a tax exemption certificate shall terminate:</w:t>
      </w:r>
    </w:p>
    <w:p>
      <w:pPr>
        <w:spacing w:after="40" w:line="252" w:lineRule="auto"/>
        <w:ind w:left="432" w:hanging="259"/>
      </w:pPr>
      <w:r>
        <w:rPr>
          <w:rFonts w:ascii="Times New Roman" w:hAnsi="Times New Roman" w:eastAsia="Times New Roman"/>
          <w:b w:val="0"/>
          <w:i w:val="0"/>
        </w:rPr>
        <w:t>1. if the institution is no longer a public or charitable institution established without the objective of earning profit;</w:t>
      </w:r>
    </w:p>
    <w:p>
      <w:pPr>
        <w:spacing w:after="40" w:line="252" w:lineRule="auto"/>
        <w:ind w:left="432" w:hanging="259"/>
      </w:pPr>
      <w:r>
        <w:rPr>
          <w:rFonts w:ascii="Times New Roman" w:hAnsi="Times New Roman" w:eastAsia="Times New Roman"/>
          <w:b w:val="0"/>
          <w:i w:val="0"/>
        </w:rPr>
        <w:t>2. until the institution submits its income return with audited financial statements to the concerned office within the prescribed time;</w:t>
      </w:r>
    </w:p>
    <w:p>
      <w:pPr>
        <w:spacing w:after="40" w:line="252" w:lineRule="auto"/>
        <w:ind w:left="432" w:hanging="259"/>
      </w:pPr>
      <w:r>
        <w:rPr>
          <w:rFonts w:ascii="Times New Roman" w:hAnsi="Times New Roman" w:eastAsia="Times New Roman"/>
          <w:b w:val="0"/>
          <w:i w:val="0"/>
        </w:rPr>
        <w:t>3. if any person is provided personal benefit from the property and income amount of the institution;</w:t>
      </w:r>
    </w:p>
    <w:p>
      <w:pPr>
        <w:spacing w:after="40" w:line="252" w:lineRule="auto"/>
        <w:ind w:left="432" w:hanging="259"/>
      </w:pPr>
      <w:r>
        <w:rPr>
          <w:rFonts w:ascii="Times New Roman" w:hAnsi="Times New Roman" w:eastAsia="Times New Roman"/>
          <w:b w:val="0"/>
          <w:i w:val="0"/>
        </w:rPr>
        <w:t>4. if the institution is engaged in activities other than the objectives stated in its constitution/bylaws; or</w:t>
      </w:r>
    </w:p>
    <w:p>
      <w:pPr>
        <w:spacing w:after="40" w:line="252" w:lineRule="auto"/>
        <w:ind w:left="432" w:hanging="259"/>
      </w:pPr>
      <w:r>
        <w:rPr>
          <w:rFonts w:ascii="Times New Roman" w:hAnsi="Times New Roman" w:eastAsia="Times New Roman"/>
          <w:b w:val="0"/>
          <w:i w:val="0"/>
        </w:rPr>
        <w:t>5. until an institution that has obtained a tax exemption certificate renews that certificate.</w:t>
      </w:r>
    </w:p>
    <w:p>
      <w:pPr>
        <w:spacing w:after="80" w:line="252" w:lineRule="auto"/>
        <w:ind w:firstLine="317"/>
      </w:pPr>
      <w:r>
        <w:rPr>
          <w:rFonts w:ascii="Times New Roman" w:hAnsi="Times New Roman" w:eastAsia="Times New Roman"/>
          <w:b w:val="0"/>
          <w:i/>
        </w:rPr>
        <w:t>Note: The form of the application to be submitted for renewal of the registration certificate of a tax-exempt entity and the format of the certificate are included in the Schedule to this Directive.</w:t>
      </w:r>
    </w:p>
    <w:p>
      <w:r>
        <w:br w:type="page"/>
      </w:r>
    </w:p>
    <w:p>
      <w:pPr>
        <w:jc w:val="center"/>
      </w:pPr>
      <w:r>
        <w:rPr>
          <w:b/>
          <w:sz w:val="32"/>
        </w:rPr>
        <w:t>Income Tax Directive, 2066</w:t>
      </w:r>
    </w:p>
    <w:p>
      <w:pPr>
        <w:jc w:val="center"/>
      </w:pPr>
      <w:r>
        <w:rPr>
          <w:b/>
          <w:sz w:val="24"/>
        </w:rPr>
        <w:t>(Fifth Amendment, 2081)</w:t>
      </w:r>
    </w:p>
    <w:p>
      <w:pPr>
        <w:jc w:val="center"/>
      </w:pPr>
      <w:r>
        <w:rPr>
          <w:b/>
          <w:sz w:val="24"/>
        </w:rPr>
        <w:t>English Translation - Part 10</w:t>
      </w:r>
    </w:p>
    <w:p>
      <w:pPr>
        <w:jc w:val="center"/>
      </w:pPr>
      <w:r>
        <w:rPr>
          <w:b/>
          <w:sz w:val="24"/>
        </w:rPr>
        <w:t>Chapter 10: Business Exemption and Concession</w:t>
      </w:r>
    </w:p>
    <w:p>
      <w:r>
        <w:rPr>
          <w:b w:val="0"/>
        </w:rPr>
        <w:t>Translated from the uploaded Nepali PDF while preserving the structure, numbering and legal meaning as far as practicable. Statutory expressions are aligned with the English terminology used in the official English reference of the Income Tax Act, 2002 (2058), where applicable.</w:t>
      </w:r>
    </w:p>
    <w:p/>
    <w:p>
      <w:pPr>
        <w:jc w:val="center"/>
      </w:pPr>
      <w:r>
        <w:rPr>
          <w:b/>
          <w:sz w:val="32"/>
        </w:rPr>
        <w:t>Chapter 10</w:t>
      </w:r>
    </w:p>
    <w:p>
      <w:pPr>
        <w:jc w:val="center"/>
      </w:pPr>
      <w:r>
        <w:rPr>
          <w:b/>
          <w:sz w:val="32"/>
        </w:rPr>
        <w:t>Business Exemption and Concession</w:t>
      </w:r>
    </w:p>
    <w:p>
      <w:pPr>
        <w:jc w:val="center"/>
      </w:pPr>
      <w:r>
        <w:rPr>
          <w:b/>
          <w:sz w:val="24"/>
        </w:rPr>
        <w:t>(Business Exemption and Concession)</w:t>
      </w:r>
    </w:p>
    <w:p>
      <w:pPr>
        <w:pStyle w:val="Heading2"/>
      </w:pPr>
      <w:r>
        <w:rPr>
          <w:b w:val="0"/>
        </w:rPr>
        <w:t>10.1 Introduction</w:t>
      </w:r>
    </w:p>
    <w:p>
      <w:r>
        <w:rPr>
          <w:b w:val="0"/>
        </w:rPr>
        <w:t>The Income Tax Act, 2058 provides for tax exemptions and concessions for the purpose of computing tax on the income of certain businesses. To promote economic activity in all sectors, accelerate economic growth, encourage the creation of employment opportunities and secure inclusive development, the Act provides for business exemptions and concessions. In order to reduce the growing trade deficit, the Act also provides income tax concessions for specific sources related to export promotion.</w:t>
      </w:r>
    </w:p>
    <w:p>
      <w:r>
        <w:rPr>
          <w:b w:val="0"/>
        </w:rPr>
        <w:t>Exemptions and concessions for income-determination purposes are available having regard to the nature of the business, the ownership of such business, the geographical area in which the business is operated, the employment provided, the employment provided to women and other communities, special arrangements made by the Government for operation of specified sectors within special economic zones, and businesses prioritized by the Government as indispensable infrastructure for economic development.</w:t>
      </w:r>
    </w:p>
    <w:p>
      <w:r>
        <w:rPr>
          <w:b w:val="0"/>
        </w:rPr>
        <w:t>Such exemptions and concessions are provided in order to increase economic activity in all parts of the country and promote balanced development, to create employment opportunities for classes that have historically been left behind for various reasons and make them economically capable, to reduce the cost of export trade by declaring certain areas as special economic zones and make them internationally competitive, and to develop infrastructure.</w:t>
      </w:r>
    </w:p>
    <w:p>
      <w:r>
        <w:rPr>
          <w:b w:val="0"/>
        </w:rPr>
        <w:t>Chapter 4 of the Income Tax Act, 2058 sets out which business, when operated in which place, under what ownership, and with what level of employment creation, is entitled to what kind of exemption and concession. The State may provide exemptions and concessions for a business, sector or class in relation to economic activities by making legal provisions in Chapter 4 of the Act. The purpose of this chapter of the Directive is to explain the income that is entitled to business exemptions and concessions.</w:t>
      </w:r>
    </w:p>
    <w:p>
      <w:pPr>
        <w:pStyle w:val="Heading2"/>
      </w:pPr>
      <w:r>
        <w:rPr>
          <w:b w:val="0"/>
        </w:rPr>
        <w:t>10.2 Business Exemption and Concession</w:t>
      </w:r>
    </w:p>
    <w:p>
      <w:r>
        <w:rPr>
          <w:b w:val="0"/>
        </w:rPr>
        <w:t>For achieving the purpose mentioned in paragraph 10.1, section 11 of the Income Tax Act, 2058 provides for business exemption and concession. This section clearly specifies business income that is entitled to business exemption and concession. The business exemptions and concessions included in this section of the Act are as follows.</w:t>
      </w:r>
    </w:p>
    <w:p>
      <w:r>
        <w:rPr>
          <w:b w:val="0"/>
        </w:rPr>
        <w:t>11(1) Tax shall not be levied on income derived by carrying on agricultural business by registration as a firm, company, partnership or corporate body, and on other agricultural income except income derived from agricultural business on land referred to in clauses (d) and (e) of section 12 of the Lands Act, 2021.</w:t>
      </w:r>
    </w:p>
    <w:p>
      <w:r>
        <w:rPr>
          <w:b w:val="0"/>
        </w:rPr>
        <w:t>Provided that a fifty percent tax exemption shall be allowed in the tax chargeable on income derived by registration as a firm, company, partnership or corporate body and by operating an agricultural business, a business of dehydrating vegetables or a cold storage business.</w:t>
      </w:r>
    </w:p>
    <w:p>
      <w:r>
        <w:rPr>
          <w:b w:val="0"/>
        </w:rPr>
        <w:t>The above provision of the Act includes agricultural income earned from organized and commercial agricultural business in the income of a person. However, agricultural income derived by a natural person from land within the ceiling prescribed by the Lands Act, 2021 is not taxable. Agricultural income derived from agricultural business on land referred to in clauses (d) and (e) of section 12 of the Lands Act, 2021 must, however, be included in income for the purpose of computing income tax. Clauses (d) and (e) of section 12 of the Lands Act, 2021 provide as follows:</w:t>
      </w:r>
    </w:p>
    <w:p>
      <w:r>
        <w:rPr>
          <w:b w:val="0"/>
        </w:rPr>
        <w:t>(d) Land up to the ceiling specified in the same notified order, used in industrial work specified by a notified order of the Government of Nepal according to the prescribed conditions, for as long as such work continues.</w:t>
      </w:r>
    </w:p>
    <w:p>
      <w:r>
        <w:rPr>
          <w:b w:val="0"/>
        </w:rPr>
        <w:t>(e) Land up to the ceiling specified in the same notified order, used in the work of an agricultural industry specified by a notified order of the Government of Nepal according to the prescribed conditions, for as long as such work continues according to such conditions.</w:t>
      </w:r>
    </w:p>
    <w:p>
      <w:r>
        <w:rPr>
          <w:b w:val="0"/>
        </w:rPr>
        <w:t>The Lands Act, 2021 provides a ceiling on land ownership and also provides that the Government of Nepal may increase the ceiling limit for operating industrial business or agricultural business on such land. The above provision of the Income Tax Act has not granted exemption to income derived from agricultural business carried on over an area exceeding the prescribed ceiling limit. This is clarified by the following example.</w:t>
      </w:r>
    </w:p>
    <w:p>
      <w:pPr>
        <w:pStyle w:val="Heading3"/>
      </w:pPr>
      <w:r>
        <w:rPr>
          <w:b w:val="0"/>
        </w:rPr>
        <w:t>Example 10.2.1</w:t>
      </w:r>
    </w:p>
    <w:p>
      <w:r>
        <w:rPr>
          <w:b w:val="0"/>
        </w:rPr>
        <w:t>Suppose Dhak Bahadur Bamjan has been cultivating tea on land owned by him or by his family/joint family, within the land ceiling prescribed by the Lands Act, 2021. If he earns Rs. 1,000,000 from such tea cultivation in fiscal year 2070/71, such income falls within exempt income. However, if any person, with approval from the Government of Nepal, earns income by cultivating land exceeding the ceiling in the manner prescribed in section 12(d) or (e) of the Lands Act, 2021, the income derived from such cultivation is not exempt from tax. Similarly, in any circumstances, where agricultural income of any kind is derived through a business firm or entity, such income is taxable.</w:t>
      </w:r>
    </w:p>
    <w:p>
      <w:r>
        <w:rPr>
          <w:b w:val="0"/>
        </w:rPr>
        <w:t>11(2) Tax shall not be levied on the income of a cooperative institution or union registered and operated under the Cooperatives Act, 2074 and engaged in agriculture and forest-based industries such as sericulture and silk production, fruit cultivation, production and processing of fruits, animal husbandry, dairy industry, poultry farming, fishery, tea cultivation and processing, coffee cultivation and processing, medicinal herb cultivation and processing, production of vegetable seeds, beekeeping, honey production, rubber cultivation, leasehold forest, agroforestry and other commercial forestry-related businesses; cold storage established for storage of vegetables; cooperatives dealing in agricultural seeds, animal feed, feedstuff, pesticides, fertilizers and agricultural tools other than those run by mechanical power; and cooperative institutions or unions operating within rural municipality areas. Tax shall also not be levied on dividends distributed by such institution or union.</w:t>
      </w:r>
    </w:p>
    <w:p>
      <w:r>
        <w:rPr>
          <w:b w:val="0"/>
        </w:rPr>
        <w:t>With the intention of increasing economic activities through cooperatives, this subsection provides that income tax shall not be levied on the income of cooperative institutions organized in rural municipalities for agriculture and forest-based businesses, for fertilizers and seeds required to increase agricultural productivity, for feed and feedstuff required for animal husbandry business, and for promoting savings in rural municipalities. As this provision is particularly for the development of rural areas, it is not available to cooperative institutions operating in metropolitan cities, sub-metropolitan cities or municipalities. This is further illustrated by the following example.</w:t>
      </w:r>
    </w:p>
    <w:p>
      <w:pPr>
        <w:pStyle w:val="Heading3"/>
      </w:pPr>
      <w:r>
        <w:rPr>
          <w:b w:val="0"/>
        </w:rPr>
        <w:t>Example 10.2.2</w:t>
      </w:r>
    </w:p>
    <w:p>
      <w:r>
        <w:rPr>
          <w:b w:val="0"/>
        </w:rPr>
        <w:t>Suppose Kanyam Community Tea Garden Ltd. is a cooperative institution registered under the Cooperatives Act, 2074. Forty farmers of the Kanyam area jointly cultivate tea, process it and also sell the processed tea through that institution. The institution earned income of Rs. 10,000,000 in fiscal year 2070/71. In this case, the income earned by the institution will be exempt from tax. In addition, if the institution distributes dividends to its shareholders, tax is not required to be withheld on such dividends.</w:t>
      </w:r>
    </w:p>
    <w:p>
      <w:r>
        <w:rPr>
          <w:b w:val="0"/>
        </w:rPr>
        <w:t>11(2a) Tax shall not be levied on annual interest income up to twenty-five thousand rupees earned from deposits made in microfinance institutions operating in rural municipality areas, rural development banks, postal savings banks and cooperatives referred to in subsection (2).</w:t>
      </w:r>
    </w:p>
    <w:p>
      <w:r>
        <w:rPr>
          <w:b w:val="0"/>
        </w:rPr>
        <w:t>11(2b) In any income year, the following exemption shall be allowed in the tax chargeable on income derived from a special industry that has been in full operation throughout the year:</w:t>
      </w:r>
    </w:p>
    <w:p>
      <w:r>
        <w:rPr>
          <w:b w:val="0"/>
        </w:rPr>
        <w:t>(a) if tax is charged on the income of a resident natural person at the rate of thirty percent, one-third of such tax;</w:t>
      </w:r>
    </w:p>
    <w:p>
      <w:r>
        <w:rPr>
          <w:b w:val="0"/>
        </w:rPr>
        <w:t>(b) twenty percent of the tax chargeable on the income of an entity;</w:t>
      </w:r>
    </w:p>
    <w:p>
      <w:r>
        <w:rPr>
          <w:b w:val="0"/>
        </w:rPr>
        <w:t>(c) [omitted].</w:t>
      </w:r>
    </w:p>
    <w:p>
      <w:r>
        <w:rPr>
          <w:b w:val="0"/>
        </w:rPr>
        <w:t>The exemption and concession in tax rate given to special industries in Schedule 1 of the Income Tax Act, 2058 was brought under section 11 as exemption and concession by amendment through the Finance Act, 2076. If a resident natural person is taxed at the rate of thirty percent on income derived from a special industry operated throughout the year, the effective tax rate becomes twenty percent after one-third relief in such tax. Similarly, where twenty percent relief is allowed in the tax chargeable on the income of an entity from a special industry operated throughout the year, the effective rate of tax becomes twenty percent. Thus, this subsection provides tax exemption to a special industry. A person who has obtained the concession under clause (a) or (b) above shall also be entitled to any other tax exemption or concession available under section 11.</w:t>
      </w:r>
    </w:p>
    <w:p>
      <w:r>
        <w:rPr>
          <w:b w:val="0"/>
        </w:rPr>
        <w:t>11(3) In any income year, the income of any person from a special industry and an information technology industry shall be taxed as follows:</w:t>
      </w:r>
    </w:p>
    <w:p>
      <w:r>
        <w:rPr>
          <w:b w:val="0"/>
        </w:rPr>
        <w:t>11(3)(a) If one hundred or more Nepali citizens are directly employed throughout the year, ninety percent of the tax chargeable on the income of that year shall be payable; if three hundred or more Nepali citizens are directly employed throughout the year, eighty percent; if five hundred or more Nepali citizens are directly employed throughout the year, seventy-five percent; and if one thousand or more Nepali citizens are directly employed throughout the year, seventy percent.</w:t>
      </w:r>
    </w:p>
    <w:p>
      <w:r>
        <w:rPr>
          <w:b w:val="0"/>
        </w:rPr>
        <w:t>Provided that if more than one hundred Nepali citizens are directly employed throughout the year, including at least thirty-three percent from among women, Dalits or persons with disabilities, an additional ten percent exemption shall be allowed in the amount of tax payable.</w:t>
      </w:r>
    </w:p>
    <w:p>
      <w:r>
        <w:rPr>
          <w:b w:val="0"/>
        </w:rPr>
        <w:t>In order to increase employment opportunities for citizens of the country, a tax exemption and concession has been provided to special industries that provide employment above a specified number and to information technology industries for the development of information technology. This provision is also available to special industries and information technology industries that provide employment above the prescribed number to women, Dalits and persons with disabilities. The exemptions and concessions provided by the Act to special industries and information technology industries are as follows:</w:t>
      </w:r>
    </w:p>
    <w:tbl>
      <w:tblPr>
        <w:tblStyle w:val="TableGrid"/>
        <w:tblW w:type="auto" w:w="0"/>
        <w:jc w:val="center"/>
        <w:tblLook w:firstColumn="1" w:firstRow="1" w:lastColumn="0" w:lastRow="0" w:noHBand="0" w:noVBand="1" w:val="04A0"/>
      </w:tblPr>
      <w:tblGrid>
        <w:gridCol w:w="2520"/>
        <w:gridCol w:w="2520"/>
        <w:gridCol w:w="2520"/>
        <w:gridCol w:w="2520"/>
      </w:tblGrid>
      <w:tr>
        <w:tc>
          <w:tcPr>
            <w:tcW w:type="dxa" w:w="4032"/>
            <w:vAlign w:val="center"/>
            <w:shd w:fill="D9EAF7"/>
          </w:tcPr>
          <w:p>
            <w:pPr>
              <w:jc w:val="center"/>
            </w:pPr>
            <w:r/>
            <w:r>
              <w:rPr>
                <w:b/>
                <w:sz w:val="18"/>
              </w:rPr>
              <w:t>Description</w:t>
            </w:r>
          </w:p>
        </w:tc>
        <w:tc>
          <w:tcPr>
            <w:tcW w:type="dxa" w:w="1872"/>
            <w:vAlign w:val="center"/>
            <w:shd w:fill="D9EAF7"/>
          </w:tcPr>
          <w:p>
            <w:pPr>
              <w:jc w:val="left"/>
            </w:pPr>
            <w:r/>
            <w:r>
              <w:rPr>
                <w:b/>
                <w:sz w:val="18"/>
              </w:rPr>
              <w:t>Normal rate applicable to special industry</w:t>
            </w:r>
          </w:p>
        </w:tc>
        <w:tc>
          <w:tcPr>
            <w:tcW w:type="dxa" w:w="2232"/>
            <w:vAlign w:val="center"/>
            <w:shd w:fill="D9EAF7"/>
          </w:tcPr>
          <w:p>
            <w:pPr>
              <w:jc w:val="left"/>
            </w:pPr>
            <w:r/>
            <w:r>
              <w:rPr>
                <w:b/>
                <w:sz w:val="18"/>
              </w:rPr>
              <w:t>Rate applicable to special industry after concession</w:t>
            </w:r>
          </w:p>
        </w:tc>
        <w:tc>
          <w:tcPr>
            <w:tcW w:type="dxa" w:w="2376"/>
            <w:vAlign w:val="center"/>
            <w:shd w:fill="D9EAF7"/>
          </w:tcPr>
          <w:p>
            <w:pPr>
              <w:jc w:val="left"/>
            </w:pPr>
            <w:r/>
            <w:r>
              <w:rPr>
                <w:b/>
                <w:sz w:val="18"/>
              </w:rPr>
              <w:t>Rate applicable to IT industry after concession</w:t>
            </w:r>
          </w:p>
        </w:tc>
      </w:tr>
      <w:tr>
        <w:tc>
          <w:tcPr>
            <w:tcW w:type="dxa" w:w="4032"/>
            <w:vAlign w:val="center"/>
          </w:tcPr>
          <w:p>
            <w:pPr>
              <w:jc w:val="left"/>
            </w:pPr>
            <w:r/>
            <w:r>
              <w:rPr>
                <w:b w:val="0"/>
                <w:sz w:val="18"/>
              </w:rPr>
              <w:t>A. Special industry directly employing 100 or more persons throughout the year</w:t>
            </w:r>
          </w:p>
        </w:tc>
        <w:tc>
          <w:tcPr>
            <w:tcW w:type="dxa" w:w="1872"/>
            <w:vAlign w:val="center"/>
          </w:tcPr>
          <w:p>
            <w:pPr>
              <w:jc w:val="center"/>
            </w:pPr>
            <w:r/>
            <w:r>
              <w:rPr>
                <w:b w:val="0"/>
                <w:sz w:val="18"/>
              </w:rPr>
              <w:t>20%</w:t>
            </w:r>
          </w:p>
        </w:tc>
        <w:tc>
          <w:tcPr>
            <w:tcW w:type="dxa" w:w="2232"/>
            <w:vAlign w:val="center"/>
          </w:tcPr>
          <w:p>
            <w:pPr>
              <w:jc w:val="center"/>
            </w:pPr>
            <w:r/>
            <w:r>
              <w:rPr>
                <w:b w:val="0"/>
                <w:sz w:val="18"/>
              </w:rPr>
              <w:t>18%</w:t>
            </w:r>
          </w:p>
        </w:tc>
        <w:tc>
          <w:tcPr>
            <w:tcW w:type="dxa" w:w="2376"/>
            <w:vAlign w:val="center"/>
          </w:tcPr>
          <w:p>
            <w:pPr>
              <w:jc w:val="center"/>
            </w:pPr>
            <w:r/>
            <w:r>
              <w:rPr>
                <w:b w:val="0"/>
                <w:sz w:val="18"/>
              </w:rPr>
              <w:t>22.50%</w:t>
            </w:r>
          </w:p>
        </w:tc>
      </w:tr>
      <w:tr>
        <w:tc>
          <w:tcPr>
            <w:tcW w:type="dxa" w:w="4032"/>
            <w:vAlign w:val="center"/>
          </w:tcPr>
          <w:p>
            <w:pPr>
              <w:jc w:val="left"/>
            </w:pPr>
            <w:r/>
            <w:r>
              <w:rPr>
                <w:b w:val="0"/>
                <w:sz w:val="18"/>
              </w:rPr>
              <w:t>B. Special industry directly employing 300 or more persons throughout the year</w:t>
            </w:r>
          </w:p>
        </w:tc>
        <w:tc>
          <w:tcPr>
            <w:tcW w:type="dxa" w:w="1872"/>
            <w:vAlign w:val="center"/>
          </w:tcPr>
          <w:p>
            <w:pPr>
              <w:jc w:val="center"/>
            </w:pPr>
            <w:r/>
            <w:r>
              <w:rPr>
                <w:b w:val="0"/>
                <w:sz w:val="18"/>
              </w:rPr>
              <w:t>20%</w:t>
            </w:r>
          </w:p>
        </w:tc>
        <w:tc>
          <w:tcPr>
            <w:tcW w:type="dxa" w:w="2232"/>
            <w:vAlign w:val="center"/>
          </w:tcPr>
          <w:p>
            <w:pPr>
              <w:jc w:val="center"/>
            </w:pPr>
            <w:r/>
            <w:r>
              <w:rPr>
                <w:b w:val="0"/>
                <w:sz w:val="18"/>
              </w:rPr>
              <w:t>16%</w:t>
            </w:r>
          </w:p>
        </w:tc>
        <w:tc>
          <w:tcPr>
            <w:tcW w:type="dxa" w:w="2376"/>
            <w:vAlign w:val="center"/>
          </w:tcPr>
          <w:p>
            <w:pPr>
              <w:jc w:val="center"/>
            </w:pPr>
            <w:r/>
            <w:r>
              <w:rPr>
                <w:b w:val="0"/>
                <w:sz w:val="18"/>
              </w:rPr>
              <w:t>20%</w:t>
            </w:r>
          </w:p>
        </w:tc>
      </w:tr>
      <w:tr>
        <w:tc>
          <w:tcPr>
            <w:tcW w:type="dxa" w:w="4032"/>
            <w:vAlign w:val="center"/>
          </w:tcPr>
          <w:p>
            <w:pPr>
              <w:jc w:val="left"/>
            </w:pPr>
            <w:r/>
            <w:r>
              <w:rPr>
                <w:b w:val="0"/>
                <w:sz w:val="18"/>
              </w:rPr>
              <w:t>C. Special industry directly employing 500 or more persons throughout the year</w:t>
            </w:r>
          </w:p>
        </w:tc>
        <w:tc>
          <w:tcPr>
            <w:tcW w:type="dxa" w:w="1872"/>
            <w:vAlign w:val="center"/>
          </w:tcPr>
          <w:p>
            <w:pPr>
              <w:jc w:val="center"/>
            </w:pPr>
            <w:r/>
            <w:r>
              <w:rPr>
                <w:b w:val="0"/>
                <w:sz w:val="18"/>
              </w:rPr>
              <w:t>20%</w:t>
            </w:r>
          </w:p>
        </w:tc>
        <w:tc>
          <w:tcPr>
            <w:tcW w:type="dxa" w:w="2232"/>
            <w:vAlign w:val="center"/>
          </w:tcPr>
          <w:p>
            <w:pPr>
              <w:jc w:val="center"/>
            </w:pPr>
            <w:r/>
            <w:r>
              <w:rPr>
                <w:b w:val="0"/>
                <w:sz w:val="18"/>
              </w:rPr>
              <w:t>15%</w:t>
            </w:r>
          </w:p>
        </w:tc>
        <w:tc>
          <w:tcPr>
            <w:tcW w:type="dxa" w:w="2376"/>
            <w:vAlign w:val="center"/>
          </w:tcPr>
          <w:p>
            <w:pPr>
              <w:jc w:val="center"/>
            </w:pPr>
            <w:r/>
            <w:r>
              <w:rPr>
                <w:b w:val="0"/>
                <w:sz w:val="18"/>
              </w:rPr>
              <w:t>18.75%</w:t>
            </w:r>
          </w:p>
        </w:tc>
      </w:tr>
      <w:tr>
        <w:tc>
          <w:tcPr>
            <w:tcW w:type="dxa" w:w="4032"/>
            <w:vAlign w:val="center"/>
          </w:tcPr>
          <w:p>
            <w:pPr>
              <w:jc w:val="left"/>
            </w:pPr>
            <w:r/>
            <w:r>
              <w:rPr>
                <w:b w:val="0"/>
                <w:sz w:val="18"/>
              </w:rPr>
              <w:t>D. Special industry directly employing 1,000 or more persons throughout the year</w:t>
            </w:r>
          </w:p>
        </w:tc>
        <w:tc>
          <w:tcPr>
            <w:tcW w:type="dxa" w:w="1872"/>
            <w:vAlign w:val="center"/>
          </w:tcPr>
          <w:p>
            <w:pPr>
              <w:jc w:val="center"/>
            </w:pPr>
            <w:r/>
            <w:r>
              <w:rPr>
                <w:b w:val="0"/>
                <w:sz w:val="18"/>
              </w:rPr>
              <w:t>20%</w:t>
            </w:r>
          </w:p>
        </w:tc>
        <w:tc>
          <w:tcPr>
            <w:tcW w:type="dxa" w:w="2232"/>
            <w:vAlign w:val="center"/>
          </w:tcPr>
          <w:p>
            <w:pPr>
              <w:jc w:val="center"/>
            </w:pPr>
            <w:r/>
            <w:r>
              <w:rPr>
                <w:b w:val="0"/>
                <w:sz w:val="18"/>
              </w:rPr>
              <w:t>14%</w:t>
            </w:r>
          </w:p>
        </w:tc>
        <w:tc>
          <w:tcPr>
            <w:tcW w:type="dxa" w:w="2376"/>
            <w:vAlign w:val="center"/>
          </w:tcPr>
          <w:p>
            <w:pPr>
              <w:jc w:val="center"/>
            </w:pPr>
            <w:r/>
            <w:r>
              <w:rPr>
                <w:b w:val="0"/>
                <w:sz w:val="18"/>
              </w:rPr>
              <w:t>17.5%</w:t>
            </w:r>
          </w:p>
        </w:tc>
      </w:tr>
    </w:tbl>
    <w:p>
      <w:r>
        <w:rPr>
          <w:b w:val="0"/>
        </w:rPr>
        <w:t>If more than one hundred Nepali citizens are directly employed throughout the year, including at least thirty-three percent from among women, Dalits or persons with disabilities, the industry shall also be entitled to an additional ten percent exemption in the tax amount payable as above.</w:t>
      </w:r>
    </w:p>
    <w:p>
      <w:r>
        <w:rPr>
          <w:b w:val="0"/>
        </w:rPr>
        <w:t>11(3)(b) If a special industry is operated in extremely underdeveloped, underdeveloped or less developed areas, tax on the income of such industry for ten years from the date of commencement of commercial production or transaction shall be ten percent, twenty percent and thirty percent, respectively, of the tax otherwise chargeable for those years.</w:t>
      </w:r>
    </w:p>
    <w:p>
      <w:r>
        <w:rPr>
          <w:b w:val="0"/>
        </w:rPr>
        <w:t>Provided that a special industry established in the hill districts of Karnali Province and Sudurpaschim Province and directly employing more than one hundred Nepali citizens shall be exempt from income tax for fifteen years from the date of commencement of transaction.</w:t>
      </w:r>
    </w:p>
    <w:p>
      <w:r>
        <w:rPr>
          <w:b w:val="0"/>
        </w:rPr>
        <w:t>For the purpose of establishing industries in different parts of the country, the country has been divided into various areas on the basis of available infrastructure, market conditions and geographical situation. In order to encourage industrial development in geographical areas that are backward due to infrastructure and other reasons, the above provision of the Act allows special industries operated in such areas a specified rate of exemption from tax payable on their income. The exemptions and concessions available according to the area in which the industry is operated are as follows. The list of extremely underdeveloped, underdeveloped and less developed areas is specified in Schedule 10 of the Industrial Enterprises Act, 2076. Because of the relief given in the rate of tax to special industries operating in extremely underdeveloped, underdeveloped and less developed areas, the effective tax rates for such industries are as follows:</w:t>
      </w:r>
    </w:p>
    <w:tbl>
      <w:tblPr>
        <w:tblStyle w:val="TableGrid"/>
        <w:tblW w:type="auto" w:w="0"/>
        <w:jc w:val="center"/>
        <w:tblLook w:firstColumn="1" w:firstRow="1" w:lastColumn="0" w:lastRow="0" w:noHBand="0" w:noVBand="1" w:val="04A0"/>
      </w:tblPr>
      <w:tblGrid>
        <w:gridCol w:w="3360"/>
        <w:gridCol w:w="3360"/>
        <w:gridCol w:w="3360"/>
      </w:tblGrid>
      <w:tr>
        <w:tc>
          <w:tcPr>
            <w:tcW w:type="dxa" w:w="4608"/>
            <w:vAlign w:val="center"/>
            <w:shd w:fill="D9EAF7"/>
          </w:tcPr>
          <w:p>
            <w:pPr>
              <w:jc w:val="center"/>
            </w:pPr>
            <w:r/>
            <w:r>
              <w:rPr>
                <w:b/>
                <w:sz w:val="18"/>
              </w:rPr>
              <w:t>Area where industry is operated</w:t>
            </w:r>
          </w:p>
        </w:tc>
        <w:tc>
          <w:tcPr>
            <w:tcW w:type="dxa" w:w="2592"/>
            <w:vAlign w:val="center"/>
            <w:shd w:fill="D9EAF7"/>
          </w:tcPr>
          <w:p>
            <w:pPr>
              <w:jc w:val="left"/>
            </w:pPr>
            <w:r/>
            <w:r>
              <w:rPr>
                <w:b/>
                <w:sz w:val="18"/>
              </w:rPr>
              <w:t>Tax rate applicable to special industry</w:t>
            </w:r>
          </w:p>
        </w:tc>
        <w:tc>
          <w:tcPr>
            <w:tcW w:type="dxa" w:w="2592"/>
            <w:vAlign w:val="center"/>
            <w:shd w:fill="D9EAF7"/>
          </w:tcPr>
          <w:p>
            <w:pPr>
              <w:jc w:val="center"/>
            </w:pPr>
            <w:r/>
            <w:r>
              <w:rPr>
                <w:b/>
                <w:sz w:val="18"/>
              </w:rPr>
              <w:t>Rate applicable after concession</w:t>
            </w:r>
          </w:p>
        </w:tc>
      </w:tr>
      <w:tr>
        <w:tc>
          <w:tcPr>
            <w:tcW w:type="dxa" w:w="4608"/>
            <w:vAlign w:val="center"/>
          </w:tcPr>
          <w:p>
            <w:pPr>
              <w:jc w:val="center"/>
            </w:pPr>
            <w:r/>
            <w:r>
              <w:rPr>
                <w:b w:val="0"/>
                <w:sz w:val="18"/>
              </w:rPr>
              <w:t>A. Extremely underdeveloped</w:t>
            </w:r>
          </w:p>
        </w:tc>
        <w:tc>
          <w:tcPr>
            <w:tcW w:type="dxa" w:w="2592"/>
            <w:vAlign w:val="center"/>
          </w:tcPr>
          <w:p>
            <w:pPr>
              <w:jc w:val="center"/>
            </w:pPr>
            <w:r/>
            <w:r>
              <w:rPr>
                <w:b w:val="0"/>
                <w:sz w:val="18"/>
              </w:rPr>
              <w:t>20%</w:t>
            </w:r>
          </w:p>
        </w:tc>
        <w:tc>
          <w:tcPr>
            <w:tcW w:type="dxa" w:w="2592"/>
            <w:vAlign w:val="center"/>
          </w:tcPr>
          <w:p>
            <w:pPr>
              <w:jc w:val="center"/>
            </w:pPr>
            <w:r/>
            <w:r>
              <w:rPr>
                <w:b w:val="0"/>
                <w:sz w:val="18"/>
              </w:rPr>
              <w:t>2%</w:t>
            </w:r>
          </w:p>
        </w:tc>
      </w:tr>
      <w:tr>
        <w:tc>
          <w:tcPr>
            <w:tcW w:type="dxa" w:w="4608"/>
            <w:vAlign w:val="center"/>
          </w:tcPr>
          <w:p>
            <w:pPr>
              <w:jc w:val="center"/>
            </w:pPr>
            <w:r/>
            <w:r>
              <w:rPr>
                <w:b w:val="0"/>
                <w:sz w:val="18"/>
              </w:rPr>
              <w:t>B. Underdeveloped</w:t>
            </w:r>
          </w:p>
        </w:tc>
        <w:tc>
          <w:tcPr>
            <w:tcW w:type="dxa" w:w="2592"/>
            <w:vAlign w:val="center"/>
          </w:tcPr>
          <w:p>
            <w:pPr>
              <w:jc w:val="center"/>
            </w:pPr>
            <w:r/>
            <w:r>
              <w:rPr>
                <w:b w:val="0"/>
                <w:sz w:val="18"/>
              </w:rPr>
              <w:t>20%</w:t>
            </w:r>
          </w:p>
        </w:tc>
        <w:tc>
          <w:tcPr>
            <w:tcW w:type="dxa" w:w="2592"/>
            <w:vAlign w:val="center"/>
          </w:tcPr>
          <w:p>
            <w:pPr>
              <w:jc w:val="center"/>
            </w:pPr>
            <w:r/>
            <w:r>
              <w:rPr>
                <w:b w:val="0"/>
                <w:sz w:val="18"/>
              </w:rPr>
              <w:t>4%</w:t>
            </w:r>
          </w:p>
        </w:tc>
      </w:tr>
      <w:tr>
        <w:tc>
          <w:tcPr>
            <w:tcW w:type="dxa" w:w="4608"/>
            <w:vAlign w:val="center"/>
          </w:tcPr>
          <w:p>
            <w:pPr>
              <w:jc w:val="center"/>
            </w:pPr>
            <w:r/>
            <w:r>
              <w:rPr>
                <w:b w:val="0"/>
                <w:sz w:val="18"/>
              </w:rPr>
              <w:t>C. Less developed</w:t>
            </w:r>
          </w:p>
        </w:tc>
        <w:tc>
          <w:tcPr>
            <w:tcW w:type="dxa" w:w="2592"/>
            <w:vAlign w:val="center"/>
          </w:tcPr>
          <w:p>
            <w:pPr>
              <w:jc w:val="center"/>
            </w:pPr>
            <w:r/>
            <w:r>
              <w:rPr>
                <w:b w:val="0"/>
                <w:sz w:val="18"/>
              </w:rPr>
              <w:t>20%</w:t>
            </w:r>
          </w:p>
        </w:tc>
        <w:tc>
          <w:tcPr>
            <w:tcW w:type="dxa" w:w="2592"/>
            <w:vAlign w:val="center"/>
          </w:tcPr>
          <w:p>
            <w:pPr>
              <w:jc w:val="center"/>
            </w:pPr>
            <w:r/>
            <w:r>
              <w:rPr>
                <w:b w:val="0"/>
                <w:sz w:val="18"/>
              </w:rPr>
              <w:t>6%</w:t>
            </w:r>
          </w:p>
        </w:tc>
      </w:tr>
    </w:tbl>
    <w:p>
      <w:r>
        <w:rPr>
          <w:b w:val="0"/>
        </w:rPr>
        <w:t>This concession is available for ten years from the date on which the industry commences commercial production or transaction. For example, if an industry was registered on 2065/05/03 and began production or transaction on 2066/01/01, the concession will be available for ten years from 2066/01/01, i.e., up to the end of Chaitra 2075.</w:t>
      </w:r>
    </w:p>
    <w:p>
      <w:r>
        <w:rPr>
          <w:b w:val="0"/>
        </w:rPr>
        <w:t>11(3)(c) A special industry and a tourism industry, other than a casino, established with capital investment exceeding one billion rupees and providing direct employment to more than five hundred persons throughout the year shall receive full income tax exemption for five years from the date of commencement of transaction and fifty percent exemption in the tax chargeable for the next three years.</w:t>
      </w:r>
    </w:p>
    <w:p>
      <w:r>
        <w:rPr>
          <w:b w:val="0"/>
        </w:rPr>
        <w:t>Provided that an existing such industry, if it increases its installed capacity by at least twenty-five percent, raises its capital to two billion rupees and provides direct employment to more than three hundred persons throughout the year, shall receive full income tax exemption for five years on the income derived from such capacity increase and fifty percent exemption in the tax chargeable for the next three years.</w:t>
      </w:r>
    </w:p>
    <w:p>
      <w:r>
        <w:rPr>
          <w:b w:val="0"/>
        </w:rPr>
        <w:t>The Finance Act, 2071 provided this facility only to special industries, whereas the Finance Act, 2077 amended the provision to extend it also to tourism industries. After this amendment, special industries and tourism industries other than casinos established with capital investment of more than one billion rupees and providing direct employment to more than five hundred persons throughout the year receive full income tax exemption for the first five years from the date of commencement of transaction and fifty percent exemption for the next three years. Existing industries are also entitled to this facility if, after the amendment made by the Finance Act, 2077, they increase their existing capacity by at least twenty-five percent, raise their investment to two billion rupees and provide employment to more than three hundred persons throughout the year; in such case full exemption is allowed for the first five years on income derived from the increased capacity and fifty percent exemption for the next three years. Capital investment made out of loans is not included for this purpose. This is further clarified by the following examples.</w:t>
      </w:r>
    </w:p>
    <w:p>
      <w:pPr>
        <w:pStyle w:val="Heading3"/>
      </w:pPr>
      <w:r>
        <w:rPr>
          <w:b w:val="0"/>
        </w:rPr>
        <w:t>Example 10.2.3</w:t>
      </w:r>
    </w:p>
    <w:p>
      <w:r>
        <w:rPr>
          <w:b w:val="0"/>
        </w:rPr>
        <w:t>Suppose Nepal Cement Industry Pvt. Ltd. has established a cement industry with total investment of four billion rupees, including shareholder capital investment of one billion five hundred million rupees. The industry has an installed capacity of 1,500 tons per day, commenced production on 2071/06/01, and 510 workers and employees work in the industry throughout the year. In this case, from 2071/06/01 to 2076/05/31, one hundred percent tax exemption is available on the taxable income of the industry, and from 2076/06/01 to 2079/05/31, fifty percent tax exemption is available on the taxable income of the industry.</w:t>
      </w:r>
    </w:p>
    <w:p>
      <w:pPr>
        <w:pStyle w:val="Heading3"/>
      </w:pPr>
      <w:r>
        <w:rPr>
          <w:b w:val="0"/>
        </w:rPr>
        <w:t>Example 10.2.4</w:t>
      </w:r>
    </w:p>
    <w:p>
      <w:r>
        <w:rPr>
          <w:b w:val="0"/>
        </w:rPr>
        <w:t>Suppose Hamro Cement Industry had already commenced production from 2070/06/01 with capital investment of Rs. 800 million. The industry added capital investment of Rs. 200 million and increased its installed capacity from 1,500 tons per day to 2,500 tons per day. Production from the increased capacity started from 2071/09/05. The industry employs 510 workers and employees throughout the year. Its annual income before capacity increase was Rs. 400 million and after capacity increase was Rs. 600 million; that is, the income of the industry increased by 50 percent. In this case, on the 50 percent taxable income derived from the increased capacity, the industry will receive one hundred percent tax exemption from 2071/09/05 to 2076/09/04, i.e., for five years, and fifty percent tax exemption from 2076/09/05 to 2079/09/04, i.e., for three years. Again, after the amendment made by the Finance Act, 2077, existing industries must increase their installed capacity by at least twenty-five percent, raise their capital to two billion rupees and provide direct employment to more than three hundred persons throughout the year; only then will fifty percent exemption be available in the tax on the income derived from such capacity increase.</w:t>
      </w:r>
    </w:p>
    <w:p>
      <w:r>
        <w:rPr>
          <w:b w:val="0"/>
        </w:rPr>
        <w:t>11(3a) The following exemptions shall be available in the income tax chargeable on the income of an industry established in a special economic zone and in the tax chargeable on dividends distributed by such industry:</w:t>
      </w:r>
    </w:p>
    <w:p>
      <w:r>
        <w:rPr>
          <w:b w:val="0"/>
        </w:rPr>
        <w:t>11(3a)(a) An industry established in a special economic zone situated in Himalayan districts and hill districts specified by the Government of Nepal shall receive one hundred percent exemption in the income tax chargeable for ten years from the date of commencement of transaction and fifty percent exemption in the income tax chargeable in the subsequent income years.</w:t>
      </w:r>
    </w:p>
    <w:p>
      <w:r>
        <w:rPr>
          <w:b w:val="0"/>
        </w:rPr>
        <w:t>11(3a)(b) An industry established in a special economic zone situated in areas other than those referred to in clause (a) shall receive one hundred percent exemption in the income tax chargeable for five years from the date of commencement of transaction and fifty percent exemption in the income tax chargeable in the subsequent income years.</w:t>
      </w:r>
    </w:p>
    <w:p>
      <w:r>
        <w:rPr>
          <w:b w:val="0"/>
        </w:rPr>
        <w:t>Industries established in special economic zones situated in Himalayan districts, hill districts specified by the Government of Nepal and other areas are provided the following exemptions and concessions:</w:t>
      </w:r>
    </w:p>
    <w:tbl>
      <w:tblPr>
        <w:tblStyle w:val="TableGrid"/>
        <w:tblW w:type="auto" w:w="0"/>
        <w:jc w:val="center"/>
        <w:tblLook w:firstColumn="1" w:firstRow="1" w:lastColumn="0" w:lastRow="0" w:noHBand="0" w:noVBand="1" w:val="04A0"/>
      </w:tblPr>
      <w:tblGrid>
        <w:gridCol w:w="3360"/>
        <w:gridCol w:w="3360"/>
        <w:gridCol w:w="3360"/>
      </w:tblGrid>
      <w:tr>
        <w:tc>
          <w:tcPr>
            <w:tcW w:type="dxa" w:w="4608"/>
            <w:vAlign w:val="center"/>
            <w:shd w:fill="D9EAF7"/>
          </w:tcPr>
          <w:p>
            <w:pPr>
              <w:jc w:val="left"/>
            </w:pPr>
            <w:r/>
            <w:r>
              <w:rPr>
                <w:b/>
                <w:sz w:val="18"/>
              </w:rPr>
              <w:t>Special economic zone where industry operates</w:t>
            </w:r>
          </w:p>
        </w:tc>
        <w:tc>
          <w:tcPr>
            <w:tcW w:type="dxa" w:w="2160"/>
            <w:vAlign w:val="center"/>
            <w:shd w:fill="D9EAF7"/>
          </w:tcPr>
          <w:p>
            <w:pPr>
              <w:jc w:val="left"/>
            </w:pPr>
            <w:r/>
            <w:r>
              <w:rPr>
                <w:b/>
                <w:sz w:val="18"/>
              </w:rPr>
              <w:t>Tax rate applicable to special industry</w:t>
            </w:r>
          </w:p>
        </w:tc>
        <w:tc>
          <w:tcPr>
            <w:tcW w:type="dxa" w:w="3024"/>
            <w:vAlign w:val="center"/>
            <w:shd w:fill="D9EAF7"/>
          </w:tcPr>
          <w:p>
            <w:pPr>
              <w:jc w:val="center"/>
            </w:pPr>
            <w:r/>
            <w:r>
              <w:rPr>
                <w:b/>
                <w:sz w:val="18"/>
              </w:rPr>
              <w:t>Rate applicable after concession</w:t>
            </w:r>
          </w:p>
        </w:tc>
      </w:tr>
      <w:tr>
        <w:tc>
          <w:tcPr>
            <w:tcW w:type="dxa" w:w="4608"/>
            <w:vAlign w:val="center"/>
          </w:tcPr>
          <w:p>
            <w:pPr>
              <w:jc w:val="left"/>
            </w:pPr>
            <w:r/>
            <w:r>
              <w:rPr>
                <w:b w:val="0"/>
                <w:sz w:val="18"/>
              </w:rPr>
              <w:t>A. Himalayan districts and hill districts specified by the Government of Nepal</w:t>
            </w:r>
          </w:p>
        </w:tc>
        <w:tc>
          <w:tcPr>
            <w:tcW w:type="dxa" w:w="2160"/>
            <w:vAlign w:val="center"/>
          </w:tcPr>
          <w:p>
            <w:pPr>
              <w:jc w:val="center"/>
            </w:pPr>
            <w:r/>
            <w:r>
              <w:rPr>
                <w:b w:val="0"/>
                <w:sz w:val="18"/>
              </w:rPr>
              <w:t>20%</w:t>
            </w:r>
          </w:p>
        </w:tc>
        <w:tc>
          <w:tcPr>
            <w:tcW w:type="dxa" w:w="3024"/>
            <w:vAlign w:val="center"/>
          </w:tcPr>
          <w:p>
            <w:pPr>
              <w:jc w:val="left"/>
            </w:pPr>
            <w:r/>
            <w:r>
              <w:rPr>
                <w:b w:val="0"/>
                <w:sz w:val="18"/>
              </w:rPr>
              <w:t>0% for the first 10 years; 10% thereafter</w:t>
            </w:r>
          </w:p>
        </w:tc>
      </w:tr>
      <w:tr>
        <w:tc>
          <w:tcPr>
            <w:tcW w:type="dxa" w:w="4608"/>
            <w:vAlign w:val="center"/>
          </w:tcPr>
          <w:p>
            <w:pPr>
              <w:jc w:val="center"/>
            </w:pPr>
            <w:r/>
            <w:r>
              <w:rPr>
                <w:b w:val="0"/>
                <w:sz w:val="18"/>
              </w:rPr>
              <w:t>B. Other areas</w:t>
            </w:r>
          </w:p>
        </w:tc>
        <w:tc>
          <w:tcPr>
            <w:tcW w:type="dxa" w:w="2160"/>
            <w:vAlign w:val="center"/>
          </w:tcPr>
          <w:p>
            <w:pPr>
              <w:jc w:val="center"/>
            </w:pPr>
            <w:r/>
            <w:r>
              <w:rPr>
                <w:b w:val="0"/>
                <w:sz w:val="18"/>
              </w:rPr>
              <w:t>20%</w:t>
            </w:r>
          </w:p>
        </w:tc>
        <w:tc>
          <w:tcPr>
            <w:tcW w:type="dxa" w:w="3024"/>
            <w:vAlign w:val="center"/>
          </w:tcPr>
          <w:p>
            <w:pPr>
              <w:jc w:val="left"/>
            </w:pPr>
            <w:r/>
            <w:r>
              <w:rPr>
                <w:b w:val="0"/>
                <w:sz w:val="18"/>
              </w:rPr>
              <w:t>0% for the first 5 years; 10% thereafter</w:t>
            </w:r>
          </w:p>
        </w:tc>
      </w:tr>
    </w:tbl>
    <w:p>
      <w:r>
        <w:rPr>
          <w:b w:val="0"/>
        </w:rPr>
        <w:t>11(3a)(c) In respect of tax chargeable on dividends distributed by an industry established in a special economic zone, one hundred percent exemption shall be available for five years from the date of commencement of transaction and fifty percent exemption for the next three years.</w:t>
      </w:r>
    </w:p>
    <w:p>
      <w:r>
        <w:rPr>
          <w:b w:val="0"/>
        </w:rPr>
        <w:t>Thus, on dividends distributed by an industry established in a special economic zone, there is one hundred percent tax exemption for five years from the date of commencement of transaction, meaning that tax need not be withheld at source when paying dividends. In the sixth, seventh and eighth years, tax is chargeable at fifty percent of the tax otherwise chargeable, i.e., 2.5 percent; from the ninth year onward, tax is chargeable at the normal rate, i.e., 5 percent.</w:t>
      </w:r>
    </w:p>
    <w:p>
      <w:r>
        <w:rPr>
          <w:b w:val="0"/>
        </w:rPr>
        <w:t>11(3a)(d) A fifty percent exemption shall be available in the income tax chargeable on income derived by a foreign investor of an industry established in a special economic zone from foreign technology, management service charges and royalties.</w:t>
      </w:r>
    </w:p>
    <w:p>
      <w:r>
        <w:rPr>
          <w:b w:val="0"/>
        </w:rPr>
        <w:t>Under subsection (1) of section 88 of the Act, advance tax is required to be withheld at the rate of 15 percent on service charges such as royalties and technology and management fees, and under clause (r) of subsection (1) of section 92, such tax withheld on payment to a non-resident is treated as final withholding. However, in the case of such fees paid to a foreign investor of an industry established in a special economic zone, tax is chargeable only at the rate of 7.5 percent.</w:t>
      </w:r>
    </w:p>
    <w:p>
      <w:r>
        <w:rPr>
          <w:b w:val="0"/>
        </w:rPr>
        <w:t>11(3b) A person carrying on transactions for exploration and extraction of minerals, petroleum products, natural gas and fuel shall, if commercial operation is commenced by the end of Chaitra 2080, receive full income tax exemption for the first seven years from the date of commencement of transaction and fifty percent income tax exemption for the next three years.</w:t>
      </w:r>
    </w:p>
    <w:p>
      <w:r>
        <w:rPr>
          <w:b w:val="0"/>
        </w:rPr>
        <w:t>A business engaged in exploration and extraction of minerals, petroleum products, natural gas and fuel that starts commercial production within Chaitra 2080 receives full tax exemption for the first seven years from the commencement of transaction and fifty percent exemption for the next three years.</w:t>
      </w:r>
    </w:p>
    <w:p>
      <w:r>
        <w:rPr>
          <w:b w:val="0"/>
        </w:rPr>
        <w:t>11(3c) Fifty percent exemption shall be allowed in the tax chargeable on income of industries relating to operation of zoological parks, geological parks and biotechnology parks specified by the Government of Nepal by notification published in the Nepal Gazette, and on income of software development, data processing, cyber cafe and digital mapping industries established within technology parks and information technology parks.</w:t>
      </w:r>
    </w:p>
    <w:p>
      <w:r>
        <w:rPr>
          <w:b w:val="0"/>
        </w:rPr>
        <w:t>Where the Government of Nepal specifies, by publishing a notification in the Gazette, zoological, geological and biotechnology parks, technology parks and information technology parks, a fifty percent concession is available in the prevailing tax rate applicable to information-technology based industries established within such areas. For example, if an information technology industry is established in an area specified by the Government of Nepal by notification in the Gazette and earns income, the income is taxable only at the rate of 12.50 percent.</w:t>
      </w:r>
    </w:p>
    <w:p>
      <w:r>
        <w:rPr>
          <w:b w:val="0"/>
        </w:rPr>
        <w:t>11(3d) A person carrying on commercial transaction of electricity shall receive tax exemption as follows:</w:t>
      </w:r>
    </w:p>
    <w:p>
      <w:r>
        <w:rPr>
          <w:b w:val="0"/>
        </w:rPr>
        <w:t>(a) A person who has obtained a license and commences commercial production, transmission or distribution of electricity generated from hydropower, solar, wind or biomass by the end of Chaitra 2084 shall receive full income tax exemption for the first ten years from the date of commencement of commercial transaction and fifty percent income tax exemption for the next five years.</w:t>
      </w:r>
    </w:p>
    <w:p>
      <w:r>
        <w:rPr>
          <w:b w:val="0"/>
        </w:rPr>
        <w:t>Provided that, in the case of reservoir and semi-reservoir hydropower projects exceeding forty megawatts, whose financial closure is completed by the end of Chaitra 2085, and downstream hydropower projects operated in tandem with those projects, full income tax exemption shall be available for the first fifteen years and fifty percent income tax exemption for the next six years.</w:t>
      </w:r>
    </w:p>
    <w:p>
      <w:r>
        <w:rPr>
          <w:b w:val="0"/>
        </w:rPr>
        <w:t>(b) Notwithstanding anything contained in clause (a), in the case of licensed persons who had already commenced commercial production at the time this subsection came into force, the provision prevailing at the time of obtaining the license shall continue to apply.</w:t>
      </w:r>
    </w:p>
    <w:p>
      <w:r>
        <w:rPr>
          <w:b w:val="0"/>
        </w:rPr>
        <w:t>11(3e) In any income year, income from export from a source in Nepal shall receive tax exemption as follows:</w:t>
      </w:r>
    </w:p>
    <w:p>
      <w:r>
        <w:rPr>
          <w:b w:val="0"/>
        </w:rPr>
        <w:t>(a) if tax is chargeable on the income of a resident natural person at the rate of twenty percent, twenty-five percent exemption in such tax; and if tax is chargeable at the rate of thirty percent, fifty percent exemption in such tax;</w:t>
      </w:r>
    </w:p>
    <w:p>
      <w:r>
        <w:rPr>
          <w:b w:val="0"/>
        </w:rPr>
        <w:t>(b) twenty percent exemption in the tax chargeable on the income of an entity;</w:t>
      </w:r>
    </w:p>
    <w:p>
      <w:r>
        <w:rPr>
          <w:b w:val="0"/>
        </w:rPr>
        <w:t>(c) where foreign currency is earned by exporting information-technology based services including business process outsourcing, software programming and cloud computing, fifty percent exemption up to fiscal year 2084/85 in the tax chargeable on the income received in foreign currency.</w:t>
      </w:r>
    </w:p>
    <w:p>
      <w:r>
        <w:rPr>
          <w:b w:val="0"/>
        </w:rPr>
        <w:t>Where, in any income year, income from export from a source in Nepal of a resident natural person is taxed at the rate of twenty percent, the twenty-five percent exemption results in tax at the rate of 15 percent. Where such income is taxed at the rate of thirty percent, fifty percent exemption results in tax at the rate of 15 percent. In the case of income of an entity from export from a source in Nepal, twenty percent tax exemption results in tax at the rate of 20 percent.</w:t>
      </w:r>
    </w:p>
    <w:p>
      <w:r>
        <w:rPr>
          <w:b w:val="0"/>
        </w:rPr>
        <w:t>11(3f) Where any entity performs the following works and earns income therefrom, exemption in the tax chargeable for ten years from the date of commencement of commercial transaction shall be as follows:</w:t>
      </w:r>
    </w:p>
    <w:p>
      <w:r>
        <w:rPr>
          <w:b w:val="0"/>
        </w:rPr>
        <w:t>(a) forty percent if operating tram or trolley bus;</w:t>
      </w:r>
    </w:p>
    <w:p>
      <w:r>
        <w:rPr>
          <w:b w:val="0"/>
        </w:rPr>
        <w:t>(b) forty percent if constructing and operating ropeway, cable car or sky bridge;</w:t>
      </w:r>
    </w:p>
    <w:p>
      <w:r>
        <w:rPr>
          <w:b w:val="0"/>
        </w:rPr>
        <w:t>(c) fifty percent if constructing and operating road, bridge, tunnel road, tunnel, railway or airport.</w:t>
      </w:r>
    </w:p>
    <w:p>
      <w:r>
        <w:rPr>
          <w:b w:val="0"/>
        </w:rPr>
        <w:t>11(3g) Entities listed in the securities market, including manufacturing entities, tourism service entities, entities engaged in hydropower production, distribution and transmission, and entities referred to in subsection (3c) of section 11, shall receive a fifteen percent exemption in the tax chargeable.</w:t>
      </w:r>
    </w:p>
    <w:p>
      <w:r>
        <w:rPr>
          <w:b w:val="0"/>
        </w:rPr>
        <w:t>11(3j) Industries established in extremely underdeveloped and underdeveloped areas and producing fruit-based brandy, cider and wine shall receive income tax exemption of forty percent and twenty-five percent, respectively, for ten years from the date of commencement of transaction.</w:t>
      </w:r>
    </w:p>
    <w:p>
      <w:r>
        <w:rPr>
          <w:b w:val="0"/>
        </w:rPr>
        <w:t>11(3jh) A person shall receive a twenty-five percent exemption in the income tax rate chargeable on royalty income received from export of intellectual property.</w:t>
      </w:r>
    </w:p>
    <w:p>
      <w:r>
        <w:rPr>
          <w:b w:val="0"/>
        </w:rPr>
        <w:t>11(3ny) A person shall receive a fifty percent exemption in the income tax rate chargeable on income received from the sale by transfer of intellectual property.</w:t>
      </w:r>
    </w:p>
    <w:p>
      <w:r>
        <w:rPr>
          <w:b w:val="0"/>
        </w:rPr>
        <w:t>11(3t) Industries related to the tourism sector or airline companies operating international flights shall receive tax exemption as follows:</w:t>
      </w:r>
    </w:p>
    <w:p>
      <w:r>
        <w:rPr>
          <w:b w:val="0"/>
        </w:rPr>
        <w:t>(a) if established with capital investment exceeding one billion rupees, full exemption for five years from the date of commencement of transaction and fifty percent exemption in the income tax rate for the next three years;</w:t>
      </w:r>
    </w:p>
    <w:p>
      <w:r>
        <w:rPr>
          <w:b w:val="0"/>
        </w:rPr>
        <w:t>(b) if established with capital investment exceeding three billion rupees, full exemption for ten years from the date of commencement of transaction and fifty percent exemption in the income tax rate for the next five years;</w:t>
      </w:r>
    </w:p>
    <w:p>
      <w:r>
        <w:rPr>
          <w:b w:val="0"/>
        </w:rPr>
        <w:t>(c) if established with capital investment exceeding five billion rupees, full exemption for fifteen years from the date of commencement of transaction.</w:t>
      </w:r>
    </w:p>
    <w:p>
      <w:r>
        <w:rPr>
          <w:b w:val="0"/>
        </w:rPr>
        <w:t>11(3th) Where a special industry, information technology industry or industry related to the tourism sector capitalizes its accumulated profit into shares for the purpose of capacity expansion of the same industry, one hundred percent exemption shall be available in the dividend tax that would be chargeable on such capitalization as distribution of dividend.</w:t>
      </w:r>
    </w:p>
    <w:p>
      <w:r>
        <w:rPr>
          <w:b w:val="0"/>
        </w:rPr>
        <w:t>Explanation: For the purpose of this subsection, “information technology industry” means industries related to technology park, information technology park, biotech park, software development, data processing, digital mapping, business process outsourcing, data mining and cloud computing.</w:t>
      </w:r>
    </w:p>
    <w:p>
      <w:r>
        <w:rPr>
          <w:b w:val="0"/>
        </w:rPr>
        <w:t>Where a special industry, information technology industry or tourism-related industry capitalizes its accumulated profit for capacity expansion of the same industry, such capitalization is deemed to be dividend distribution; however, under clause (a) of subsection (2) of section 88 of the Act, dividend tax is not chargeable on such capitalization.</w:t>
      </w:r>
    </w:p>
    <w:p>
      <w:r>
        <w:rPr>
          <w:b w:val="0"/>
        </w:rPr>
        <w:t>11(3ḍ) Where a company operating as a private company with paid-up capital of fifty crore rupees or more is converted into a public company and carries on transaction, a ten percent exemption shall be available in the tax chargeable for three years from the date of such conversion into a public company.</w:t>
      </w:r>
    </w:p>
    <w:p>
      <w:r>
        <w:rPr>
          <w:b w:val="0"/>
        </w:rPr>
        <w:t>Provided that a company required to be incorporated as a public company under section 12 of the Companies Act, 2063 shall not be entitled to the facility under this subsection.</w:t>
      </w:r>
    </w:p>
    <w:p>
      <w:r>
        <w:rPr>
          <w:b w:val="0"/>
        </w:rPr>
        <w:t>11(3dh) A fifty percent exemption shall be allowed in the income tax rate chargeable on income earned from sale of products by industries producing and processing domestic tea, dairy industries transacting in dairy products and industries producing cloth.</w:t>
      </w:r>
    </w:p>
    <w:p>
      <w:r>
        <w:rPr>
          <w:b w:val="0"/>
        </w:rPr>
        <w:t>11(3n) A twenty percent exemption shall be available in the tax chargeable on taxable income of health institutions operated by community institutions.</w:t>
      </w:r>
    </w:p>
    <w:p>
      <w:r>
        <w:rPr>
          <w:b w:val="0"/>
        </w:rPr>
        <w:t>11(3ṭ) A micro enterprise shall be fully exempt from income tax for seven years from the date of commencement of business or transaction. If such micro enterprise is operated by a woman entrepreneur, full income tax exemption shall be available for an additional three years.</w:t>
      </w:r>
    </w:p>
    <w:p>
      <w:r>
        <w:rPr>
          <w:b w:val="0"/>
        </w:rPr>
        <w:t>11(3tḥ) In any income year, if an entity constructs and operates public infrastructure structures and transfers them to the Government of Nepal, or constructs, produces and transmits electricity, such entity shall receive a twenty percent exemption in the tax chargeable on its taxable income.</w:t>
      </w:r>
    </w:p>
    <w:p>
      <w:r>
        <w:rPr>
          <w:b w:val="0"/>
        </w:rPr>
        <w:t>11(3d) A special industry established or relocated in an industrial area or industrial village and operating there shall receive fifty percent exemption in the tax chargeable for three years from the date of commencement of production and twenty-five percent exemption for the next five years.</w:t>
      </w:r>
    </w:p>
    <w:p>
      <w:r>
        <w:rPr>
          <w:b w:val="0"/>
        </w:rPr>
        <w:t>A special industry established or relocated in an industrial area or industrial village and operating there is entitled to twenty-five percent exemption in the income tax rate for five years from the date on which the sale transaction of goods produced by it commences.</w:t>
      </w:r>
    </w:p>
    <w:p>
      <w:r>
        <w:rPr>
          <w:b w:val="0"/>
        </w:rPr>
        <w:t>11(3dḥ) Twenty percent exemption shall be allowed in the tax chargeable on income derived from selling domestically produced raw materials or auxiliary raw materials to a special industry.</w:t>
      </w:r>
    </w:p>
    <w:p>
      <w:r>
        <w:rPr>
          <w:b w:val="0"/>
        </w:rPr>
        <w:t>11(3ṇ) A startup business specified by the Department, using innovative knowledge, thinking, skill, technology, practice and method and having annual transaction up to one crore rupees, shall receive one hundred percent exemption in the tax chargeable for five years from the date of commencement of transaction.</w:t>
      </w:r>
    </w:p>
    <w:p>
      <w:r>
        <w:rPr>
          <w:b w:val="0"/>
        </w:rPr>
        <w:t>11(3p) If a special industry operating in the Kathmandu Valley is relocated outside the Kathmandu Valley and operated there, one hundred percent exemption shall be available in the tax chargeable for three years from the date of such relocation and operation, and fifty percent exemption for the next two years.</w:t>
      </w:r>
    </w:p>
    <w:p>
      <w:r>
        <w:rPr>
          <w:b w:val="0"/>
        </w:rPr>
        <w:t>11(3ph) An industry producing new goods by using only used goods that directly affect the environment as raw materials shall receive fifty percent exemption in the tax chargeable for the first three years from the date of commencement of transaction and twenty-five percent exemption for the next two years.</w:t>
      </w:r>
    </w:p>
    <w:p>
      <w:r>
        <w:rPr>
          <w:b w:val="0"/>
        </w:rPr>
        <w:t>11(3b) An industry producing health vaccines, oxygen gas and sanitary pads shall receive one hundred percent exemption in the tax chargeable for five years from the date of commencement of production and fifty percent exemption for the next two years.</w:t>
      </w:r>
    </w:p>
    <w:p>
      <w:r>
        <w:rPr>
          <w:b w:val="0"/>
        </w:rPr>
        <w:t>11(3bh) An industry established by the end of Ashadh 2082 for the purpose of producing and assembling electric vehicles shall receive forty percent exemption in the tax chargeable for five years from the date of commencement of transaction.</w:t>
      </w:r>
    </w:p>
    <w:p>
      <w:r>
        <w:rPr>
          <w:b w:val="0"/>
        </w:rPr>
        <w:t>11(3m) An industry established by the end of Ashadh 2082 for the purpose of producing agricultural tools shall receive one hundred percent exemption in the tax chargeable for five years from the date of commencement of transaction.</w:t>
      </w:r>
    </w:p>
    <w:p>
      <w:r>
        <w:rPr>
          <w:b w:val="0"/>
        </w:rPr>
        <w:t>11(4) Where any person carries on transactions that separately qualify for tax exemptions and concessions under this section, the income entitled to such concession shall be computed as if that income were received by separate persons.</w:t>
      </w:r>
    </w:p>
    <w:p>
      <w:r>
        <w:rPr>
          <w:b w:val="0"/>
        </w:rPr>
        <w:t>A person entitled to the exemption facility under section 11 of the Act must compute income by treating only that income as the income in question. That is, if such person also has other income, the facility is not available in respect of such other income. This is further clarified by the following example.</w:t>
      </w:r>
    </w:p>
    <w:p>
      <w:pPr>
        <w:pStyle w:val="Heading3"/>
      </w:pPr>
      <w:r>
        <w:rPr>
          <w:b w:val="0"/>
        </w:rPr>
        <w:t>Example 10.2.5</w:t>
      </w:r>
    </w:p>
    <w:p>
      <w:r>
        <w:rPr>
          <w:b w:val="0"/>
        </w:rPr>
        <w:t>Suppose Swastik Garment Industry Pvt. Ltd. has an industry in Kathmandu. Another unit of the same industry is also operating in Dhading, a less developed area. In fiscal year 2075/76, the transaction position of the two units of the company is as follows:</w:t>
      </w:r>
    </w:p>
    <w:p>
      <w:r>
        <w:rPr>
          <w:b w:val="0"/>
        </w:rPr>
        <w:t>Amount in Rs. thousands</w:t>
      </w:r>
    </w:p>
    <w:tbl>
      <w:tblPr>
        <w:tblStyle w:val="TableGrid"/>
        <w:tblW w:type="auto" w:w="0"/>
        <w:jc w:val="center"/>
        <w:tblLook w:firstColumn="1" w:firstRow="1" w:lastColumn="0" w:lastRow="0" w:noHBand="0" w:noVBand="1" w:val="04A0"/>
      </w:tblPr>
      <w:tblGrid>
        <w:gridCol w:w="2520"/>
        <w:gridCol w:w="2520"/>
        <w:gridCol w:w="2520"/>
        <w:gridCol w:w="2520"/>
      </w:tblGrid>
      <w:tr>
        <w:tc>
          <w:tcPr>
            <w:tcW w:type="dxa" w:w="3456"/>
            <w:vAlign w:val="center"/>
            <w:shd w:fill="D9EAF7"/>
          </w:tcPr>
          <w:p>
            <w:pPr>
              <w:jc w:val="center"/>
            </w:pPr>
            <w:r/>
            <w:r>
              <w:rPr>
                <w:b/>
                <w:sz w:val="18"/>
              </w:rPr>
              <w:t>Description</w:t>
            </w:r>
          </w:p>
        </w:tc>
        <w:tc>
          <w:tcPr>
            <w:tcW w:type="dxa" w:w="1872"/>
            <w:vAlign w:val="center"/>
            <w:shd w:fill="D9EAF7"/>
          </w:tcPr>
          <w:p>
            <w:pPr>
              <w:jc w:val="center"/>
            </w:pPr>
            <w:r/>
            <w:r>
              <w:rPr>
                <w:b/>
                <w:sz w:val="18"/>
              </w:rPr>
              <w:t>Kathmandu</w:t>
            </w:r>
          </w:p>
        </w:tc>
        <w:tc>
          <w:tcPr>
            <w:tcW w:type="dxa" w:w="1872"/>
            <w:vAlign w:val="center"/>
            <w:shd w:fill="D9EAF7"/>
          </w:tcPr>
          <w:p>
            <w:pPr>
              <w:jc w:val="center"/>
            </w:pPr>
            <w:r/>
            <w:r>
              <w:rPr>
                <w:b/>
                <w:sz w:val="18"/>
              </w:rPr>
              <w:t>Dhading</w:t>
            </w:r>
          </w:p>
        </w:tc>
        <w:tc>
          <w:tcPr>
            <w:tcW w:type="dxa" w:w="1872"/>
            <w:vAlign w:val="center"/>
            <w:shd w:fill="D9EAF7"/>
          </w:tcPr>
          <w:p>
            <w:pPr>
              <w:jc w:val="center"/>
            </w:pPr>
            <w:r/>
            <w:r>
              <w:rPr>
                <w:b/>
                <w:sz w:val="18"/>
              </w:rPr>
              <w:t>Total</w:t>
            </w:r>
          </w:p>
        </w:tc>
      </w:tr>
      <w:tr>
        <w:tc>
          <w:tcPr>
            <w:tcW w:type="dxa" w:w="3456"/>
            <w:vAlign w:val="center"/>
          </w:tcPr>
          <w:p>
            <w:pPr>
              <w:jc w:val="center"/>
            </w:pPr>
            <w:r/>
            <w:r>
              <w:rPr>
                <w:b w:val="0"/>
                <w:sz w:val="18"/>
              </w:rPr>
              <w:t>Sales</w:t>
            </w:r>
          </w:p>
        </w:tc>
        <w:tc>
          <w:tcPr>
            <w:tcW w:type="dxa" w:w="1872"/>
            <w:vAlign w:val="center"/>
          </w:tcPr>
          <w:p>
            <w:pPr>
              <w:jc w:val="center"/>
            </w:pPr>
            <w:r/>
            <w:r>
              <w:rPr>
                <w:b w:val="0"/>
                <w:sz w:val="18"/>
              </w:rPr>
              <w:t>210,000</w:t>
            </w:r>
          </w:p>
        </w:tc>
        <w:tc>
          <w:tcPr>
            <w:tcW w:type="dxa" w:w="1872"/>
            <w:vAlign w:val="center"/>
          </w:tcPr>
          <w:p>
            <w:pPr>
              <w:jc w:val="center"/>
            </w:pPr>
            <w:r/>
            <w:r>
              <w:rPr>
                <w:b w:val="0"/>
                <w:sz w:val="18"/>
              </w:rPr>
              <w:t>140,000</w:t>
            </w:r>
          </w:p>
        </w:tc>
        <w:tc>
          <w:tcPr>
            <w:tcW w:type="dxa" w:w="1872"/>
            <w:vAlign w:val="center"/>
          </w:tcPr>
          <w:p>
            <w:pPr>
              <w:jc w:val="center"/>
            </w:pPr>
            <w:r/>
            <w:r>
              <w:rPr>
                <w:b w:val="0"/>
                <w:sz w:val="18"/>
              </w:rPr>
              <w:t>350,000</w:t>
            </w:r>
          </w:p>
        </w:tc>
      </w:tr>
      <w:tr>
        <w:tc>
          <w:tcPr>
            <w:tcW w:type="dxa" w:w="3456"/>
            <w:vAlign w:val="center"/>
          </w:tcPr>
          <w:p>
            <w:pPr>
              <w:jc w:val="center"/>
            </w:pPr>
            <w:r/>
            <w:r>
              <w:rPr>
                <w:b w:val="0"/>
                <w:sz w:val="18"/>
              </w:rPr>
              <w:t>Cost of sales</w:t>
            </w:r>
          </w:p>
        </w:tc>
        <w:tc>
          <w:tcPr>
            <w:tcW w:type="dxa" w:w="1872"/>
            <w:vAlign w:val="center"/>
          </w:tcPr>
          <w:p>
            <w:pPr>
              <w:jc w:val="center"/>
            </w:pPr>
            <w:r/>
            <w:r>
              <w:rPr>
                <w:b w:val="0"/>
                <w:sz w:val="18"/>
              </w:rPr>
              <w:t>150,000</w:t>
            </w:r>
          </w:p>
        </w:tc>
        <w:tc>
          <w:tcPr>
            <w:tcW w:type="dxa" w:w="1872"/>
            <w:vAlign w:val="center"/>
          </w:tcPr>
          <w:p>
            <w:pPr>
              <w:jc w:val="center"/>
            </w:pPr>
            <w:r/>
            <w:r>
              <w:rPr>
                <w:b w:val="0"/>
                <w:sz w:val="18"/>
              </w:rPr>
              <w:t>125,000</w:t>
            </w:r>
          </w:p>
        </w:tc>
        <w:tc>
          <w:tcPr>
            <w:tcW w:type="dxa" w:w="1872"/>
            <w:vAlign w:val="center"/>
          </w:tcPr>
          <w:p>
            <w:pPr>
              <w:jc w:val="center"/>
            </w:pPr>
            <w:r/>
            <w:r>
              <w:rPr>
                <w:b w:val="0"/>
                <w:sz w:val="18"/>
              </w:rPr>
              <w:t>275,000</w:t>
            </w:r>
          </w:p>
        </w:tc>
      </w:tr>
      <w:tr>
        <w:tc>
          <w:tcPr>
            <w:tcW w:type="dxa" w:w="3456"/>
            <w:vAlign w:val="center"/>
          </w:tcPr>
          <w:p>
            <w:pPr>
              <w:jc w:val="center"/>
            </w:pPr>
            <w:r/>
            <w:r>
              <w:rPr>
                <w:b w:val="0"/>
                <w:sz w:val="18"/>
              </w:rPr>
              <w:t>Operating expenses</w:t>
            </w:r>
          </w:p>
        </w:tc>
        <w:tc>
          <w:tcPr>
            <w:tcW w:type="dxa" w:w="1872"/>
            <w:vAlign w:val="center"/>
          </w:tcPr>
          <w:p>
            <w:pPr>
              <w:jc w:val="center"/>
            </w:pPr>
            <w:r/>
            <w:r>
              <w:rPr>
                <w:b w:val="0"/>
                <w:sz w:val="18"/>
              </w:rPr>
              <w:t>10,000</w:t>
            </w:r>
          </w:p>
        </w:tc>
        <w:tc>
          <w:tcPr>
            <w:tcW w:type="dxa" w:w="1872"/>
            <w:vAlign w:val="center"/>
          </w:tcPr>
          <w:p>
            <w:pPr>
              <w:jc w:val="center"/>
            </w:pPr>
            <w:r/>
            <w:r>
              <w:rPr>
                <w:b w:val="0"/>
                <w:sz w:val="18"/>
              </w:rPr>
              <w:t>8,000</w:t>
            </w:r>
          </w:p>
        </w:tc>
        <w:tc>
          <w:tcPr>
            <w:tcW w:type="dxa" w:w="1872"/>
            <w:vAlign w:val="center"/>
          </w:tcPr>
          <w:p>
            <w:pPr>
              <w:jc w:val="center"/>
            </w:pPr>
            <w:r/>
            <w:r>
              <w:rPr>
                <w:b w:val="0"/>
                <w:sz w:val="18"/>
              </w:rPr>
              <w:t>18,000</w:t>
            </w:r>
          </w:p>
        </w:tc>
      </w:tr>
    </w:tbl>
    <w:p>
      <w:r>
        <w:rPr>
          <w:b w:val="0"/>
        </w:rPr>
        <w:t>Apart from the expenses separately disclosed in the above accounts, the company has incurred centralized indirect expenses of Rs. 500,000. The tax liability of the company for fiscal year 2075/76 should be computed as follows:</w:t>
      </w:r>
    </w:p>
    <w:p>
      <w:r>
        <w:rPr>
          <w:b w:val="0"/>
        </w:rPr>
        <w:t>Amount in Rs. thousands</w:t>
      </w:r>
    </w:p>
    <w:tbl>
      <w:tblPr>
        <w:tblStyle w:val="TableGrid"/>
        <w:tblW w:type="auto" w:w="0"/>
        <w:jc w:val="center"/>
        <w:tblLook w:firstColumn="1" w:firstRow="1" w:lastColumn="0" w:lastRow="0" w:noHBand="0" w:noVBand="1" w:val="04A0"/>
      </w:tblPr>
      <w:tblGrid>
        <w:gridCol w:w="2520"/>
        <w:gridCol w:w="2520"/>
        <w:gridCol w:w="2520"/>
        <w:gridCol w:w="2520"/>
      </w:tblGrid>
      <w:tr>
        <w:tc>
          <w:tcPr>
            <w:tcW w:type="dxa" w:w="4896"/>
            <w:vAlign w:val="center"/>
            <w:shd w:fill="D9EAF7"/>
          </w:tcPr>
          <w:p>
            <w:pPr>
              <w:jc w:val="center"/>
            </w:pPr>
            <w:r/>
            <w:r>
              <w:rPr>
                <w:b/>
                <w:sz w:val="18"/>
              </w:rPr>
              <w:t>Description</w:t>
            </w:r>
          </w:p>
        </w:tc>
        <w:tc>
          <w:tcPr>
            <w:tcW w:type="dxa" w:w="1584"/>
            <w:vAlign w:val="center"/>
            <w:shd w:fill="D9EAF7"/>
          </w:tcPr>
          <w:p>
            <w:pPr>
              <w:jc w:val="center"/>
            </w:pPr>
            <w:r/>
            <w:r>
              <w:rPr>
                <w:b/>
                <w:sz w:val="18"/>
              </w:rPr>
              <w:t>Kathmandu</w:t>
            </w:r>
          </w:p>
        </w:tc>
        <w:tc>
          <w:tcPr>
            <w:tcW w:type="dxa" w:w="1584"/>
            <w:vAlign w:val="center"/>
            <w:shd w:fill="D9EAF7"/>
          </w:tcPr>
          <w:p>
            <w:pPr>
              <w:jc w:val="center"/>
            </w:pPr>
            <w:r/>
            <w:r>
              <w:rPr>
                <w:b/>
                <w:sz w:val="18"/>
              </w:rPr>
              <w:t>Dhading</w:t>
            </w:r>
          </w:p>
        </w:tc>
        <w:tc>
          <w:tcPr>
            <w:tcW w:type="dxa" w:w="1584"/>
            <w:vAlign w:val="center"/>
            <w:shd w:fill="D9EAF7"/>
          </w:tcPr>
          <w:p>
            <w:pPr>
              <w:jc w:val="center"/>
            </w:pPr>
            <w:r/>
            <w:r>
              <w:rPr>
                <w:b/>
                <w:sz w:val="18"/>
              </w:rPr>
              <w:t>Total</w:t>
            </w:r>
          </w:p>
        </w:tc>
      </w:tr>
      <w:tr>
        <w:tc>
          <w:tcPr>
            <w:tcW w:type="dxa" w:w="4896"/>
            <w:vAlign w:val="center"/>
          </w:tcPr>
          <w:p>
            <w:pPr>
              <w:jc w:val="center"/>
            </w:pPr>
            <w:r/>
            <w:r>
              <w:rPr>
                <w:b w:val="0"/>
                <w:sz w:val="18"/>
              </w:rPr>
              <w:t>Sales</w:t>
            </w:r>
          </w:p>
        </w:tc>
        <w:tc>
          <w:tcPr>
            <w:tcW w:type="dxa" w:w="1584"/>
            <w:vAlign w:val="center"/>
          </w:tcPr>
          <w:p>
            <w:pPr>
              <w:jc w:val="center"/>
            </w:pPr>
            <w:r/>
            <w:r>
              <w:rPr>
                <w:b w:val="0"/>
                <w:sz w:val="18"/>
              </w:rPr>
              <w:t>210,000</w:t>
            </w:r>
          </w:p>
        </w:tc>
        <w:tc>
          <w:tcPr>
            <w:tcW w:type="dxa" w:w="1584"/>
            <w:vAlign w:val="center"/>
          </w:tcPr>
          <w:p>
            <w:pPr>
              <w:jc w:val="center"/>
            </w:pPr>
            <w:r/>
            <w:r>
              <w:rPr>
                <w:b w:val="0"/>
                <w:sz w:val="18"/>
              </w:rPr>
              <w:t>140,000</w:t>
            </w:r>
          </w:p>
        </w:tc>
        <w:tc>
          <w:tcPr>
            <w:tcW w:type="dxa" w:w="1584"/>
            <w:vAlign w:val="center"/>
          </w:tcPr>
          <w:p>
            <w:pPr>
              <w:jc w:val="center"/>
            </w:pPr>
            <w:r/>
            <w:r>
              <w:rPr>
                <w:b w:val="0"/>
                <w:sz w:val="18"/>
              </w:rPr>
              <w:t>350,000</w:t>
            </w:r>
          </w:p>
        </w:tc>
      </w:tr>
      <w:tr>
        <w:tc>
          <w:tcPr>
            <w:tcW w:type="dxa" w:w="4896"/>
            <w:vAlign w:val="center"/>
          </w:tcPr>
          <w:p>
            <w:pPr>
              <w:jc w:val="center"/>
            </w:pPr>
            <w:r/>
            <w:r>
              <w:rPr>
                <w:b w:val="0"/>
                <w:sz w:val="18"/>
              </w:rPr>
              <w:t>Less: Cost of sales</w:t>
            </w:r>
          </w:p>
        </w:tc>
        <w:tc>
          <w:tcPr>
            <w:tcW w:type="dxa" w:w="1584"/>
            <w:vAlign w:val="center"/>
          </w:tcPr>
          <w:p>
            <w:pPr>
              <w:jc w:val="center"/>
            </w:pPr>
            <w:r/>
            <w:r>
              <w:rPr>
                <w:b w:val="0"/>
                <w:sz w:val="18"/>
              </w:rPr>
              <w:t>150,000</w:t>
            </w:r>
          </w:p>
        </w:tc>
        <w:tc>
          <w:tcPr>
            <w:tcW w:type="dxa" w:w="1584"/>
            <w:vAlign w:val="center"/>
          </w:tcPr>
          <w:p>
            <w:pPr>
              <w:jc w:val="center"/>
            </w:pPr>
            <w:r/>
            <w:r>
              <w:rPr>
                <w:b w:val="0"/>
                <w:sz w:val="18"/>
              </w:rPr>
              <w:t>125,000</w:t>
            </w:r>
          </w:p>
        </w:tc>
        <w:tc>
          <w:tcPr>
            <w:tcW w:type="dxa" w:w="1584"/>
            <w:vAlign w:val="center"/>
          </w:tcPr>
          <w:p>
            <w:pPr>
              <w:jc w:val="center"/>
            </w:pPr>
            <w:r/>
            <w:r>
              <w:rPr>
                <w:b w:val="0"/>
                <w:sz w:val="18"/>
              </w:rPr>
              <w:t>275,000</w:t>
            </w:r>
          </w:p>
        </w:tc>
      </w:tr>
      <w:tr>
        <w:tc>
          <w:tcPr>
            <w:tcW w:type="dxa" w:w="4896"/>
            <w:vAlign w:val="center"/>
          </w:tcPr>
          <w:p>
            <w:pPr>
              <w:jc w:val="center"/>
            </w:pPr>
            <w:r/>
            <w:r>
              <w:rPr>
                <w:b w:val="0"/>
                <w:sz w:val="18"/>
              </w:rPr>
              <w:t>Less: Operating expenses</w:t>
            </w:r>
          </w:p>
        </w:tc>
        <w:tc>
          <w:tcPr>
            <w:tcW w:type="dxa" w:w="1584"/>
            <w:vAlign w:val="center"/>
          </w:tcPr>
          <w:p>
            <w:pPr>
              <w:jc w:val="center"/>
            </w:pPr>
            <w:r/>
            <w:r>
              <w:rPr>
                <w:b w:val="0"/>
                <w:sz w:val="18"/>
              </w:rPr>
              <w:t>10,000</w:t>
            </w:r>
          </w:p>
        </w:tc>
        <w:tc>
          <w:tcPr>
            <w:tcW w:type="dxa" w:w="1584"/>
            <w:vAlign w:val="center"/>
          </w:tcPr>
          <w:p>
            <w:pPr>
              <w:jc w:val="center"/>
            </w:pPr>
            <w:r/>
            <w:r>
              <w:rPr>
                <w:b w:val="0"/>
                <w:sz w:val="18"/>
              </w:rPr>
              <w:t>8,000</w:t>
            </w:r>
          </w:p>
        </w:tc>
        <w:tc>
          <w:tcPr>
            <w:tcW w:type="dxa" w:w="1584"/>
            <w:vAlign w:val="center"/>
          </w:tcPr>
          <w:p>
            <w:pPr>
              <w:jc w:val="center"/>
            </w:pPr>
            <w:r/>
            <w:r>
              <w:rPr>
                <w:b w:val="0"/>
                <w:sz w:val="18"/>
              </w:rPr>
              <w:t>18,000</w:t>
            </w:r>
          </w:p>
        </w:tc>
      </w:tr>
      <w:tr>
        <w:tc>
          <w:tcPr>
            <w:tcW w:type="dxa" w:w="4896"/>
            <w:vAlign w:val="center"/>
          </w:tcPr>
          <w:p>
            <w:pPr>
              <w:jc w:val="left"/>
            </w:pPr>
            <w:r/>
            <w:r>
              <w:rPr>
                <w:b w:val="0"/>
                <w:sz w:val="18"/>
              </w:rPr>
              <w:t>Less: Other expenses (indirect expenses allocated in proportion to total sales)</w:t>
            </w:r>
          </w:p>
        </w:tc>
        <w:tc>
          <w:tcPr>
            <w:tcW w:type="dxa" w:w="1584"/>
            <w:vAlign w:val="center"/>
          </w:tcPr>
          <w:p>
            <w:pPr>
              <w:jc w:val="center"/>
            </w:pPr>
            <w:r/>
            <w:r>
              <w:rPr>
                <w:b w:val="0"/>
                <w:sz w:val="18"/>
              </w:rPr>
              <w:t>3,000</w:t>
            </w:r>
          </w:p>
        </w:tc>
        <w:tc>
          <w:tcPr>
            <w:tcW w:type="dxa" w:w="1584"/>
            <w:vAlign w:val="center"/>
          </w:tcPr>
          <w:p>
            <w:pPr>
              <w:jc w:val="center"/>
            </w:pPr>
            <w:r/>
            <w:r>
              <w:rPr>
                <w:b w:val="0"/>
                <w:sz w:val="18"/>
              </w:rPr>
              <w:t>2,000</w:t>
            </w:r>
          </w:p>
        </w:tc>
        <w:tc>
          <w:tcPr>
            <w:tcW w:type="dxa" w:w="1584"/>
            <w:vAlign w:val="center"/>
          </w:tcPr>
          <w:p>
            <w:pPr>
              <w:jc w:val="center"/>
            </w:pPr>
            <w:r/>
            <w:r>
              <w:rPr>
                <w:b w:val="0"/>
                <w:sz w:val="18"/>
              </w:rPr>
              <w:t>5,000</w:t>
            </w:r>
          </w:p>
        </w:tc>
      </w:tr>
      <w:tr>
        <w:tc>
          <w:tcPr>
            <w:tcW w:type="dxa" w:w="4896"/>
            <w:vAlign w:val="center"/>
          </w:tcPr>
          <w:p>
            <w:pPr>
              <w:jc w:val="center"/>
            </w:pPr>
            <w:r/>
            <w:r>
              <w:rPr>
                <w:b w:val="0"/>
                <w:sz w:val="18"/>
              </w:rPr>
              <w:t>Assessable income</w:t>
            </w:r>
          </w:p>
        </w:tc>
        <w:tc>
          <w:tcPr>
            <w:tcW w:type="dxa" w:w="1584"/>
            <w:vAlign w:val="center"/>
          </w:tcPr>
          <w:p>
            <w:pPr>
              <w:jc w:val="center"/>
            </w:pPr>
            <w:r/>
            <w:r>
              <w:rPr>
                <w:b w:val="0"/>
                <w:sz w:val="18"/>
              </w:rPr>
              <w:t>47,000</w:t>
            </w:r>
          </w:p>
        </w:tc>
        <w:tc>
          <w:tcPr>
            <w:tcW w:type="dxa" w:w="1584"/>
            <w:vAlign w:val="center"/>
          </w:tcPr>
          <w:p>
            <w:pPr>
              <w:jc w:val="center"/>
            </w:pPr>
            <w:r/>
            <w:r>
              <w:rPr>
                <w:b w:val="0"/>
                <w:sz w:val="18"/>
              </w:rPr>
              <w:t>5,000</w:t>
            </w:r>
          </w:p>
        </w:tc>
        <w:tc>
          <w:tcPr>
            <w:tcW w:type="dxa" w:w="1584"/>
            <w:vAlign w:val="center"/>
          </w:tcPr>
          <w:p>
            <w:pPr>
              <w:jc w:val="center"/>
            </w:pPr>
            <w:r/>
            <w:r>
              <w:rPr>
                <w:b w:val="0"/>
                <w:sz w:val="18"/>
              </w:rPr>
              <w:t>52,000</w:t>
            </w:r>
          </w:p>
        </w:tc>
      </w:tr>
      <w:tr>
        <w:tc>
          <w:tcPr>
            <w:tcW w:type="dxa" w:w="4896"/>
            <w:vAlign w:val="center"/>
          </w:tcPr>
          <w:p>
            <w:pPr>
              <w:jc w:val="center"/>
            </w:pPr>
            <w:r/>
            <w:r>
              <w:rPr>
                <w:b w:val="0"/>
                <w:sz w:val="18"/>
              </w:rPr>
              <w:t>Exemption</w:t>
            </w:r>
          </w:p>
        </w:tc>
        <w:tc>
          <w:tcPr>
            <w:tcW w:type="dxa" w:w="1584"/>
            <w:vAlign w:val="center"/>
          </w:tcPr>
          <w:p>
            <w:pPr>
              <w:jc w:val="center"/>
            </w:pPr>
            <w:r/>
            <w:r>
              <w:rPr>
                <w:b w:val="0"/>
                <w:sz w:val="18"/>
              </w:rPr>
              <w:t>-</w:t>
            </w:r>
          </w:p>
        </w:tc>
        <w:tc>
          <w:tcPr>
            <w:tcW w:type="dxa" w:w="1584"/>
            <w:vAlign w:val="center"/>
          </w:tcPr>
          <w:p>
            <w:pPr>
              <w:jc w:val="center"/>
            </w:pPr>
            <w:r/>
            <w:r>
              <w:rPr>
                <w:b w:val="0"/>
                <w:sz w:val="18"/>
              </w:rPr>
              <w:t>-</w:t>
            </w:r>
          </w:p>
        </w:tc>
        <w:tc>
          <w:tcPr>
            <w:tcW w:type="dxa" w:w="1584"/>
            <w:vAlign w:val="center"/>
          </w:tcPr>
          <w:p>
            <w:pPr>
              <w:jc w:val="center"/>
            </w:pPr>
            <w:r/>
            <w:r>
              <w:rPr>
                <w:b w:val="0"/>
                <w:sz w:val="18"/>
              </w:rPr>
              <w:t>-</w:t>
            </w:r>
          </w:p>
        </w:tc>
      </w:tr>
      <w:tr>
        <w:tc>
          <w:tcPr>
            <w:tcW w:type="dxa" w:w="4896"/>
            <w:vAlign w:val="center"/>
          </w:tcPr>
          <w:p>
            <w:pPr>
              <w:jc w:val="center"/>
            </w:pPr>
            <w:r/>
            <w:r>
              <w:rPr>
                <w:b w:val="0"/>
                <w:sz w:val="18"/>
              </w:rPr>
              <w:t>Taxable income</w:t>
            </w:r>
          </w:p>
        </w:tc>
        <w:tc>
          <w:tcPr>
            <w:tcW w:type="dxa" w:w="1584"/>
            <w:vAlign w:val="center"/>
          </w:tcPr>
          <w:p>
            <w:pPr>
              <w:jc w:val="center"/>
            </w:pPr>
            <w:r/>
            <w:r>
              <w:rPr>
                <w:b w:val="0"/>
                <w:sz w:val="18"/>
              </w:rPr>
              <w:t>47,000</w:t>
            </w:r>
          </w:p>
        </w:tc>
        <w:tc>
          <w:tcPr>
            <w:tcW w:type="dxa" w:w="1584"/>
            <w:vAlign w:val="center"/>
          </w:tcPr>
          <w:p>
            <w:pPr>
              <w:jc w:val="center"/>
            </w:pPr>
            <w:r/>
            <w:r>
              <w:rPr>
                <w:b w:val="0"/>
                <w:sz w:val="18"/>
              </w:rPr>
              <w:t>5,000</w:t>
            </w:r>
          </w:p>
        </w:tc>
        <w:tc>
          <w:tcPr>
            <w:tcW w:type="dxa" w:w="1584"/>
            <w:vAlign w:val="center"/>
          </w:tcPr>
          <w:p>
            <w:pPr>
              <w:jc w:val="center"/>
            </w:pPr>
            <w:r/>
            <w:r>
              <w:rPr>
                <w:b w:val="0"/>
                <w:sz w:val="18"/>
              </w:rPr>
              <w:t>52,000</w:t>
            </w:r>
          </w:p>
        </w:tc>
      </w:tr>
      <w:tr>
        <w:tc>
          <w:tcPr>
            <w:tcW w:type="dxa" w:w="4896"/>
            <w:vAlign w:val="center"/>
          </w:tcPr>
          <w:p>
            <w:pPr>
              <w:jc w:val="center"/>
            </w:pPr>
            <w:r/>
            <w:r>
              <w:rPr>
                <w:b w:val="0"/>
                <w:sz w:val="18"/>
              </w:rPr>
              <w:t>Applicable tax rate</w:t>
            </w:r>
          </w:p>
        </w:tc>
        <w:tc>
          <w:tcPr>
            <w:tcW w:type="dxa" w:w="1584"/>
            <w:vAlign w:val="center"/>
          </w:tcPr>
          <w:p>
            <w:pPr>
              <w:jc w:val="center"/>
            </w:pPr>
            <w:r/>
            <w:r>
              <w:rPr>
                <w:b w:val="0"/>
                <w:sz w:val="18"/>
              </w:rPr>
              <w:t>20%</w:t>
            </w:r>
          </w:p>
        </w:tc>
        <w:tc>
          <w:tcPr>
            <w:tcW w:type="dxa" w:w="1584"/>
            <w:vAlign w:val="center"/>
          </w:tcPr>
          <w:p>
            <w:pPr>
              <w:jc w:val="center"/>
            </w:pPr>
            <w:r/>
            <w:r>
              <w:rPr>
                <w:b w:val="0"/>
                <w:sz w:val="18"/>
              </w:rPr>
              <w:t>6%</w:t>
            </w:r>
          </w:p>
        </w:tc>
        <w:tc>
          <w:tcPr>
            <w:tcW w:type="dxa" w:w="1584"/>
            <w:vAlign w:val="center"/>
          </w:tcPr>
          <w:p>
            <w:pPr>
              <w:jc w:val="center"/>
            </w:pPr>
            <w:r/>
            <w:r>
              <w:rPr>
                <w:b w:val="0"/>
                <w:sz w:val="18"/>
              </w:rPr>
            </w:r>
          </w:p>
        </w:tc>
      </w:tr>
      <w:tr>
        <w:tc>
          <w:tcPr>
            <w:tcW w:type="dxa" w:w="4896"/>
            <w:vAlign w:val="center"/>
          </w:tcPr>
          <w:p>
            <w:pPr>
              <w:jc w:val="center"/>
            </w:pPr>
            <w:r/>
            <w:r>
              <w:rPr>
                <w:b w:val="0"/>
                <w:sz w:val="18"/>
              </w:rPr>
              <w:t>Tax amount</w:t>
            </w:r>
          </w:p>
        </w:tc>
        <w:tc>
          <w:tcPr>
            <w:tcW w:type="dxa" w:w="1584"/>
            <w:vAlign w:val="center"/>
          </w:tcPr>
          <w:p>
            <w:pPr>
              <w:jc w:val="center"/>
            </w:pPr>
            <w:r/>
            <w:r>
              <w:rPr>
                <w:b w:val="0"/>
                <w:sz w:val="18"/>
              </w:rPr>
              <w:t>9,400</w:t>
            </w:r>
          </w:p>
        </w:tc>
        <w:tc>
          <w:tcPr>
            <w:tcW w:type="dxa" w:w="1584"/>
            <w:vAlign w:val="center"/>
          </w:tcPr>
          <w:p>
            <w:pPr>
              <w:jc w:val="center"/>
            </w:pPr>
            <w:r/>
            <w:r>
              <w:rPr>
                <w:b w:val="0"/>
                <w:sz w:val="18"/>
              </w:rPr>
              <w:t>300</w:t>
            </w:r>
          </w:p>
        </w:tc>
        <w:tc>
          <w:tcPr>
            <w:tcW w:type="dxa" w:w="1584"/>
            <w:vAlign w:val="center"/>
          </w:tcPr>
          <w:p>
            <w:pPr>
              <w:jc w:val="center"/>
            </w:pPr>
            <w:r/>
            <w:r>
              <w:rPr>
                <w:b w:val="0"/>
                <w:sz w:val="18"/>
              </w:rPr>
              <w:t>9,700</w:t>
            </w:r>
          </w:p>
        </w:tc>
      </w:tr>
    </w:tbl>
    <w:p>
      <w:r>
        <w:rPr>
          <w:b w:val="0"/>
        </w:rPr>
        <w:t>Thus, the exemption in the rate of tax as above is available only on the income of the special industry situated in a less developed area. If one unit incurs a loss, that loss cannot be adjusted against the income of another unit. While computing tax, the income computation forms of the company must be filled separately.</w:t>
      </w:r>
    </w:p>
    <w:p>
      <w:r>
        <w:rPr>
          <w:b w:val="0"/>
        </w:rPr>
        <w:t>11(5) Where, in respect of the same income, a person is eligible for more than one exemption under this section, the person shall be entitled to only one exemption chosen by the person, in addition to the facility under subsection (2b).</w:t>
      </w:r>
    </w:p>
    <w:p>
      <w:r>
        <w:rPr>
          <w:b w:val="0"/>
        </w:rPr>
        <w:t>If a person is eligible for more than one facility among the exemptions under the subsections of this section, the person is entitled to only one exemption chosen by that person. For example, under clause (a) of subsection (3) of section 11, a special industry providing direct employment to 100 or more persons throughout the year is entitled to a 10 percent exemption in the tax rate; and under clause (b) of subsection (3) of section 11, if such industry is operated in an extremely underdeveloped area, it is entitled to a 90 percent exemption in the tax rate. In such a case, that person may choose only one of the exemptions under clause (a) or clause (b) of subsection (3) of section 11. This is further clarified by the following example.</w:t>
      </w:r>
    </w:p>
    <w:p>
      <w:pPr>
        <w:pStyle w:val="Heading3"/>
      </w:pPr>
      <w:r>
        <w:rPr>
          <w:b w:val="0"/>
        </w:rPr>
        <w:t>Example 10.2.6</w:t>
      </w:r>
    </w:p>
    <w:p>
      <w:r>
        <w:rPr>
          <w:b w:val="0"/>
        </w:rPr>
        <w:t>Suppose that, in the Dhading unit of Swastik Garment Industry Pvt. Ltd. mentioned in Example 10.2.5 above, more than 100 Nepali workers worked throughout the year and, among them, more than 33 percent were women, Dalits or persons with disabilities. In such a case, the company may choose only one facility: either the facility available to an industry providing employment above the prescribed number under section 11(3)(a) of the Act (19 percent tax exemption in the applicable rate) or the facility available to an industry operated in a less developed area under section 11(3)(b) of the Act (70 percent tax exemption in the applicable rate).</w:t>
      </w:r>
    </w:p>
    <w:p>
      <w:r>
        <w:rPr>
          <w:b w:val="0"/>
        </w:rPr>
        <w:t>11(6) Notwithstanding anything contained in subsection (3), where assets used to operate an industry under clause (b) of that subsection had previously been used by another person to operate an industry of the same kind, the period of such previous use shall also be counted when calculating the time limit under that subsection.</w:t>
      </w:r>
    </w:p>
    <w:p>
      <w:r>
        <w:rPr>
          <w:b w:val="0"/>
        </w:rPr>
        <w:t>Where income tax exemption is provided to an industry and such concession is subject to a time limit, if the assets used for operating the industry are old assets, the time limit is counted from the previous period of use. This is clarified by the following example.</w:t>
      </w:r>
    </w:p>
    <w:p>
      <w:pPr>
        <w:pStyle w:val="Heading3"/>
      </w:pPr>
      <w:r>
        <w:rPr>
          <w:b w:val="0"/>
        </w:rPr>
        <w:t>Example 10.2.7</w:t>
      </w:r>
    </w:p>
    <w:p>
      <w:r>
        <w:rPr>
          <w:b w:val="0"/>
        </w:rPr>
        <w:t>If the assets used for operating the industry in the Dhading unit of Swastik Garment Industry Pvt. Ltd. mentioned in Example 10.2.5 above were new assets, the exemption facility under clause (b) of subsection (3) of section 11 of the Act would be available for ten years. However, if those assets had already been used for three years by another person to operate a similar industry, the Dhading unit of the company would receive the exemption facility only for the remaining period, i.e., seven years.</w:t>
      </w:r>
    </w:p>
    <w:p>
      <w:r>
        <w:rPr>
          <w:b w:val="0"/>
        </w:rPr>
        <w:t>Explanation: For the purpose of this section:</w:t>
      </w:r>
    </w:p>
    <w:p>
      <w:r>
        <w:rPr>
          <w:b w:val="0"/>
        </w:rPr>
        <w:t>(a) “Agricultural business” means the business of producing crops from public or private land or receiving rent or crop from a tenant who uses land.</w:t>
      </w:r>
    </w:p>
    <w:p>
      <w:r>
        <w:rPr>
          <w:b w:val="0"/>
        </w:rPr>
        <w:t>(b) “Extremely underdeveloped”, “underdeveloped” and “less developed area” mean the areas referred to in Schedule 10 of the Industrial Enterprises Act, 2076. The list of “extremely underdeveloped”, “underdeveloped” and “less developed areas” referred to in Schedule 10 of the Industrial Enterprises Act, 2076 is given in Schedule 2(a) of this Directive.</w:t>
      </w:r>
    </w:p>
    <w:p>
      <w:r>
        <w:rPr>
          <w:b w:val="0"/>
        </w:rPr>
        <w:t>(c) “Special industry” means manufacturing, agriculture and forest-based, and mineral industries classified under subsection (2) of section 17 of the Industrial Enterprises Act, 2076, other than industries producing cigarettes, bidi, cigar, chewing tobacco, khaini, gutkha, pan masala and other similar products whose main raw material is tobacco, liquor, beer and similar goods.</w:t>
      </w:r>
    </w:p>
    <w:p>
      <w:r>
        <w:rPr>
          <w:b w:val="0"/>
        </w:rPr>
        <w:t>(d) “Micro enterprise” means a “micro enterprise” classified under clause (a) of subsection (1) of section 17 of the Industrial Enterprises Act, 2076.</w:t>
      </w:r>
    </w:p>
    <w:p>
      <w:r>
        <w:rPr>
          <w:b w:val="0"/>
        </w:rPr>
        <w:t>11(7) Notwithstanding anything contained in subsections (3a) and (3c), if the assets used to operate the industry or business referred to in those subsections are old assets previously used by another person to operate the same kind or any other kind of industry or business, the facility under those subsections shall not be available.</w:t>
      </w:r>
    </w:p>
    <w:p>
      <w:r>
        <w:rPr>
          <w:b w:val="0"/>
        </w:rPr>
        <w:t>In the case of an industry established in a special economic zone under subsection (3a) of section 11 and an industry operated within an information park under subsection (3c) of section 11, the facility is not available if such industry is operated by using assets already used by another person or assets previously used elsewhere. In other words, the facility is not available to industries in an information park or a special economic zone that transfer machinery, tools and plant from elsewhere and use the same assets.</w:t>
      </w:r>
    </w:p>
    <w:p>
      <w:pPr>
        <w:pStyle w:val="Heading2"/>
      </w:pPr>
      <w:r>
        <w:rPr>
          <w:b w:val="0"/>
        </w:rPr>
        <w:t>10.3 Infrastructure Structure Exemption and Concession</w:t>
      </w:r>
    </w:p>
    <w:p>
      <w:r>
        <w:rPr>
          <w:b w:val="0"/>
        </w:rPr>
        <w:t>Section 11A of the Act provides for tax applicable to the construction and operation of infrastructure structures as follows:</w:t>
      </w:r>
    </w:p>
    <w:p>
      <w:r>
        <w:rPr>
          <w:b w:val="0"/>
        </w:rPr>
        <w:t>11A. Tax on construction and operation of infrastructure structure: Where an agreement has been entered into between the Government of Nepal and any person for the construction and operation of an infrastructure structure, the person constructing and operating such infrastructure shall be entitled to enjoy, throughout the agreement period, the tax facilities provided by the Act prevailing at the time of entering into such agreement.</w:t>
      </w:r>
    </w:p>
    <w:p>
      <w:r>
        <w:rPr>
          <w:b w:val="0"/>
        </w:rPr>
        <w:t>Where the Government of Nepal enters into an agreement with any person for the construction and operation of an infrastructure structure, the tax provisions and facilities prevailing at the time of the agreement, such as the tax rate and facilities, depreciation deduction provisions, loss deduction and other provisions, may be enjoyed by the person constructing and operating such infrastructure throughout the agreement period even if the Act is amended in later years.</w:t>
      </w:r>
    </w:p>
    <w:p>
      <w:pPr>
        <w:pStyle w:val="Heading2"/>
      </w:pPr>
      <w:r>
        <w:rPr>
          <w:b w:val="0"/>
        </w:rPr>
        <w:t>10.4 Donation and Gift</w:t>
      </w:r>
    </w:p>
    <w:p>
      <w:r>
        <w:rPr>
          <w:b w:val="0"/>
        </w:rPr>
        <w:t>Section 12 of the Act provides as follows in relation to claiming deduction for donations and gifts given to tax-exempt institutions:</w:t>
      </w:r>
    </w:p>
    <w:p>
      <w:r>
        <w:rPr>
          <w:b w:val="0"/>
        </w:rPr>
        <w:t>12(1) A person may, while computing taxable income for any income year, claim deduction of the amount of donation or gift given to a tax-exempt institution approved by the Department for the purpose of this section.</w:t>
      </w:r>
    </w:p>
    <w:p>
      <w:r>
        <w:rPr>
          <w:b w:val="0"/>
        </w:rPr>
        <w:t>Generally, donation and gift mean payments made without expectation of consideration. Such amount may be claimed as deduction for income tax purposes only if the donation or gift is paid to a tax-exempt institution.</w:t>
      </w:r>
    </w:p>
    <w:p>
      <w:r>
        <w:rPr>
          <w:b w:val="0"/>
        </w:rPr>
        <w:t>12(2) Notwithstanding anything contained in subsection (1), the expenditure deductible in any income year under that subsection shall not exceed one hundred thousand rupees or five percent of the adjusted taxable income of that person for that year, whichever is lower.</w:t>
      </w:r>
    </w:p>
    <w:p>
      <w:r>
        <w:rPr>
          <w:b w:val="0"/>
        </w:rPr>
        <w:t>Clause (an1) of section 2 of the Act defines adjusted taxable income as follows:</w:t>
      </w:r>
    </w:p>
    <w:p>
      <w:r>
        <w:rPr>
          <w:b w:val="0"/>
        </w:rPr>
        <w:t>“Adjusted taxable income” means, in computing the taxable income of any person for any income year, the taxable income computed without deducting any amount under sections 12, 12A, 12B and 12C and without making any deduction under subsection (2) of section 14, section 17 or section 18.</w:t>
      </w:r>
    </w:p>
    <w:p>
      <w:r>
        <w:rPr>
          <w:b w:val="0"/>
        </w:rPr>
        <w:t>When claiming donation expenditure as a deduction for income tax purposes, only the lowest of five percent of adjusted taxable income, one hundred thousand rupees, or the actual payment may be claimed. For the purpose of donation expenditure, while computing adjusted taxable income, amounts treated as expenditure under sections 14(2), 17 and 18 must be allowed as deductions.</w:t>
      </w:r>
    </w:p>
    <w:p>
      <w:pPr>
        <w:pStyle w:val="Heading3"/>
      </w:pPr>
      <w:r>
        <w:rPr>
          <w:b w:val="0"/>
        </w:rPr>
        <w:t>Example 10.4.1</w:t>
      </w:r>
    </w:p>
    <w:p>
      <w:r>
        <w:rPr>
          <w:b w:val="0"/>
        </w:rPr>
        <w:t>Suppose the transaction position of Swastik Nepal Pvt. Ltd. for fiscal year 2075/76 is as follows:</w:t>
      </w:r>
    </w:p>
    <w:tbl>
      <w:tblPr>
        <w:tblStyle w:val="TableGrid"/>
        <w:tblW w:type="auto" w:w="0"/>
        <w:jc w:val="center"/>
        <w:tblLook w:firstColumn="1" w:firstRow="1" w:lastColumn="0" w:lastRow="0" w:noHBand="0" w:noVBand="1" w:val="04A0"/>
      </w:tblPr>
      <w:tblGrid>
        <w:gridCol w:w="5040"/>
        <w:gridCol w:w="5040"/>
      </w:tblGrid>
      <w:tr>
        <w:tc>
          <w:tcPr>
            <w:tcW w:type="dxa" w:w="5040"/>
            <w:vAlign w:val="center"/>
            <w:shd w:fill="D9EAF7"/>
          </w:tcPr>
          <w:p>
            <w:pPr>
              <w:jc w:val="center"/>
            </w:pPr>
            <w:r/>
            <w:r>
              <w:rPr>
                <w:b/>
                <w:sz w:val="18"/>
              </w:rPr>
              <w:t>Particulars</w:t>
            </w:r>
          </w:p>
        </w:tc>
        <w:tc>
          <w:tcPr>
            <w:tcW w:type="dxa" w:w="2880"/>
            <w:vAlign w:val="center"/>
            <w:shd w:fill="D9EAF7"/>
          </w:tcPr>
          <w:p>
            <w:pPr>
              <w:jc w:val="center"/>
            </w:pPr>
            <w:r/>
            <w:r>
              <w:rPr>
                <w:b/>
                <w:sz w:val="18"/>
              </w:rPr>
              <w:t>Amount</w:t>
            </w:r>
          </w:p>
        </w:tc>
      </w:tr>
      <w:tr>
        <w:tc>
          <w:tcPr>
            <w:tcW w:type="dxa" w:w="5040"/>
            <w:vAlign w:val="center"/>
          </w:tcPr>
          <w:p>
            <w:pPr>
              <w:jc w:val="center"/>
            </w:pPr>
            <w:r/>
            <w:r>
              <w:rPr>
                <w:b w:val="0"/>
                <w:sz w:val="18"/>
              </w:rPr>
              <w:t>Sales</w:t>
            </w:r>
          </w:p>
        </w:tc>
        <w:tc>
          <w:tcPr>
            <w:tcW w:type="dxa" w:w="2880"/>
            <w:vAlign w:val="center"/>
          </w:tcPr>
          <w:p>
            <w:pPr>
              <w:jc w:val="center"/>
            </w:pPr>
            <w:r/>
            <w:r>
              <w:rPr>
                <w:b w:val="0"/>
                <w:sz w:val="18"/>
              </w:rPr>
              <w:t>Rs. 1,000,000</w:t>
            </w:r>
          </w:p>
        </w:tc>
      </w:tr>
      <w:tr>
        <w:tc>
          <w:tcPr>
            <w:tcW w:type="dxa" w:w="5040"/>
            <w:vAlign w:val="center"/>
          </w:tcPr>
          <w:p>
            <w:pPr>
              <w:jc w:val="center"/>
            </w:pPr>
            <w:r/>
            <w:r>
              <w:rPr>
                <w:b w:val="0"/>
                <w:sz w:val="18"/>
              </w:rPr>
              <w:t>Cost of sales</w:t>
            </w:r>
          </w:p>
        </w:tc>
        <w:tc>
          <w:tcPr>
            <w:tcW w:type="dxa" w:w="2880"/>
            <w:vAlign w:val="center"/>
          </w:tcPr>
          <w:p>
            <w:pPr>
              <w:jc w:val="center"/>
            </w:pPr>
            <w:r/>
            <w:r>
              <w:rPr>
                <w:b w:val="0"/>
                <w:sz w:val="18"/>
              </w:rPr>
              <w:t>Rs. 600,000</w:t>
            </w:r>
          </w:p>
        </w:tc>
      </w:tr>
      <w:tr>
        <w:tc>
          <w:tcPr>
            <w:tcW w:type="dxa" w:w="5040"/>
            <w:vAlign w:val="center"/>
          </w:tcPr>
          <w:p>
            <w:pPr>
              <w:jc w:val="center"/>
            </w:pPr>
            <w:r/>
            <w:r>
              <w:rPr>
                <w:b w:val="0"/>
                <w:sz w:val="18"/>
              </w:rPr>
              <w:t>Depreciation expense</w:t>
            </w:r>
          </w:p>
        </w:tc>
        <w:tc>
          <w:tcPr>
            <w:tcW w:type="dxa" w:w="2880"/>
            <w:vAlign w:val="center"/>
          </w:tcPr>
          <w:p>
            <w:pPr>
              <w:jc w:val="center"/>
            </w:pPr>
            <w:r/>
            <w:r>
              <w:rPr>
                <w:b w:val="0"/>
                <w:sz w:val="18"/>
              </w:rPr>
              <w:t>Rs. 50,000</w:t>
            </w:r>
          </w:p>
        </w:tc>
      </w:tr>
      <w:tr>
        <w:tc>
          <w:tcPr>
            <w:tcW w:type="dxa" w:w="5040"/>
            <w:vAlign w:val="center"/>
          </w:tcPr>
          <w:p>
            <w:pPr>
              <w:jc w:val="center"/>
            </w:pPr>
            <w:r/>
            <w:r>
              <w:rPr>
                <w:b w:val="0"/>
                <w:sz w:val="18"/>
              </w:rPr>
              <w:t>Other administrative expense</w:t>
            </w:r>
          </w:p>
        </w:tc>
        <w:tc>
          <w:tcPr>
            <w:tcW w:type="dxa" w:w="2880"/>
            <w:vAlign w:val="center"/>
          </w:tcPr>
          <w:p>
            <w:pPr>
              <w:jc w:val="center"/>
            </w:pPr>
            <w:r/>
            <w:r>
              <w:rPr>
                <w:b w:val="0"/>
                <w:sz w:val="18"/>
              </w:rPr>
              <w:t>Rs. 50,000</w:t>
            </w:r>
          </w:p>
        </w:tc>
      </w:tr>
      <w:tr>
        <w:tc>
          <w:tcPr>
            <w:tcW w:type="dxa" w:w="5040"/>
            <w:vAlign w:val="center"/>
          </w:tcPr>
          <w:p>
            <w:pPr>
              <w:jc w:val="center"/>
            </w:pPr>
            <w:r/>
            <w:r>
              <w:rPr>
                <w:b w:val="0"/>
                <w:sz w:val="18"/>
              </w:rPr>
              <w:t>Donation expense</w:t>
            </w:r>
          </w:p>
        </w:tc>
        <w:tc>
          <w:tcPr>
            <w:tcW w:type="dxa" w:w="2880"/>
            <w:vAlign w:val="center"/>
          </w:tcPr>
          <w:p>
            <w:pPr>
              <w:jc w:val="center"/>
            </w:pPr>
            <w:r/>
            <w:r>
              <w:rPr>
                <w:b w:val="0"/>
                <w:sz w:val="18"/>
              </w:rPr>
              <w:t>Rs. 15,000</w:t>
            </w:r>
          </w:p>
        </w:tc>
      </w:tr>
    </w:tbl>
    <w:p>
      <w:r>
        <w:rPr>
          <w:b w:val="0"/>
        </w:rPr>
        <w:t>The donation expense that the company may claim as deduction in that income year is as follows:</w:t>
      </w:r>
    </w:p>
    <w:p>
      <w:r>
        <w:br w:type="page"/>
      </w:r>
    </w:p>
    <w:tbl>
      <w:tblPr>
        <w:tblStyle w:val="TableGrid"/>
        <w:tblW w:type="auto" w:w="0"/>
        <w:jc w:val="center"/>
        <w:tblLook w:firstColumn="1" w:firstRow="1" w:lastColumn="0" w:lastRow="0" w:noHBand="0" w:noVBand="1" w:val="04A0"/>
      </w:tblPr>
      <w:tblGrid>
        <w:gridCol w:w="5040"/>
        <w:gridCol w:w="5040"/>
      </w:tblGrid>
      <w:tr>
        <w:tc>
          <w:tcPr>
            <w:tcW w:type="dxa" w:w="6048"/>
            <w:vAlign w:val="center"/>
            <w:shd w:fill="D9EAF7"/>
          </w:tcPr>
          <w:p>
            <w:pPr>
              <w:jc w:val="center"/>
            </w:pPr>
            <w:r/>
            <w:r>
              <w:rPr>
                <w:b/>
                <w:sz w:val="18"/>
              </w:rPr>
              <w:t>Particulars</w:t>
            </w:r>
          </w:p>
        </w:tc>
        <w:tc>
          <w:tcPr>
            <w:tcW w:type="dxa" w:w="2592"/>
            <w:vAlign w:val="center"/>
            <w:shd w:fill="D9EAF7"/>
          </w:tcPr>
          <w:p>
            <w:pPr>
              <w:jc w:val="center"/>
            </w:pPr>
            <w:r/>
            <w:r>
              <w:rPr>
                <w:b/>
                <w:sz w:val="18"/>
              </w:rPr>
              <w:t>Amount</w:t>
            </w:r>
          </w:p>
        </w:tc>
      </w:tr>
      <w:tr>
        <w:tc>
          <w:tcPr>
            <w:tcW w:type="dxa" w:w="6048"/>
            <w:vAlign w:val="center"/>
          </w:tcPr>
          <w:p>
            <w:pPr>
              <w:jc w:val="center"/>
            </w:pPr>
            <w:r/>
            <w:r>
              <w:rPr>
                <w:b w:val="0"/>
                <w:sz w:val="18"/>
              </w:rPr>
              <w:t>Sales</w:t>
            </w:r>
          </w:p>
        </w:tc>
        <w:tc>
          <w:tcPr>
            <w:tcW w:type="dxa" w:w="2592"/>
            <w:vAlign w:val="center"/>
          </w:tcPr>
          <w:p>
            <w:pPr>
              <w:jc w:val="center"/>
            </w:pPr>
            <w:r/>
            <w:r>
              <w:rPr>
                <w:b w:val="0"/>
                <w:sz w:val="18"/>
              </w:rPr>
              <w:t>Rs. 1,000,000</w:t>
            </w:r>
          </w:p>
        </w:tc>
      </w:tr>
      <w:tr>
        <w:tc>
          <w:tcPr>
            <w:tcW w:type="dxa" w:w="6048"/>
            <w:vAlign w:val="center"/>
          </w:tcPr>
          <w:p>
            <w:pPr>
              <w:jc w:val="center"/>
            </w:pPr>
            <w:r/>
            <w:r>
              <w:rPr>
                <w:b w:val="0"/>
                <w:sz w:val="18"/>
              </w:rPr>
              <w:t>Less: Cost of sales</w:t>
            </w:r>
          </w:p>
        </w:tc>
        <w:tc>
          <w:tcPr>
            <w:tcW w:type="dxa" w:w="2592"/>
            <w:vAlign w:val="center"/>
          </w:tcPr>
          <w:p>
            <w:pPr>
              <w:jc w:val="center"/>
            </w:pPr>
            <w:r/>
            <w:r>
              <w:rPr>
                <w:b w:val="0"/>
                <w:sz w:val="18"/>
              </w:rPr>
              <w:t>Rs. 600,000</w:t>
            </w:r>
          </w:p>
        </w:tc>
      </w:tr>
      <w:tr>
        <w:tc>
          <w:tcPr>
            <w:tcW w:type="dxa" w:w="6048"/>
            <w:vAlign w:val="center"/>
          </w:tcPr>
          <w:p>
            <w:pPr>
              <w:jc w:val="center"/>
            </w:pPr>
            <w:r/>
            <w:r>
              <w:rPr>
                <w:b w:val="0"/>
                <w:sz w:val="18"/>
              </w:rPr>
              <w:t>Less: Depreciation expense</w:t>
            </w:r>
          </w:p>
        </w:tc>
        <w:tc>
          <w:tcPr>
            <w:tcW w:type="dxa" w:w="2592"/>
            <w:vAlign w:val="center"/>
          </w:tcPr>
          <w:p>
            <w:pPr>
              <w:jc w:val="center"/>
            </w:pPr>
            <w:r/>
            <w:r>
              <w:rPr>
                <w:b w:val="0"/>
                <w:sz w:val="18"/>
              </w:rPr>
              <w:t>Rs. 50,000</w:t>
            </w:r>
          </w:p>
        </w:tc>
      </w:tr>
      <w:tr>
        <w:tc>
          <w:tcPr>
            <w:tcW w:type="dxa" w:w="6048"/>
            <w:vAlign w:val="center"/>
          </w:tcPr>
          <w:p>
            <w:pPr>
              <w:jc w:val="center"/>
            </w:pPr>
            <w:r/>
            <w:r>
              <w:rPr>
                <w:b w:val="0"/>
                <w:sz w:val="18"/>
              </w:rPr>
              <w:t>Less: Other administrative expense</w:t>
            </w:r>
          </w:p>
        </w:tc>
        <w:tc>
          <w:tcPr>
            <w:tcW w:type="dxa" w:w="2592"/>
            <w:vAlign w:val="center"/>
          </w:tcPr>
          <w:p>
            <w:pPr>
              <w:jc w:val="center"/>
            </w:pPr>
            <w:r/>
            <w:r>
              <w:rPr>
                <w:b w:val="0"/>
                <w:sz w:val="18"/>
              </w:rPr>
              <w:t>Rs. 250,000</w:t>
            </w:r>
          </w:p>
        </w:tc>
      </w:tr>
      <w:tr>
        <w:tc>
          <w:tcPr>
            <w:tcW w:type="dxa" w:w="6048"/>
            <w:vAlign w:val="center"/>
          </w:tcPr>
          <w:p>
            <w:pPr>
              <w:jc w:val="center"/>
            </w:pPr>
            <w:r/>
            <w:r>
              <w:rPr>
                <w:b w:val="0"/>
                <w:sz w:val="18"/>
              </w:rPr>
              <w:t>Adjusted taxable income</w:t>
            </w:r>
          </w:p>
        </w:tc>
        <w:tc>
          <w:tcPr>
            <w:tcW w:type="dxa" w:w="2592"/>
            <w:vAlign w:val="center"/>
          </w:tcPr>
          <w:p>
            <w:pPr>
              <w:jc w:val="center"/>
            </w:pPr>
            <w:r/>
            <w:r>
              <w:rPr>
                <w:b w:val="0"/>
                <w:sz w:val="18"/>
              </w:rPr>
              <w:t>Rs. 100,000</w:t>
            </w:r>
          </w:p>
        </w:tc>
      </w:tr>
      <w:tr>
        <w:tc>
          <w:tcPr>
            <w:tcW w:type="dxa" w:w="6048"/>
            <w:vAlign w:val="center"/>
          </w:tcPr>
          <w:p>
            <w:pPr>
              <w:jc w:val="center"/>
            </w:pPr>
            <w:r/>
            <w:r>
              <w:rPr>
                <w:b w:val="0"/>
                <w:sz w:val="18"/>
              </w:rPr>
              <w:t>(a) Actual donation expense</w:t>
            </w:r>
          </w:p>
        </w:tc>
        <w:tc>
          <w:tcPr>
            <w:tcW w:type="dxa" w:w="2592"/>
            <w:vAlign w:val="center"/>
          </w:tcPr>
          <w:p>
            <w:pPr>
              <w:jc w:val="center"/>
            </w:pPr>
            <w:r/>
            <w:r>
              <w:rPr>
                <w:b w:val="0"/>
                <w:sz w:val="18"/>
              </w:rPr>
              <w:t>Rs. 15,000</w:t>
            </w:r>
          </w:p>
        </w:tc>
      </w:tr>
      <w:tr>
        <w:tc>
          <w:tcPr>
            <w:tcW w:type="dxa" w:w="6048"/>
            <w:vAlign w:val="center"/>
          </w:tcPr>
          <w:p>
            <w:pPr>
              <w:jc w:val="left"/>
            </w:pPr>
            <w:r/>
            <w:r>
              <w:rPr>
                <w:b w:val="0"/>
                <w:sz w:val="18"/>
              </w:rPr>
              <w:t>(b) Five percent of adjusted taxable income</w:t>
            </w:r>
          </w:p>
        </w:tc>
        <w:tc>
          <w:tcPr>
            <w:tcW w:type="dxa" w:w="2592"/>
            <w:vAlign w:val="center"/>
          </w:tcPr>
          <w:p>
            <w:pPr>
              <w:jc w:val="center"/>
            </w:pPr>
            <w:r/>
            <w:r>
              <w:rPr>
                <w:b w:val="0"/>
                <w:sz w:val="18"/>
              </w:rPr>
              <w:t>Rs. 5,000</w:t>
            </w:r>
          </w:p>
        </w:tc>
      </w:tr>
      <w:tr>
        <w:tc>
          <w:tcPr>
            <w:tcW w:type="dxa" w:w="6048"/>
            <w:vAlign w:val="center"/>
          </w:tcPr>
          <w:p>
            <w:pPr>
              <w:jc w:val="left"/>
            </w:pPr>
            <w:r/>
            <w:r>
              <w:rPr>
                <w:b w:val="0"/>
                <w:sz w:val="18"/>
              </w:rPr>
              <w:t>Deductible donation expense (lower of (a) and (b))</w:t>
            </w:r>
          </w:p>
        </w:tc>
        <w:tc>
          <w:tcPr>
            <w:tcW w:type="dxa" w:w="2592"/>
            <w:vAlign w:val="center"/>
          </w:tcPr>
          <w:p>
            <w:pPr>
              <w:jc w:val="center"/>
            </w:pPr>
            <w:r/>
            <w:r>
              <w:rPr>
                <w:b w:val="0"/>
                <w:sz w:val="18"/>
              </w:rPr>
              <w:t>Rs. 5,000</w:t>
            </w:r>
          </w:p>
        </w:tc>
      </w:tr>
    </w:tbl>
    <w:p>
      <w:r>
        <w:rPr>
          <w:b w:val="0"/>
        </w:rPr>
        <w:t>Accordingly, although the company paid donation of Rs. 15,000 in fiscal year 2075/76, it may claim deduction of only Rs. 5,000 from taxable income.</w:t>
      </w:r>
    </w:p>
    <w:p>
      <w:r>
        <w:rPr>
          <w:b w:val="0"/>
        </w:rPr>
        <w:t>12(3) Notwithstanding anything contained in subsections (1) and (2), in any special circumstances the Government of Nepal may, by notification published in the Nepal Gazette, specify that the amount spent or donated by any person for any specified work may be deducted fully or partially as expenditure while assessing the income of that person.</w:t>
      </w:r>
    </w:p>
    <w:p>
      <w:r>
        <w:rPr>
          <w:b w:val="0"/>
        </w:rPr>
        <w:t>Where the Government of Nepal, by notification published in the Nepal Gazette, allows donation expenditure for a special purpose, such as a flood victims relief fund, the limit on the amount claimable as expenditure does not apply; such donation expenditure may be outside the limit of section 12(2).</w:t>
      </w:r>
    </w:p>
    <w:p>
      <w:pPr>
        <w:pStyle w:val="Heading3"/>
      </w:pPr>
      <w:r>
        <w:rPr>
          <w:b w:val="0"/>
        </w:rPr>
        <w:t>Example 10.4.2</w:t>
      </w:r>
    </w:p>
    <w:p>
      <w:r>
        <w:rPr>
          <w:b w:val="0"/>
        </w:rPr>
        <w:t>Suppose, in Example 10.4.1 above, Swastik Nepal Pvt. Ltd. gave an additional donation of Rs. 50,000 for a work notified by the Government of Nepal in the Nepal Gazette, and the notification provides for tax exemption. In that case, in addition to Rs. 5,000, being five percent of its adjusted taxable income, it will also be entitled to deduction of Rs. 50,000, making the total deductible expenditure Rs. 55,000.</w:t>
      </w:r>
    </w:p>
    <w:p>
      <w:pPr>
        <w:pStyle w:val="Heading2"/>
      </w:pPr>
      <w:r>
        <w:rPr>
          <w:b w:val="0"/>
        </w:rPr>
        <w:t>10.5 Expenditure on Conservation of Heritage and Development of Sports</w:t>
      </w:r>
    </w:p>
    <w:p>
      <w:r>
        <w:rPr>
          <w:b w:val="0"/>
        </w:rPr>
        <w:t>Section 12A of the Act provides as follows in relation to claiming deduction for expenditure on conservation of heritage and development of sports:</w:t>
      </w:r>
    </w:p>
    <w:p>
      <w:r>
        <w:rPr>
          <w:b w:val="0"/>
        </w:rPr>
        <w:t>12A. Any company may, in any income year, after obtaining prior approval of the Department, claim deduction, while computing taxable income for that year, of the lower of an amount up to one million rupees or ten percent of assessable income, out of the expenditure made in Nepal for conserving and promoting ancient, religious and cultural heritage or for constructing public physical infrastructure for sports.</w:t>
      </w:r>
    </w:p>
    <w:p>
      <w:r>
        <w:rPr>
          <w:b w:val="0"/>
        </w:rPr>
        <w:t>A company may claim deduction from assessable income for expenditure incurred in Nepal for conserving and promoting ancient, religious and cultural heritage or for constructing public physical infrastructure for sports on the following basis:</w:t>
      </w:r>
    </w:p>
    <w:p>
      <w:r>
        <w:rPr>
          <w:b w:val="0"/>
        </w:rPr>
        <w:t>(a) Prior approval must be obtained from the Department. While seeking approval, the company must state the purpose of expenditure, the estimated amount of expenditure, the time limit for incurring expenditure and the method of incurring expenditure, such as direct payment to the concerned body, self-execution or execution through contract, and must submit an application to the concerned office or to the Department at least seven days before incurring the expenditure. The Department must grant approval in this regard.</w:t>
      </w:r>
    </w:p>
    <w:p>
      <w:r>
        <w:rPr>
          <w:b w:val="0"/>
        </w:rPr>
        <w:t>(b) Limit of expenditure: For this purpose, the amount shall not exceed the lower of Rs. 1,000,000 or ten percent of assessable income.</w:t>
      </w:r>
    </w:p>
    <w:p>
      <w:r>
        <w:br w:type="page"/>
      </w:r>
    </w:p>
    <w:p>
      <w:pPr>
        <w:pStyle w:val="Heading3"/>
      </w:pPr>
      <w:r>
        <w:rPr>
          <w:b w:val="0"/>
        </w:rPr>
        <w:t>Example 10.5.1</w:t>
      </w:r>
    </w:p>
    <w:p>
      <w:r>
        <w:rPr>
          <w:b w:val="0"/>
        </w:rPr>
        <w:t>Suppose the transaction position of Dip Jyoti Nepal Ltd. for fiscal year 2075/76 is as follows:</w:t>
      </w:r>
    </w:p>
    <w:tbl>
      <w:tblPr>
        <w:tblStyle w:val="TableGrid"/>
        <w:tblW w:type="auto" w:w="0"/>
        <w:jc w:val="center"/>
        <w:tblLook w:firstColumn="1" w:firstRow="1" w:lastColumn="0" w:lastRow="0" w:noHBand="0" w:noVBand="1" w:val="04A0"/>
      </w:tblPr>
      <w:tblGrid>
        <w:gridCol w:w="5040"/>
        <w:gridCol w:w="5040"/>
      </w:tblGrid>
      <w:tr>
        <w:tc>
          <w:tcPr>
            <w:tcW w:type="dxa" w:w="6192"/>
            <w:vAlign w:val="center"/>
            <w:shd w:fill="D9EAF7"/>
          </w:tcPr>
          <w:p>
            <w:pPr>
              <w:jc w:val="center"/>
            </w:pPr>
            <w:r/>
            <w:r>
              <w:rPr>
                <w:b/>
                <w:sz w:val="18"/>
              </w:rPr>
              <w:t>Particulars</w:t>
            </w:r>
          </w:p>
        </w:tc>
        <w:tc>
          <w:tcPr>
            <w:tcW w:type="dxa" w:w="2592"/>
            <w:vAlign w:val="center"/>
            <w:shd w:fill="D9EAF7"/>
          </w:tcPr>
          <w:p>
            <w:pPr>
              <w:jc w:val="center"/>
            </w:pPr>
            <w:r/>
            <w:r>
              <w:rPr>
                <w:b/>
                <w:sz w:val="18"/>
              </w:rPr>
              <w:t>Amount</w:t>
            </w:r>
          </w:p>
        </w:tc>
      </w:tr>
      <w:tr>
        <w:tc>
          <w:tcPr>
            <w:tcW w:type="dxa" w:w="6192"/>
            <w:vAlign w:val="center"/>
          </w:tcPr>
          <w:p>
            <w:pPr>
              <w:jc w:val="center"/>
            </w:pPr>
            <w:r/>
            <w:r>
              <w:rPr>
                <w:b w:val="0"/>
                <w:sz w:val="18"/>
              </w:rPr>
              <w:t>Sales</w:t>
            </w:r>
          </w:p>
        </w:tc>
        <w:tc>
          <w:tcPr>
            <w:tcW w:type="dxa" w:w="2592"/>
            <w:vAlign w:val="center"/>
          </w:tcPr>
          <w:p>
            <w:pPr>
              <w:jc w:val="center"/>
            </w:pPr>
            <w:r/>
            <w:r>
              <w:rPr>
                <w:b w:val="0"/>
                <w:sz w:val="18"/>
              </w:rPr>
              <w:t>Rs. 20,000,000</w:t>
            </w:r>
          </w:p>
        </w:tc>
      </w:tr>
      <w:tr>
        <w:tc>
          <w:tcPr>
            <w:tcW w:type="dxa" w:w="6192"/>
            <w:vAlign w:val="center"/>
          </w:tcPr>
          <w:p>
            <w:pPr>
              <w:jc w:val="center"/>
            </w:pPr>
            <w:r/>
            <w:r>
              <w:rPr>
                <w:b w:val="0"/>
                <w:sz w:val="18"/>
              </w:rPr>
              <w:t>Cost of sales</w:t>
            </w:r>
          </w:p>
        </w:tc>
        <w:tc>
          <w:tcPr>
            <w:tcW w:type="dxa" w:w="2592"/>
            <w:vAlign w:val="center"/>
          </w:tcPr>
          <w:p>
            <w:pPr>
              <w:jc w:val="center"/>
            </w:pPr>
            <w:r/>
            <w:r>
              <w:rPr>
                <w:b w:val="0"/>
                <w:sz w:val="18"/>
              </w:rPr>
              <w:t>Rs. 13,500,000</w:t>
            </w:r>
          </w:p>
        </w:tc>
      </w:tr>
      <w:tr>
        <w:tc>
          <w:tcPr>
            <w:tcW w:type="dxa" w:w="6192"/>
            <w:vAlign w:val="center"/>
          </w:tcPr>
          <w:p>
            <w:pPr>
              <w:jc w:val="center"/>
            </w:pPr>
            <w:r/>
            <w:r>
              <w:rPr>
                <w:b w:val="0"/>
                <w:sz w:val="18"/>
              </w:rPr>
              <w:t>Depreciation expense</w:t>
            </w:r>
          </w:p>
        </w:tc>
        <w:tc>
          <w:tcPr>
            <w:tcW w:type="dxa" w:w="2592"/>
            <w:vAlign w:val="center"/>
          </w:tcPr>
          <w:p>
            <w:pPr>
              <w:jc w:val="center"/>
            </w:pPr>
            <w:r/>
            <w:r>
              <w:rPr>
                <w:b w:val="0"/>
                <w:sz w:val="18"/>
              </w:rPr>
              <w:t>Rs. 850,000</w:t>
            </w:r>
          </w:p>
        </w:tc>
      </w:tr>
      <w:tr>
        <w:tc>
          <w:tcPr>
            <w:tcW w:type="dxa" w:w="6192"/>
            <w:vAlign w:val="center"/>
          </w:tcPr>
          <w:p>
            <w:pPr>
              <w:jc w:val="center"/>
            </w:pPr>
            <w:r/>
            <w:r>
              <w:rPr>
                <w:b w:val="0"/>
                <w:sz w:val="18"/>
              </w:rPr>
              <w:t>Other administrative expense</w:t>
            </w:r>
          </w:p>
        </w:tc>
        <w:tc>
          <w:tcPr>
            <w:tcW w:type="dxa" w:w="2592"/>
            <w:vAlign w:val="center"/>
          </w:tcPr>
          <w:p>
            <w:pPr>
              <w:jc w:val="center"/>
            </w:pPr>
            <w:r/>
            <w:r>
              <w:rPr>
                <w:b w:val="0"/>
                <w:sz w:val="18"/>
              </w:rPr>
              <w:t>Rs. 3,500,000</w:t>
            </w:r>
          </w:p>
        </w:tc>
      </w:tr>
      <w:tr>
        <w:tc>
          <w:tcPr>
            <w:tcW w:type="dxa" w:w="6192"/>
            <w:vAlign w:val="center"/>
          </w:tcPr>
          <w:p>
            <w:pPr>
              <w:jc w:val="left"/>
            </w:pPr>
            <w:r/>
            <w:r>
              <w:rPr>
                <w:b w:val="0"/>
                <w:sz w:val="18"/>
              </w:rPr>
              <w:t>Expenditure on renovation of ancient temple</w:t>
            </w:r>
          </w:p>
        </w:tc>
        <w:tc>
          <w:tcPr>
            <w:tcW w:type="dxa" w:w="2592"/>
            <w:vAlign w:val="center"/>
          </w:tcPr>
          <w:p>
            <w:pPr>
              <w:jc w:val="center"/>
            </w:pPr>
            <w:r/>
            <w:r>
              <w:rPr>
                <w:b w:val="0"/>
                <w:sz w:val="18"/>
              </w:rPr>
              <w:t>Rs. 500,000</w:t>
            </w:r>
          </w:p>
        </w:tc>
      </w:tr>
      <w:tr>
        <w:tc>
          <w:tcPr>
            <w:tcW w:type="dxa" w:w="6192"/>
            <w:vAlign w:val="center"/>
          </w:tcPr>
          <w:p>
            <w:pPr>
              <w:jc w:val="left"/>
            </w:pPr>
            <w:r/>
            <w:r>
              <w:rPr>
                <w:b w:val="0"/>
                <w:sz w:val="18"/>
              </w:rPr>
              <w:t>Donation expense given to a tax-exempt institution approved by the Department</w:t>
            </w:r>
          </w:p>
        </w:tc>
        <w:tc>
          <w:tcPr>
            <w:tcW w:type="dxa" w:w="2592"/>
            <w:vAlign w:val="center"/>
          </w:tcPr>
          <w:p>
            <w:pPr>
              <w:jc w:val="center"/>
            </w:pPr>
            <w:r/>
            <w:r>
              <w:rPr>
                <w:b w:val="0"/>
                <w:sz w:val="18"/>
              </w:rPr>
              <w:t>Rs. 130,000</w:t>
            </w:r>
          </w:p>
        </w:tc>
      </w:tr>
    </w:tbl>
    <w:p>
      <w:r>
        <w:rPr>
          <w:b w:val="0"/>
        </w:rPr>
        <w:t>The deductible donation and related expenditure for that income year are computed as follows:</w:t>
      </w:r>
    </w:p>
    <w:tbl>
      <w:tblPr>
        <w:tblStyle w:val="TableGrid"/>
        <w:tblW w:type="auto" w:w="0"/>
        <w:jc w:val="center"/>
        <w:tblLook w:firstColumn="1" w:firstRow="1" w:lastColumn="0" w:lastRow="0" w:noHBand="0" w:noVBand="1" w:val="04A0"/>
      </w:tblPr>
      <w:tblGrid>
        <w:gridCol w:w="5040"/>
        <w:gridCol w:w="5040"/>
      </w:tblGrid>
      <w:tr>
        <w:tc>
          <w:tcPr>
            <w:tcW w:type="dxa" w:w="6192"/>
            <w:vAlign w:val="center"/>
            <w:shd w:fill="D9EAF7"/>
          </w:tcPr>
          <w:p>
            <w:pPr>
              <w:jc w:val="center"/>
            </w:pPr>
            <w:r/>
            <w:r>
              <w:rPr>
                <w:b/>
                <w:sz w:val="18"/>
              </w:rPr>
              <w:t>Particulars</w:t>
            </w:r>
          </w:p>
        </w:tc>
        <w:tc>
          <w:tcPr>
            <w:tcW w:type="dxa" w:w="2592"/>
            <w:vAlign w:val="center"/>
            <w:shd w:fill="D9EAF7"/>
          </w:tcPr>
          <w:p>
            <w:pPr>
              <w:jc w:val="center"/>
            </w:pPr>
            <w:r/>
            <w:r>
              <w:rPr>
                <w:b/>
                <w:sz w:val="18"/>
              </w:rPr>
              <w:t>Amount</w:t>
            </w:r>
          </w:p>
        </w:tc>
      </w:tr>
      <w:tr>
        <w:tc>
          <w:tcPr>
            <w:tcW w:type="dxa" w:w="6192"/>
            <w:vAlign w:val="center"/>
          </w:tcPr>
          <w:p>
            <w:pPr>
              <w:jc w:val="center"/>
            </w:pPr>
            <w:r/>
            <w:r>
              <w:rPr>
                <w:b w:val="0"/>
                <w:sz w:val="18"/>
              </w:rPr>
              <w:t>Sales</w:t>
            </w:r>
          </w:p>
        </w:tc>
        <w:tc>
          <w:tcPr>
            <w:tcW w:type="dxa" w:w="2592"/>
            <w:vAlign w:val="center"/>
          </w:tcPr>
          <w:p>
            <w:pPr>
              <w:jc w:val="center"/>
            </w:pPr>
            <w:r/>
            <w:r>
              <w:rPr>
                <w:b w:val="0"/>
                <w:sz w:val="18"/>
              </w:rPr>
              <w:t>Rs. 20,000,000</w:t>
            </w:r>
          </w:p>
        </w:tc>
      </w:tr>
      <w:tr>
        <w:tc>
          <w:tcPr>
            <w:tcW w:type="dxa" w:w="6192"/>
            <w:vAlign w:val="center"/>
          </w:tcPr>
          <w:p>
            <w:pPr>
              <w:jc w:val="center"/>
            </w:pPr>
            <w:r/>
            <w:r>
              <w:rPr>
                <w:b w:val="0"/>
                <w:sz w:val="18"/>
              </w:rPr>
              <w:t>Cost of sales</w:t>
            </w:r>
          </w:p>
        </w:tc>
        <w:tc>
          <w:tcPr>
            <w:tcW w:type="dxa" w:w="2592"/>
            <w:vAlign w:val="center"/>
          </w:tcPr>
          <w:p>
            <w:pPr>
              <w:jc w:val="center"/>
            </w:pPr>
            <w:r/>
            <w:r>
              <w:rPr>
                <w:b w:val="0"/>
                <w:sz w:val="18"/>
              </w:rPr>
              <w:t>(Rs. 13,500,000)</w:t>
            </w:r>
          </w:p>
        </w:tc>
      </w:tr>
      <w:tr>
        <w:tc>
          <w:tcPr>
            <w:tcW w:type="dxa" w:w="6192"/>
            <w:vAlign w:val="center"/>
          </w:tcPr>
          <w:p>
            <w:pPr>
              <w:jc w:val="center"/>
            </w:pPr>
            <w:r/>
            <w:r>
              <w:rPr>
                <w:b w:val="0"/>
                <w:sz w:val="18"/>
              </w:rPr>
              <w:t>Depreciation expense</w:t>
            </w:r>
          </w:p>
        </w:tc>
        <w:tc>
          <w:tcPr>
            <w:tcW w:type="dxa" w:w="2592"/>
            <w:vAlign w:val="center"/>
          </w:tcPr>
          <w:p>
            <w:pPr>
              <w:jc w:val="center"/>
            </w:pPr>
            <w:r/>
            <w:r>
              <w:rPr>
                <w:b w:val="0"/>
                <w:sz w:val="18"/>
              </w:rPr>
              <w:t>(Rs. 850,000)</w:t>
            </w:r>
          </w:p>
        </w:tc>
      </w:tr>
      <w:tr>
        <w:tc>
          <w:tcPr>
            <w:tcW w:type="dxa" w:w="6192"/>
            <w:vAlign w:val="center"/>
          </w:tcPr>
          <w:p>
            <w:pPr>
              <w:jc w:val="center"/>
            </w:pPr>
            <w:r/>
            <w:r>
              <w:rPr>
                <w:b w:val="0"/>
                <w:sz w:val="18"/>
              </w:rPr>
              <w:t>Other administrative expense</w:t>
            </w:r>
          </w:p>
        </w:tc>
        <w:tc>
          <w:tcPr>
            <w:tcW w:type="dxa" w:w="2592"/>
            <w:vAlign w:val="center"/>
          </w:tcPr>
          <w:p>
            <w:pPr>
              <w:jc w:val="center"/>
            </w:pPr>
            <w:r/>
            <w:r>
              <w:rPr>
                <w:b w:val="0"/>
                <w:sz w:val="18"/>
              </w:rPr>
              <w:t>(Rs. 3,500,000)</w:t>
            </w:r>
          </w:p>
        </w:tc>
      </w:tr>
      <w:tr>
        <w:tc>
          <w:tcPr>
            <w:tcW w:type="dxa" w:w="6192"/>
            <w:vAlign w:val="center"/>
          </w:tcPr>
          <w:p>
            <w:pPr>
              <w:jc w:val="center"/>
            </w:pPr>
            <w:r/>
            <w:r>
              <w:rPr>
                <w:b w:val="0"/>
                <w:sz w:val="18"/>
              </w:rPr>
              <w:t>Assessable income</w:t>
            </w:r>
          </w:p>
        </w:tc>
        <w:tc>
          <w:tcPr>
            <w:tcW w:type="dxa" w:w="2592"/>
            <w:vAlign w:val="center"/>
          </w:tcPr>
          <w:p>
            <w:pPr>
              <w:jc w:val="center"/>
            </w:pPr>
            <w:r/>
            <w:r>
              <w:rPr>
                <w:b w:val="0"/>
                <w:sz w:val="18"/>
              </w:rPr>
              <w:t>Rs. 2,150,000</w:t>
            </w:r>
          </w:p>
        </w:tc>
      </w:tr>
      <w:tr>
        <w:tc>
          <w:tcPr>
            <w:tcW w:type="dxa" w:w="6192"/>
            <w:vAlign w:val="center"/>
          </w:tcPr>
          <w:p>
            <w:pPr>
              <w:jc w:val="center"/>
            </w:pPr>
            <w:r/>
            <w:r>
              <w:rPr>
                <w:b w:val="0"/>
                <w:sz w:val="18"/>
              </w:rPr>
              <w:t>Ten percent of assessable income</w:t>
            </w:r>
          </w:p>
        </w:tc>
        <w:tc>
          <w:tcPr>
            <w:tcW w:type="dxa" w:w="2592"/>
            <w:vAlign w:val="center"/>
          </w:tcPr>
          <w:p>
            <w:pPr>
              <w:jc w:val="center"/>
            </w:pPr>
            <w:r/>
            <w:r>
              <w:rPr>
                <w:b w:val="0"/>
                <w:sz w:val="18"/>
              </w:rPr>
              <w:t>Rs. 215,000</w:t>
            </w:r>
          </w:p>
        </w:tc>
      </w:tr>
      <w:tr>
        <w:tc>
          <w:tcPr>
            <w:tcW w:type="dxa" w:w="6192"/>
            <w:vAlign w:val="center"/>
          </w:tcPr>
          <w:p>
            <w:pPr>
              <w:jc w:val="left"/>
            </w:pPr>
            <w:r/>
            <w:r>
              <w:rPr>
                <w:b w:val="0"/>
                <w:sz w:val="18"/>
              </w:rPr>
              <w:t>Actual expenditure on renovation of ancient temple</w:t>
            </w:r>
          </w:p>
        </w:tc>
        <w:tc>
          <w:tcPr>
            <w:tcW w:type="dxa" w:w="2592"/>
            <w:vAlign w:val="center"/>
          </w:tcPr>
          <w:p>
            <w:pPr>
              <w:jc w:val="center"/>
            </w:pPr>
            <w:r/>
            <w:r>
              <w:rPr>
                <w:b w:val="0"/>
                <w:sz w:val="18"/>
              </w:rPr>
              <w:t>Rs. 500,000</w:t>
            </w:r>
          </w:p>
        </w:tc>
      </w:tr>
      <w:tr>
        <w:tc>
          <w:tcPr>
            <w:tcW w:type="dxa" w:w="6192"/>
            <w:vAlign w:val="center"/>
          </w:tcPr>
          <w:p>
            <w:pPr>
              <w:jc w:val="left"/>
            </w:pPr>
            <w:r/>
            <w:r>
              <w:rPr>
                <w:b w:val="0"/>
                <w:sz w:val="18"/>
              </w:rPr>
              <w:t>Deductible expenditure on renovation of ancient temple</w:t>
            </w:r>
          </w:p>
        </w:tc>
        <w:tc>
          <w:tcPr>
            <w:tcW w:type="dxa" w:w="2592"/>
            <w:vAlign w:val="center"/>
          </w:tcPr>
          <w:p>
            <w:pPr>
              <w:jc w:val="center"/>
            </w:pPr>
            <w:r/>
            <w:r>
              <w:rPr>
                <w:b w:val="0"/>
                <w:sz w:val="18"/>
              </w:rPr>
              <w:t>(Rs. 215,000)</w:t>
            </w:r>
          </w:p>
        </w:tc>
      </w:tr>
      <w:tr>
        <w:tc>
          <w:tcPr>
            <w:tcW w:type="dxa" w:w="6192"/>
            <w:vAlign w:val="center"/>
          </w:tcPr>
          <w:p>
            <w:pPr>
              <w:jc w:val="center"/>
            </w:pPr>
            <w:r/>
            <w:r>
              <w:rPr>
                <w:b w:val="0"/>
                <w:sz w:val="18"/>
              </w:rPr>
              <w:t>Adjusted taxable income</w:t>
            </w:r>
          </w:p>
        </w:tc>
        <w:tc>
          <w:tcPr>
            <w:tcW w:type="dxa" w:w="2592"/>
            <w:vAlign w:val="center"/>
          </w:tcPr>
          <w:p>
            <w:pPr>
              <w:jc w:val="center"/>
            </w:pPr>
            <w:r/>
            <w:r>
              <w:rPr>
                <w:b w:val="0"/>
                <w:sz w:val="18"/>
              </w:rPr>
              <w:t>Rs. 1,935,000</w:t>
            </w:r>
          </w:p>
        </w:tc>
      </w:tr>
      <w:tr>
        <w:tc>
          <w:tcPr>
            <w:tcW w:type="dxa" w:w="6192"/>
            <w:vAlign w:val="center"/>
          </w:tcPr>
          <w:p>
            <w:pPr>
              <w:jc w:val="left"/>
            </w:pPr>
            <w:r/>
            <w:r>
              <w:rPr>
                <w:b w:val="0"/>
                <w:sz w:val="18"/>
              </w:rPr>
              <w:t>Five percent of adjusted taxable income</w:t>
            </w:r>
          </w:p>
        </w:tc>
        <w:tc>
          <w:tcPr>
            <w:tcW w:type="dxa" w:w="2592"/>
            <w:vAlign w:val="center"/>
          </w:tcPr>
          <w:p>
            <w:pPr>
              <w:jc w:val="center"/>
            </w:pPr>
            <w:r/>
            <w:r>
              <w:rPr>
                <w:b w:val="0"/>
                <w:sz w:val="18"/>
              </w:rPr>
              <w:t>Rs. 96,750</w:t>
            </w:r>
          </w:p>
        </w:tc>
      </w:tr>
      <w:tr>
        <w:tc>
          <w:tcPr>
            <w:tcW w:type="dxa" w:w="6192"/>
            <w:vAlign w:val="center"/>
          </w:tcPr>
          <w:p>
            <w:pPr>
              <w:jc w:val="center"/>
            </w:pPr>
            <w:r/>
            <w:r>
              <w:rPr>
                <w:b w:val="0"/>
                <w:sz w:val="18"/>
              </w:rPr>
              <w:t>Maximum limit</w:t>
            </w:r>
          </w:p>
        </w:tc>
        <w:tc>
          <w:tcPr>
            <w:tcW w:type="dxa" w:w="2592"/>
            <w:vAlign w:val="center"/>
          </w:tcPr>
          <w:p>
            <w:pPr>
              <w:jc w:val="center"/>
            </w:pPr>
            <w:r/>
            <w:r>
              <w:rPr>
                <w:b w:val="0"/>
                <w:sz w:val="18"/>
              </w:rPr>
              <w:t>Rs. 100,000</w:t>
            </w:r>
          </w:p>
        </w:tc>
      </w:tr>
      <w:tr>
        <w:tc>
          <w:tcPr>
            <w:tcW w:type="dxa" w:w="6192"/>
            <w:vAlign w:val="center"/>
          </w:tcPr>
          <w:p>
            <w:pPr>
              <w:jc w:val="center"/>
            </w:pPr>
            <w:r/>
            <w:r>
              <w:rPr>
                <w:b w:val="0"/>
                <w:sz w:val="18"/>
              </w:rPr>
              <w:t>Actual donation expense</w:t>
            </w:r>
          </w:p>
        </w:tc>
        <w:tc>
          <w:tcPr>
            <w:tcW w:type="dxa" w:w="2592"/>
            <w:vAlign w:val="center"/>
          </w:tcPr>
          <w:p>
            <w:pPr>
              <w:jc w:val="center"/>
            </w:pPr>
            <w:r/>
            <w:r>
              <w:rPr>
                <w:b w:val="0"/>
                <w:sz w:val="18"/>
              </w:rPr>
              <w:t>Rs. 130,000</w:t>
            </w:r>
          </w:p>
        </w:tc>
      </w:tr>
      <w:tr>
        <w:tc>
          <w:tcPr>
            <w:tcW w:type="dxa" w:w="6192"/>
            <w:vAlign w:val="center"/>
          </w:tcPr>
          <w:p>
            <w:pPr>
              <w:jc w:val="center"/>
            </w:pPr>
            <w:r/>
            <w:r>
              <w:rPr>
                <w:b w:val="0"/>
                <w:sz w:val="18"/>
              </w:rPr>
              <w:t>Deductible donation expense</w:t>
            </w:r>
          </w:p>
        </w:tc>
        <w:tc>
          <w:tcPr>
            <w:tcW w:type="dxa" w:w="2592"/>
            <w:vAlign w:val="center"/>
          </w:tcPr>
          <w:p>
            <w:pPr>
              <w:jc w:val="center"/>
            </w:pPr>
            <w:r/>
            <w:r>
              <w:rPr>
                <w:b w:val="0"/>
                <w:sz w:val="18"/>
              </w:rPr>
              <w:t>(Rs. 96,750)</w:t>
            </w:r>
          </w:p>
        </w:tc>
      </w:tr>
      <w:tr>
        <w:tc>
          <w:tcPr>
            <w:tcW w:type="dxa" w:w="6192"/>
            <w:vAlign w:val="center"/>
          </w:tcPr>
          <w:p>
            <w:pPr>
              <w:jc w:val="center"/>
            </w:pPr>
            <w:r/>
            <w:r>
              <w:rPr>
                <w:b w:val="0"/>
                <w:sz w:val="18"/>
              </w:rPr>
              <w:t>Taxable income</w:t>
            </w:r>
          </w:p>
        </w:tc>
        <w:tc>
          <w:tcPr>
            <w:tcW w:type="dxa" w:w="2592"/>
            <w:vAlign w:val="center"/>
          </w:tcPr>
          <w:p>
            <w:pPr>
              <w:jc w:val="center"/>
            </w:pPr>
            <w:r/>
            <w:r>
              <w:rPr>
                <w:b w:val="0"/>
                <w:sz w:val="18"/>
              </w:rPr>
              <w:t>Rs. 1,838,250</w:t>
            </w:r>
          </w:p>
        </w:tc>
      </w:tr>
    </w:tbl>
    <w:p>
      <w:pPr>
        <w:pStyle w:val="Heading2"/>
      </w:pPr>
      <w:r>
        <w:rPr>
          <w:b w:val="0"/>
        </w:rPr>
        <w:t>10.6 Expenditure on Contribution to the Prime Minister Disaster Relief Fund and the Reconstruction Fund Established by the Government of Nepal</w:t>
      </w:r>
    </w:p>
    <w:p>
      <w:r>
        <w:rPr>
          <w:b w:val="0"/>
        </w:rPr>
        <w:t>Section 12B of the Act provides as follows in relation to claiming deduction for amounts contributed to the Prime Minister Disaster Relief Fund and the Reconstruction Fund established by the Government of Nepal:</w:t>
      </w:r>
    </w:p>
    <w:p>
      <w:r>
        <w:rPr>
          <w:b w:val="0"/>
        </w:rPr>
        <w:t>12B. Expenditure on contribution to the Prime Minister Disaster Relief Fund and the Reconstruction Fund established by the Government of Nepal: Any person may deduct, while computing taxable income for any income year, the amount contributed in that year to the Prime Minister Disaster Relief Fund and the Reconstruction Fund established by the Government of Nepal.</w:t>
      </w:r>
    </w:p>
    <w:p>
      <w:pPr>
        <w:pStyle w:val="Heading2"/>
      </w:pPr>
      <w:r>
        <w:rPr>
          <w:b w:val="0"/>
        </w:rPr>
        <w:t>10.7 Amount of Seed Capital Given to a Startup Business</w:t>
      </w:r>
    </w:p>
    <w:p>
      <w:r>
        <w:rPr>
          <w:b w:val="0"/>
        </w:rPr>
        <w:t>Section 12C of the Act provides as follows in relation to claiming deduction for amounts provided as a grant as seed capital to a startup business:</w:t>
      </w:r>
    </w:p>
    <w:p>
      <w:r>
        <w:rPr>
          <w:b w:val="0"/>
        </w:rPr>
        <w:t>12C. Seed capital given to startup business: Where any person provides, as a grant, seed capital of up to one hundred thousand rupees per business to not more than five startup businesses other than associated persons, that amount may be deducted as expenditure while computing taxable income.</w:t>
      </w:r>
    </w:p>
    <w:p>
      <w:r>
        <w:br w:type="page"/>
      </w:r>
    </w:p>
    <w:p>
      <w:pPr>
        <w:spacing w:after="80" w:line="252" w:lineRule="auto"/>
        <w:jc w:val="center"/>
      </w:pPr>
      <w:r>
        <w:rPr>
          <w:rFonts w:ascii="Arial" w:hAnsi="Arial" w:eastAsia="Arial"/>
          <w:b/>
          <w:i w:val="0"/>
          <w:sz w:val="20"/>
        </w:rPr>
        <w:t>Income Tax Directive, 2066 (with Fifth Amendment, 2081)</w:t>
      </w:r>
    </w:p>
    <w:p>
      <w:pPr>
        <w:spacing w:after="80" w:line="252" w:lineRule="auto"/>
        <w:jc w:val="center"/>
      </w:pPr>
      <w:r>
        <w:rPr>
          <w:rFonts w:ascii="Arial" w:hAnsi="Arial" w:eastAsia="Arial"/>
          <w:b/>
          <w:i w:val="0"/>
          <w:sz w:val="20"/>
        </w:rPr>
        <w:t>English Translation - Part 11</w:t>
      </w:r>
    </w:p>
    <w:p>
      <w:pPr>
        <w:spacing w:after="80" w:line="252" w:lineRule="auto"/>
        <w:jc w:val="center"/>
      </w:pPr>
      <w:r>
        <w:rPr>
          <w:rFonts w:ascii="Arial" w:hAnsi="Arial" w:eastAsia="Arial"/>
          <w:b/>
          <w:i w:val="0"/>
          <w:sz w:val="20"/>
        </w:rPr>
        <w:t>Chapter 11: Natural Person</w:t>
      </w:r>
    </w:p>
    <w:p>
      <w:pPr>
        <w:spacing w:after="80" w:line="252" w:lineRule="auto"/>
        <w:jc w:val="center"/>
      </w:pPr>
      <w:r>
        <w:rPr>
          <w:rFonts w:ascii="Arial" w:hAnsi="Arial" w:eastAsia="Arial"/>
          <w:b w:val="0"/>
          <w:i/>
          <w:sz w:val="20"/>
        </w:rPr>
        <w:t>Source pages: Directive pages 147-162</w:t>
      </w:r>
    </w:p>
    <w:p>
      <w:pPr>
        <w:spacing w:after="80" w:line="252" w:lineRule="auto"/>
      </w:pPr>
      <w:r>
        <w:rPr>
          <w:rFonts w:ascii="Arial" w:hAnsi="Arial" w:eastAsia="Arial"/>
          <w:b w:val="0"/>
          <w:i/>
          <w:sz w:val="20"/>
        </w:rPr>
        <w:t>Note: This translation preserves the meaning, sequence, section numbering, examples and tabular presentation of the Nepali directive as far as practicable in Word format. Statutory expressions such as resident natural person, taxable income, assessable income, approved medical treatment expenditure, medical tax credit and approved retirement fund have been aligned with the official English terminology of the Income Tax Act, 2002 (2058) where applicable.</w:t>
      </w:r>
    </w:p>
    <w:p>
      <w:pPr>
        <w:pStyle w:val="Heading1"/>
      </w:pPr>
      <w:r>
        <w:t>Chapter 11</w:t>
      </w:r>
    </w:p>
    <w:p>
      <w:pPr>
        <w:pStyle w:val="Heading2"/>
      </w:pPr>
      <w:r>
        <w:t>Natural Person</w:t>
      </w:r>
    </w:p>
    <w:p>
      <w:pPr>
        <w:pStyle w:val="Heading2"/>
      </w:pPr>
      <w:r>
        <w:t>11.1 General</w:t>
      </w:r>
    </w:p>
    <w:p>
      <w:pPr>
        <w:spacing w:after="80" w:line="252" w:lineRule="auto"/>
      </w:pPr>
      <w:r>
        <w:rPr>
          <w:rFonts w:ascii="Arial" w:hAnsi="Arial" w:eastAsia="Arial"/>
          <w:b w:val="0"/>
          <w:i w:val="0"/>
          <w:sz w:val="20"/>
        </w:rPr>
        <w:t>The Income Tax Act, 2058 makes provision for imposing tax on a person having taxable income. Under that provision, the word person includes a natural person as well as an entity. With respect to income earned by a natural person, Chapter 9 of the Act contains special provisions for computation of income and income tax in a manner different from that applicable to an entity. The objective of this chapter is to clarify the above special provisions and other provisions relating to computation of income or income tax of a natural person.</w:t>
      </w:r>
    </w:p>
    <w:p>
      <w:pPr>
        <w:pStyle w:val="Heading2"/>
      </w:pPr>
      <w:r>
        <w:t>11.2 Key Terminology</w:t>
      </w:r>
    </w:p>
    <w:p>
      <w:pPr>
        <w:pStyle w:val="Heading3"/>
      </w:pPr>
      <w:r>
        <w:t>11.2.1 Natural person</w:t>
      </w:r>
    </w:p>
    <w:p>
      <w:pPr>
        <w:spacing w:after="80" w:line="252" w:lineRule="auto"/>
      </w:pPr>
      <w:r>
        <w:rPr>
          <w:rFonts w:ascii="Arial" w:hAnsi="Arial" w:eastAsia="Arial"/>
          <w:b w:val="0"/>
          <w:i w:val="0"/>
          <w:sz w:val="20"/>
        </w:rPr>
        <w:t>Natural person means a human being. The establishment and operation of an entity are governed by the law relating to that entity, whereas a natural person may generally perform any act except those expressly prohibited by law. Clause (ba) of Section 2 of the Act defines a natural person as follows:</w:t>
      </w:r>
    </w:p>
    <w:p>
      <w:pPr>
        <w:spacing w:after="80" w:line="252" w:lineRule="auto"/>
      </w:pPr>
      <w:r>
        <w:rPr>
          <w:rFonts w:ascii="Arial" w:hAnsi="Arial" w:eastAsia="Arial"/>
          <w:b w:val="0"/>
          <w:i w:val="0"/>
          <w:sz w:val="20"/>
        </w:rPr>
        <w:t>"Natural person" means a particular natural person and, for the purposes of this Act, also includes a sole proprietorship firm, whether registered or not, owned by a natural person, and a couple that has made an election under Section 50 to be treated as one natural person.</w:t>
      </w:r>
    </w:p>
    <w:p>
      <w:pPr>
        <w:pStyle w:val="Heading3"/>
      </w:pPr>
      <w:r>
        <w:t>11.2.2 Resident person</w:t>
      </w:r>
    </w:p>
    <w:p>
      <w:pPr>
        <w:spacing w:after="80" w:line="252" w:lineRule="auto"/>
      </w:pPr>
      <w:r>
        <w:rPr>
          <w:rFonts w:ascii="Arial" w:hAnsi="Arial" w:eastAsia="Arial"/>
          <w:b w:val="0"/>
          <w:i w:val="0"/>
          <w:sz w:val="20"/>
        </w:rPr>
        <w:t>Under sub-clause (1) of clause (ka nga) of Section 2 of the Act, a natural person is treated as a resident person if any of the following conditions is satisfied:</w:t>
      </w:r>
    </w:p>
    <w:p>
      <w:pPr>
        <w:spacing w:after="80" w:line="252" w:lineRule="auto"/>
      </w:pPr>
      <w:r>
        <w:rPr>
          <w:rFonts w:ascii="Arial" w:hAnsi="Arial" w:eastAsia="Arial"/>
          <w:b w:val="0"/>
          <w:i w:val="0"/>
          <w:sz w:val="20"/>
        </w:rPr>
        <w:t>(a) the person has his or her normal place of abode in Nepal;</w:t>
      </w:r>
    </w:p>
    <w:p>
      <w:pPr>
        <w:spacing w:after="80" w:line="252" w:lineRule="auto"/>
      </w:pPr>
      <w:r>
        <w:rPr>
          <w:rFonts w:ascii="Arial" w:hAnsi="Arial" w:eastAsia="Arial"/>
          <w:b w:val="0"/>
          <w:i w:val="0"/>
          <w:sz w:val="20"/>
        </w:rPr>
        <w:t>(b) the person is present in Nepal for 183 days or more in a continuous period of 365 days; or</w:t>
      </w:r>
    </w:p>
    <w:p>
      <w:pPr>
        <w:spacing w:after="80" w:line="252" w:lineRule="auto"/>
      </w:pPr>
      <w:r>
        <w:rPr>
          <w:rFonts w:ascii="Arial" w:hAnsi="Arial" w:eastAsia="Arial"/>
          <w:b w:val="0"/>
          <w:i w:val="0"/>
          <w:sz w:val="20"/>
        </w:rPr>
        <w:t>(c) the person is posted abroad by the Government of Nepal at any time during the income year.</w:t>
      </w:r>
    </w:p>
    <w:p>
      <w:pPr>
        <w:spacing w:after="80" w:line="252" w:lineRule="auto"/>
      </w:pPr>
      <w:r>
        <w:rPr>
          <w:rFonts w:ascii="Arial" w:hAnsi="Arial" w:eastAsia="Arial"/>
          <w:b w:val="0"/>
          <w:i w:val="0"/>
          <w:sz w:val="20"/>
        </w:rPr>
        <w:t>A detailed explanation of resident person is provided in Chapter 2 of this Directive.</w:t>
      </w:r>
    </w:p>
    <w:p>
      <w:pPr>
        <w:pStyle w:val="Heading3"/>
      </w:pPr>
      <w:r>
        <w:t>11.2.3 Couple</w:t>
      </w:r>
    </w:p>
    <w:p>
      <w:pPr>
        <w:spacing w:after="80" w:line="252" w:lineRule="auto"/>
      </w:pPr>
      <w:r>
        <w:rPr>
          <w:rFonts w:ascii="Arial" w:hAnsi="Arial" w:eastAsia="Arial"/>
          <w:b w:val="0"/>
          <w:i w:val="0"/>
          <w:sz w:val="20"/>
        </w:rPr>
        <w:t>A resident natural person and the resident husband or wife of that person may, by giving written notice, elect to be treated as one natural person for tax purposes for a particular income year. A husband or wife who makes such election for an income year is jointly and separately liable for the tax payable for that year. Section 50 of the Act provides as follows in relation to a couple:</w:t>
      </w:r>
    </w:p>
    <w:p>
      <w:pPr>
        <w:spacing w:after="80" w:line="252" w:lineRule="auto"/>
      </w:pPr>
      <w:r>
        <w:rPr>
          <w:rFonts w:ascii="Arial" w:hAnsi="Arial" w:eastAsia="Arial"/>
          <w:b w:val="0"/>
          <w:i w:val="0"/>
          <w:sz w:val="20"/>
        </w:rPr>
        <w:t>50(1) A resident natural person and the resident husband or wife of that person may, by giving written notice, elect to be treated as one natural person for tax purposes for a particular income year.</w:t>
      </w:r>
    </w:p>
    <w:p>
      <w:pPr>
        <w:spacing w:after="80" w:line="252" w:lineRule="auto"/>
      </w:pPr>
      <w:r>
        <w:rPr>
          <w:rFonts w:ascii="Arial" w:hAnsi="Arial" w:eastAsia="Arial"/>
          <w:b w:val="0"/>
          <w:i w:val="0"/>
          <w:sz w:val="20"/>
        </w:rPr>
        <w:t>50(2) The husband or wife of a couple making the election referred to in subsection (1) in relation to an income year shall be jointly and separately liable to each other for the tax payable for that year.</w:t>
      </w:r>
    </w:p>
    <w:p>
      <w:pPr>
        <w:spacing w:after="80" w:line="252" w:lineRule="auto"/>
      </w:pPr>
      <w:r>
        <w:rPr>
          <w:rFonts w:ascii="Arial" w:hAnsi="Arial" w:eastAsia="Arial"/>
          <w:b w:val="0"/>
          <w:i w:val="0"/>
          <w:sz w:val="20"/>
        </w:rPr>
        <w:t>50(3) Notwithstanding anything contained in subsections (1) and (2), a resident widow or widower required to maintain dependants shall be treated as a couple.</w:t>
      </w:r>
    </w:p>
    <w:p>
      <w:pPr>
        <w:spacing w:after="80" w:line="252" w:lineRule="auto"/>
      </w:pPr>
      <w:r>
        <w:rPr>
          <w:rFonts w:ascii="Arial" w:hAnsi="Arial" w:eastAsia="Arial"/>
          <w:b w:val="0"/>
          <w:i w:val="0"/>
          <w:sz w:val="20"/>
        </w:rPr>
        <w:t>Generally, to be treated as a couple under Section 50 of the Act, the following conditions should be satisfied and an election should be made:</w:t>
      </w:r>
    </w:p>
    <w:p>
      <w:pPr>
        <w:spacing w:after="40"/>
        <w:ind w:left="360" w:hanging="216"/>
      </w:pPr>
      <w:r>
        <w:rPr>
          <w:rFonts w:ascii="Arial" w:hAnsi="Arial" w:eastAsia="Arial"/>
          <w:sz w:val="20"/>
        </w:rPr>
        <w:t>• Both husband and wife must be resident persons.</w:t>
      </w:r>
    </w:p>
    <w:p>
      <w:pPr>
        <w:spacing w:after="40"/>
        <w:ind w:left="360" w:hanging="216"/>
      </w:pPr>
      <w:r>
        <w:rPr>
          <w:rFonts w:ascii="Arial" w:hAnsi="Arial" w:eastAsia="Arial"/>
          <w:sz w:val="20"/>
        </w:rPr>
        <w:t>• Both husband and wife to be treated as a couple must give written notice. However, if the specified column relating to election is completed in the income return form, the election shall be deemed to have been made on that basis.</w:t>
      </w:r>
    </w:p>
    <w:p>
      <w:pPr>
        <w:spacing w:after="40"/>
        <w:ind w:left="360" w:hanging="216"/>
      </w:pPr>
      <w:r>
        <w:rPr>
          <w:rFonts w:ascii="Arial" w:hAnsi="Arial" w:eastAsia="Arial"/>
          <w:sz w:val="20"/>
        </w:rPr>
        <w:t>• The election applies only for one income year.</w:t>
      </w:r>
    </w:p>
    <w:p>
      <w:pPr>
        <w:spacing w:after="40"/>
        <w:ind w:left="360" w:hanging="216"/>
      </w:pPr>
      <w:r>
        <w:rPr>
          <w:rFonts w:ascii="Arial" w:hAnsi="Arial" w:eastAsia="Arial"/>
          <w:sz w:val="20"/>
        </w:rPr>
        <w:t>• The responsibility for paying tax is joint and individual for both husband and wife.</w:t>
      </w:r>
    </w:p>
    <w:p>
      <w:pPr>
        <w:spacing w:after="40"/>
        <w:ind w:left="360" w:hanging="216"/>
      </w:pPr>
      <w:r>
        <w:rPr>
          <w:rFonts w:ascii="Arial" w:hAnsi="Arial" w:eastAsia="Arial"/>
          <w:sz w:val="20"/>
        </w:rPr>
        <w:t>• A resident widower or widow required to maintain dependants (Qualified Widower) may also claim the same facility as a couple.</w:t>
      </w:r>
    </w:p>
    <w:p>
      <w:pPr>
        <w:pStyle w:val="Heading2"/>
      </w:pPr>
      <w:r>
        <w:t>11.3 Medical Tax Credit</w:t>
      </w:r>
    </w:p>
    <w:p>
      <w:pPr>
        <w:pStyle w:val="Heading3"/>
      </w:pPr>
      <w:r>
        <w:t>11.3.1 Credit for approved medical treatment expenditure</w:t>
      </w:r>
    </w:p>
    <w:p>
      <w:pPr>
        <w:spacing w:after="80" w:line="252" w:lineRule="auto"/>
      </w:pPr>
      <w:r>
        <w:rPr>
          <w:rFonts w:ascii="Arial" w:hAnsi="Arial" w:eastAsia="Arial"/>
          <w:b w:val="0"/>
          <w:i w:val="0"/>
          <w:sz w:val="20"/>
        </w:rPr>
        <w:t>A resident natural person may claim a medical tax credit for approved medical treatment expenditure incurred for that person by the person himself or herself, or through any other person, for example through an employer, in any income year. The Income Tax Act, 2058 does not provide for deduction of medical treatment expenditure as an expense. Instead, where a benefit is received in respect of medical treatment expenditure, the payment of such benefit is included in computing income and, after computation of tax, a specified amount is allowed to be directly reduced from the tax liability subject to the prescribed conditions and limits. Since a couple that has elected to be assessed as a couple is also treated as a natural person under the Act, the approved medical treatment expenditure incurred in an income year on the husband or the wife who has elected to be treated as one natural person for that income year is also recognized for this purpose.</w:t>
      </w:r>
    </w:p>
    <w:p>
      <w:pPr>
        <w:spacing w:after="80" w:line="252" w:lineRule="auto"/>
      </w:pPr>
      <w:r>
        <w:rPr>
          <w:rFonts w:ascii="Arial" w:hAnsi="Arial" w:eastAsia="Arial"/>
          <w:b w:val="0"/>
          <w:i w:val="0"/>
          <w:sz w:val="20"/>
        </w:rPr>
        <w:t>Section 51 of the Act contains the following provisions regarding medical tax credit.</w:t>
      </w:r>
    </w:p>
    <w:p>
      <w:pPr>
        <w:spacing w:after="80" w:line="252" w:lineRule="auto"/>
      </w:pPr>
      <w:r>
        <w:rPr>
          <w:rFonts w:ascii="Arial" w:hAnsi="Arial" w:eastAsia="Arial"/>
          <w:b w:val="0"/>
          <w:i w:val="0"/>
          <w:sz w:val="20"/>
        </w:rPr>
        <w:t>51(1) A resident natural person may claim a medical tax credit in an income year for approved medical treatment expenditure incurred for that person by the person himself or herself or through any other person.</w:t>
      </w:r>
    </w:p>
    <w:p>
      <w:pPr>
        <w:spacing w:after="80" w:line="252" w:lineRule="auto"/>
      </w:pPr>
      <w:r>
        <w:rPr>
          <w:rFonts w:ascii="Arial" w:hAnsi="Arial" w:eastAsia="Arial"/>
          <w:b w:val="0"/>
          <w:i w:val="0"/>
          <w:sz w:val="20"/>
        </w:rPr>
        <w:t>Medical treatment expenditure may be claimed for tax credit whether it has been incurred by the natural person personally or through any other person for that natural person. The expression "for that person" means medical treatment for the natural person himself or herself. However, in the case of a natural person electing to be treated as a couple for an income year, medical treatment expenditure incurred for both the husband and the wife during that income year may be claimed for tax credit.</w:t>
      </w:r>
    </w:p>
    <w:p>
      <w:pPr>
        <w:spacing w:after="80" w:line="252" w:lineRule="auto"/>
      </w:pPr>
      <w:r>
        <w:rPr>
          <w:rFonts w:ascii="Arial" w:hAnsi="Arial" w:eastAsia="Arial"/>
          <w:b/>
          <w:i w:val="0"/>
          <w:sz w:val="20"/>
        </w:rPr>
        <w:t>Example 11.3.1:</w:t>
      </w:r>
    </w:p>
    <w:p>
      <w:pPr>
        <w:spacing w:after="80" w:line="252" w:lineRule="auto"/>
      </w:pPr>
      <w:r>
        <w:rPr>
          <w:rFonts w:ascii="Arial" w:hAnsi="Arial" w:eastAsia="Arial"/>
          <w:b w:val="0"/>
          <w:i w:val="0"/>
          <w:sz w:val="20"/>
        </w:rPr>
        <w:t>Assume that an employee working in a company falls ill and receives medical treatment. Whether the medical treatment amount is paid by the employee himself or herself or is paid by the company in which the employee works, in both cases the employee may claim the tax credit. However, the facility of tax credit is available only if the medical treatment expenditure paid by the company has been included in the income of the natural person.</w:t>
      </w:r>
    </w:p>
    <w:p>
      <w:pPr>
        <w:spacing w:after="80" w:line="252" w:lineRule="auto"/>
      </w:pPr>
      <w:r>
        <w:rPr>
          <w:rFonts w:ascii="Arial" w:hAnsi="Arial" w:eastAsia="Arial"/>
          <w:b w:val="0"/>
          <w:i w:val="0"/>
          <w:sz w:val="20"/>
        </w:rPr>
        <w:t>51(2) The amount of medical tax credit of a natural person for an income year shall be computed by adding, to the amount equal to fifteen percent of the approved medical treatment expenditure referred to in subsection (1), any amount referred to in subsection (4), if any.</w:t>
      </w:r>
    </w:p>
    <w:p>
      <w:pPr>
        <w:spacing w:after="80" w:line="252" w:lineRule="auto"/>
      </w:pPr>
      <w:r>
        <w:rPr>
          <w:rFonts w:ascii="Arial" w:hAnsi="Arial" w:eastAsia="Arial"/>
          <w:b w:val="0"/>
          <w:i w:val="0"/>
          <w:sz w:val="20"/>
        </w:rPr>
        <w:t>When claiming a tax credit, the whole amount spent as approved medical treatment expenditure in an income year cannot be deducted from the tax payable. Only fifteen percent of the approved medical treatment expenditure incurred, and any balance of tax credit brought forward from previous years, may be deducted.</w:t>
      </w:r>
    </w:p>
    <w:p>
      <w:pPr>
        <w:spacing w:after="80" w:line="252" w:lineRule="auto"/>
      </w:pPr>
      <w:r>
        <w:rPr>
          <w:rFonts w:ascii="Arial" w:hAnsi="Arial" w:eastAsia="Arial"/>
          <w:b/>
          <w:i w:val="0"/>
          <w:sz w:val="20"/>
        </w:rPr>
        <w:t>Example 11.3.2:</w:t>
      </w:r>
    </w:p>
    <w:p>
      <w:pPr>
        <w:spacing w:after="80" w:line="252" w:lineRule="auto"/>
      </w:pPr>
      <w:r>
        <w:rPr>
          <w:rFonts w:ascii="Arial" w:hAnsi="Arial" w:eastAsia="Arial"/>
          <w:b w:val="0"/>
          <w:i w:val="0"/>
          <w:sz w:val="20"/>
        </w:rPr>
        <w:t>Assume that a person has brought forward Rs. 300 from a previous year as medical tax credit that could not be adjusted. In the current year, the person has incurred Rs. 2,000 as approved medical treatment expenditure. The person may claim Rs. 300, being fifteen percent of Rs. 2,000 incurred in the current year, plus the brought-forward balance of Rs. 300, making a total medical tax credit of Rs. 600, and pay the remaining tax after reducing that amount from the tax payable for the current year.</w:t>
      </w:r>
    </w:p>
    <w:p>
      <w:pPr>
        <w:spacing w:after="80" w:line="252" w:lineRule="auto"/>
      </w:pPr>
      <w:r>
        <w:rPr>
          <w:rFonts w:ascii="Arial" w:hAnsi="Arial" w:eastAsia="Arial"/>
          <w:b w:val="0"/>
          <w:i w:val="0"/>
          <w:sz w:val="20"/>
        </w:rPr>
        <w:t>51(3) Notwithstanding anything contained in subsection (2), the amount of medical tax credit claimed by a natural person in any income year shall not exceed the prescribed limit.</w:t>
      </w:r>
    </w:p>
    <w:p>
      <w:pPr>
        <w:spacing w:after="80" w:line="252" w:lineRule="auto"/>
      </w:pPr>
      <w:r>
        <w:rPr>
          <w:rFonts w:ascii="Arial" w:hAnsi="Arial" w:eastAsia="Arial"/>
          <w:b w:val="0"/>
          <w:i w:val="0"/>
          <w:sz w:val="20"/>
        </w:rPr>
        <w:t>Subsection (2) provides that the amount equal to fifteen percent of the approved medical treatment expenditure shall be added to the amount carried forward from previous years. The amount so calculated may be reduced from the tax payable for the same year only within the specified limit. Rule 17(3) of the Income Tax Rules prescribes the maximum amount that may be claimed as tax credit in one year. Under that rule, a maximum of only Rs. 1,500 may be reduced from tax payable in one year in respect of approved medical treatment. Accordingly, the amount of medical tax credit is determined as the lowest of the following amounts:</w:t>
      </w:r>
    </w:p>
    <w:p>
      <w:pPr>
        <w:spacing w:after="80" w:line="252" w:lineRule="auto"/>
      </w:pPr>
      <w:r>
        <w:rPr>
          <w:rFonts w:ascii="Arial" w:hAnsi="Arial" w:eastAsia="Arial"/>
          <w:b w:val="0"/>
          <w:i w:val="0"/>
          <w:sz w:val="20"/>
        </w:rPr>
        <w:t>(a) Rs. 1,500;</w:t>
      </w:r>
    </w:p>
    <w:p>
      <w:pPr>
        <w:spacing w:after="80" w:line="252" w:lineRule="auto"/>
      </w:pPr>
      <w:r>
        <w:rPr>
          <w:rFonts w:ascii="Arial" w:hAnsi="Arial" w:eastAsia="Arial"/>
          <w:b w:val="0"/>
          <w:i w:val="0"/>
          <w:sz w:val="20"/>
        </w:rPr>
        <w:t>(b) the sum of the unadjusted tax credit brought forward from previous years and fifteen percent of the approved medical treatment expenditure of the current year; and</w:t>
      </w:r>
    </w:p>
    <w:p>
      <w:pPr>
        <w:spacing w:after="80" w:line="252" w:lineRule="auto"/>
      </w:pPr>
      <w:r>
        <w:rPr>
          <w:rFonts w:ascii="Arial" w:hAnsi="Arial" w:eastAsia="Arial"/>
          <w:b w:val="0"/>
          <w:i w:val="0"/>
          <w:sz w:val="20"/>
        </w:rPr>
        <w:t>(c) the tax payable for the current year.</w:t>
      </w:r>
    </w:p>
    <w:p>
      <w:pPr>
        <w:spacing w:after="80" w:line="252" w:lineRule="auto"/>
      </w:pPr>
      <w:r>
        <w:rPr>
          <w:rFonts w:ascii="Arial" w:hAnsi="Arial" w:eastAsia="Arial"/>
          <w:b w:val="0"/>
          <w:i w:val="0"/>
          <w:sz w:val="20"/>
        </w:rPr>
        <w:t>The above provision is clarified in the following example.</w:t>
      </w:r>
    </w:p>
    <w:p>
      <w:pPr>
        <w:spacing w:after="80" w:line="252" w:lineRule="auto"/>
      </w:pPr>
      <w:r>
        <w:rPr>
          <w:rFonts w:ascii="Arial" w:hAnsi="Arial" w:eastAsia="Arial"/>
          <w:b/>
          <w:i w:val="0"/>
          <w:sz w:val="20"/>
        </w:rPr>
        <w:t>Example 11.3.3:</w:t>
      </w:r>
    </w:p>
    <w:p>
      <w:pPr>
        <w:spacing w:after="80" w:line="252" w:lineRule="auto"/>
      </w:pPr>
      <w:r>
        <w:rPr>
          <w:rFonts w:ascii="Arial" w:hAnsi="Arial" w:eastAsia="Arial"/>
          <w:b w:val="0"/>
          <w:i w:val="0"/>
          <w:sz w:val="20"/>
        </w:rPr>
        <w:t>Assume that a person has brought forward Rs. 500 from a previous year as medical tax credit that could not be adjusted. In the current year, the person has incurred Rs. 20,000 as approved medical treatment expenditure. The person is entitled to a credit of Rs. 3,000, being fifteen percent of Rs. 20,000 incurred in the current year, plus the brought-forward balance of Rs. 500, making a total of Rs. 3,500. However, Rule 17(3) of the Income Tax Rules prescribes that the maximum tax credit available in one year is Rs. 1,500 only. Therefore, the person may adjust only Rs. 1,500 in the current year and must carry forward the remaining Rs. 2,000 to the next year.</w:t>
      </w:r>
    </w:p>
    <w:p>
      <w:pPr>
        <w:spacing w:after="80" w:line="252" w:lineRule="auto"/>
      </w:pPr>
      <w:r>
        <w:rPr>
          <w:rFonts w:ascii="Arial" w:hAnsi="Arial" w:eastAsia="Arial"/>
          <w:b w:val="0"/>
          <w:i w:val="0"/>
          <w:sz w:val="20"/>
        </w:rPr>
        <w:t>51(4) In an income year, in the case of a natural person, the excess amount referred to in clauses (a) and (b) may be carried forward and included in the amount referred to in subsection (2) in subsequent years to the following extent:</w:t>
      </w:r>
    </w:p>
    <w:p>
      <w:pPr>
        <w:spacing w:after="80" w:line="252" w:lineRule="auto"/>
      </w:pPr>
      <w:r>
        <w:rPr>
          <w:rFonts w:ascii="Arial" w:hAnsi="Arial" w:eastAsia="Arial"/>
          <w:b w:val="0"/>
          <w:i w:val="0"/>
          <w:sz w:val="20"/>
        </w:rPr>
        <w:t>51(4)(a) where the amount under subsection (2) exceeds the limit under subsection (3), the excess amount; and</w:t>
      </w:r>
    </w:p>
    <w:p>
      <w:pPr>
        <w:spacing w:after="80" w:line="252" w:lineRule="auto"/>
      </w:pPr>
      <w:r>
        <w:rPr>
          <w:rFonts w:ascii="Arial" w:hAnsi="Arial" w:eastAsia="Arial"/>
          <w:b w:val="0"/>
          <w:i w:val="0"/>
          <w:sz w:val="20"/>
        </w:rPr>
        <w:t>Where, in any year, fifteen percent of the approved medical treatment expenditure exceeds Rs. 1,500, Rs. 1,500 may be reduced from tax payable for that year and the remaining balance may be carried forward to the next year.</w:t>
      </w:r>
    </w:p>
    <w:p>
      <w:pPr>
        <w:spacing w:after="80" w:line="252" w:lineRule="auto"/>
      </w:pPr>
      <w:r>
        <w:rPr>
          <w:rFonts w:ascii="Arial" w:hAnsi="Arial" w:eastAsia="Arial"/>
          <w:b/>
          <w:i w:val="0"/>
          <w:sz w:val="20"/>
        </w:rPr>
        <w:t>Example 11.3.4:</w:t>
      </w:r>
    </w:p>
    <w:p>
      <w:pPr>
        <w:spacing w:after="80" w:line="252" w:lineRule="auto"/>
      </w:pPr>
      <w:r>
        <w:rPr>
          <w:rFonts w:ascii="Arial" w:hAnsi="Arial" w:eastAsia="Arial"/>
          <w:b w:val="0"/>
          <w:i w:val="0"/>
          <w:sz w:val="20"/>
        </w:rPr>
        <w:t>Assume that in an income year a person incurs approved medical treatment expenditure of Rs. 20,000. The person may reduce from the tax payable for that year the lower of fifteen percent of that amount and the allowable limit of Rs. 1,500 for that year. In this example, fifteen percent of Rs. 20,000 is Rs. 3,000, but the maximum allowable limit is Rs. 1,500. Therefore, the person may reduce only Rs. 1,500 from the tax payable for that year. The remaining Rs. 1,500 may be carried forward for reduction from tax payable in the following year.</w:t>
      </w:r>
    </w:p>
    <w:p>
      <w:pPr>
        <w:spacing w:after="80" w:line="252" w:lineRule="auto"/>
      </w:pPr>
      <w:r>
        <w:rPr>
          <w:rFonts w:ascii="Arial" w:hAnsi="Arial" w:eastAsia="Arial"/>
          <w:b w:val="0"/>
          <w:i w:val="0"/>
          <w:sz w:val="20"/>
        </w:rPr>
        <w:t>51(4)(b) the amount up to the extent that the person referred to in clause (a) of Section 3 is unable to utilize the medical tax credit because the tax payable by the person in that year is lower.</w:t>
      </w:r>
    </w:p>
    <w:p>
      <w:pPr>
        <w:spacing w:after="80" w:line="252" w:lineRule="auto"/>
      </w:pPr>
      <w:r>
        <w:rPr>
          <w:rFonts w:ascii="Arial" w:hAnsi="Arial" w:eastAsia="Arial"/>
          <w:b w:val="0"/>
          <w:i w:val="0"/>
          <w:sz w:val="20"/>
        </w:rPr>
        <w:t>Although the maximum tax credit available in a year is Rs. 1,500, if the tax payable is less than Rs. 1,500, the credit is adjusted only up to the amount of tax payable, and the excess amount may be carried forward to the next year.</w:t>
      </w:r>
    </w:p>
    <w:p>
      <w:pPr>
        <w:spacing w:after="80" w:line="252" w:lineRule="auto"/>
      </w:pPr>
      <w:r>
        <w:rPr>
          <w:rFonts w:ascii="Arial" w:hAnsi="Arial" w:eastAsia="Arial"/>
          <w:b/>
          <w:i w:val="0"/>
          <w:sz w:val="20"/>
        </w:rPr>
        <w:t>Example 11.3.5:</w:t>
      </w:r>
    </w:p>
    <w:p>
      <w:pPr>
        <w:spacing w:after="80" w:line="252" w:lineRule="auto"/>
      </w:pPr>
      <w:r>
        <w:rPr>
          <w:rFonts w:ascii="Arial" w:hAnsi="Arial" w:eastAsia="Arial"/>
          <w:b w:val="0"/>
          <w:i w:val="0"/>
          <w:sz w:val="20"/>
        </w:rPr>
        <w:t>Assume that in an income year a person incurs approved medical treatment expenditure of Rs. 4,000. Fifteen percent of that amount is Rs. 600, which may be reduced from the tax payable for that year. However, if the tax payable by the person for that year is only Rs. 500, the person may adjust Rs. 500 in that year and carry forward the excess Rs. 100 to be reduced from tax payable in the following year.</w:t>
      </w:r>
    </w:p>
    <w:p>
      <w:pPr>
        <w:spacing w:after="80" w:line="252" w:lineRule="auto"/>
      </w:pPr>
      <w:r>
        <w:rPr>
          <w:rFonts w:ascii="Arial" w:hAnsi="Arial" w:eastAsia="Arial"/>
          <w:b w:val="0"/>
          <w:i w:val="0"/>
          <w:sz w:val="20"/>
        </w:rPr>
        <w:t>Explanation: For the purposes of this section, "approved medical treatment expenditure" means the approved medical treatment expenditure as prescribed.</w:t>
      </w:r>
    </w:p>
    <w:p>
      <w:pPr>
        <w:spacing w:after="80" w:line="252" w:lineRule="auto"/>
      </w:pPr>
      <w:r>
        <w:rPr>
          <w:rFonts w:ascii="Arial" w:hAnsi="Arial" w:eastAsia="Arial"/>
          <w:b w:val="0"/>
          <w:i w:val="0"/>
          <w:sz w:val="20"/>
        </w:rPr>
        <w:t>Rule 17(1) of the Income Tax Rules, 2059 provides that the following medical treatment expenditure shall be treated as approved medical treatment expenditure:</w:t>
      </w:r>
    </w:p>
    <w:p>
      <w:pPr>
        <w:spacing w:after="80" w:line="252" w:lineRule="auto"/>
      </w:pPr>
      <w:r>
        <w:rPr>
          <w:rFonts w:ascii="Arial" w:hAnsi="Arial" w:eastAsia="Arial"/>
          <w:b w:val="0"/>
          <w:i w:val="0"/>
          <w:sz w:val="20"/>
        </w:rPr>
        <w:t>(1) For the purpose of computing medical tax credit under Section 51 of the Act, the following medical treatment expenditure shall be treated as approved medical treatment expenditure:</w:t>
      </w:r>
    </w:p>
    <w:p>
      <w:pPr>
        <w:spacing w:after="80" w:line="252" w:lineRule="auto"/>
      </w:pPr>
      <w:r>
        <w:rPr>
          <w:rFonts w:ascii="Arial" w:hAnsi="Arial" w:eastAsia="Arial"/>
          <w:b w:val="0"/>
          <w:i w:val="0"/>
          <w:sz w:val="20"/>
        </w:rPr>
        <w:t>(a) ........................</w:t>
      </w:r>
    </w:p>
    <w:p>
      <w:pPr>
        <w:spacing w:after="80" w:line="252" w:lineRule="auto"/>
      </w:pPr>
      <w:r>
        <w:rPr>
          <w:rFonts w:ascii="Arial" w:hAnsi="Arial" w:eastAsia="Arial"/>
          <w:b w:val="0"/>
          <w:i w:val="0"/>
          <w:sz w:val="20"/>
        </w:rPr>
        <w:t>(b) the amount as per bills, including medicines, incurred for treatment of a natural person by a recognized hospital, nursing home, health centre or medical practitioner.</w:t>
      </w:r>
    </w:p>
    <w:p>
      <w:pPr>
        <w:spacing w:after="80" w:line="252" w:lineRule="auto"/>
      </w:pPr>
      <w:r>
        <w:rPr>
          <w:rFonts w:ascii="Arial" w:hAnsi="Arial" w:eastAsia="Arial"/>
          <w:b w:val="0"/>
          <w:i w:val="0"/>
          <w:sz w:val="20"/>
        </w:rPr>
        <w:t>However, the following expenses shall not be treated as approved medical treatment expenditure:</w:t>
      </w:r>
    </w:p>
    <w:p>
      <w:pPr>
        <w:spacing w:after="80" w:line="252" w:lineRule="auto"/>
      </w:pPr>
      <w:r>
        <w:rPr>
          <w:rFonts w:ascii="Arial" w:hAnsi="Arial" w:eastAsia="Arial"/>
          <w:b w:val="0"/>
          <w:i w:val="0"/>
          <w:sz w:val="20"/>
        </w:rPr>
        <w:t>(a) expenditure incurred for cosmetic surgery; and</w:t>
      </w:r>
    </w:p>
    <w:p>
      <w:pPr>
        <w:spacing w:after="80" w:line="252" w:lineRule="auto"/>
      </w:pPr>
      <w:r>
        <w:rPr>
          <w:rFonts w:ascii="Arial" w:hAnsi="Arial" w:eastAsia="Arial"/>
          <w:b w:val="0"/>
          <w:i w:val="0"/>
          <w:sz w:val="20"/>
        </w:rPr>
        <w:t>(b) expenditure referred to in clause (b) of sub-rule (1) for which compensation has been received from the insurance referred to in subsection (16) of Section 1 of Schedule 1 of the Act.</w:t>
      </w:r>
    </w:p>
    <w:p>
      <w:pPr>
        <w:spacing w:after="80" w:line="252" w:lineRule="auto"/>
      </w:pPr>
      <w:r>
        <w:rPr>
          <w:rFonts w:ascii="Arial" w:hAnsi="Arial" w:eastAsia="Arial"/>
          <w:b w:val="0"/>
          <w:i w:val="0"/>
          <w:sz w:val="20"/>
        </w:rPr>
        <w:t>Where a person has obtained health insurance and, in accordance with the insurance policy, receives reimbursement or compensation for health treatment expenditure required to be borne by that person, the person may not claim medical tax credit in respect of medical treatment expenditure up to the amount of such compensation received.</w:t>
      </w:r>
    </w:p>
    <w:p>
      <w:pPr>
        <w:pStyle w:val="Heading3"/>
      </w:pPr>
      <w:r>
        <w:t>11.3.2 Deduction for health insurance premium</w:t>
      </w:r>
    </w:p>
    <w:p>
      <w:pPr>
        <w:spacing w:after="80" w:line="252" w:lineRule="auto"/>
      </w:pPr>
      <w:r>
        <w:rPr>
          <w:rFonts w:ascii="Arial" w:hAnsi="Arial" w:eastAsia="Arial"/>
          <w:b w:val="0"/>
          <w:i w:val="0"/>
          <w:sz w:val="20"/>
        </w:rPr>
        <w:t>A resident natural person may deduct a prescribed amount paid for health insurance from taxable income. This is provided in subsection (16) of Section 1 of Schedule 1.</w:t>
      </w:r>
    </w:p>
    <w:p>
      <w:pPr>
        <w:spacing w:after="80" w:line="252" w:lineRule="auto"/>
      </w:pPr>
      <w:r>
        <w:rPr>
          <w:rFonts w:ascii="Arial" w:hAnsi="Arial" w:eastAsia="Arial"/>
          <w:b w:val="0"/>
          <w:i w:val="0"/>
          <w:sz w:val="20"/>
        </w:rPr>
        <w:t>Schedule 1, Section 1, subsection (16): Notwithstanding anything contained elsewhere in this section, where a resident natural person has procured health insurance from a resident insurance company, tax under this section shall be computed only on the balance remaining after reducing from taxable income the lower of the annual premium paid for such insurance and twenty thousand rupees.</w:t>
      </w:r>
    </w:p>
    <w:p>
      <w:pPr>
        <w:spacing w:after="80" w:line="252" w:lineRule="auto"/>
      </w:pPr>
      <w:r>
        <w:rPr>
          <w:rFonts w:ascii="Arial" w:hAnsi="Arial" w:eastAsia="Arial"/>
          <w:b/>
          <w:i w:val="0"/>
          <w:sz w:val="20"/>
        </w:rPr>
        <w:t>Example 11.3.6:</w:t>
      </w:r>
    </w:p>
    <w:p>
      <w:pPr>
        <w:spacing w:after="80" w:line="252" w:lineRule="auto"/>
      </w:pPr>
      <w:r>
        <w:rPr>
          <w:rFonts w:ascii="Arial" w:hAnsi="Arial" w:eastAsia="Arial"/>
          <w:b w:val="0"/>
          <w:i w:val="0"/>
          <w:sz w:val="20"/>
        </w:rPr>
        <w:t>Assume that Harihar Mathema has procured health insurance from an insurance company by paying an annual premium of Rs. 15,000. In computing his remuneration income, he may deduct from taxable income the lower of the insurance premium paid and twenty thousand rupees. Therefore, tax is levied only on the balance remaining after deducting the premium paid of Rs. 15,000.</w:t>
      </w:r>
    </w:p>
    <w:p>
      <w:pPr>
        <w:spacing w:after="80" w:line="252" w:lineRule="auto"/>
      </w:pPr>
      <w:r>
        <w:rPr>
          <w:rFonts w:ascii="Arial" w:hAnsi="Arial" w:eastAsia="Arial"/>
          <w:b w:val="0"/>
          <w:i w:val="0"/>
          <w:sz w:val="20"/>
        </w:rPr>
        <w:t>Where a resident natural person deducts the amount of health insurance premium from taxable income, the person cannot claim the medical tax credit of Rs. 1,500 for medical treatment.</w:t>
      </w:r>
    </w:p>
    <w:p>
      <w:pPr>
        <w:spacing w:after="80" w:line="252" w:lineRule="auto"/>
      </w:pPr>
      <w:r>
        <w:rPr>
          <w:rFonts w:ascii="Arial" w:hAnsi="Arial" w:eastAsia="Arial"/>
          <w:b w:val="0"/>
          <w:i w:val="0"/>
          <w:sz w:val="20"/>
        </w:rPr>
        <w:t>In this respect, Rule 17(2)(b) of the Income Tax Rules, 2059 provides that such expenditure is not treated as approved medical treatment expenditure.</w:t>
      </w:r>
    </w:p>
    <w:p>
      <w:pPr>
        <w:spacing w:after="80" w:line="252" w:lineRule="auto"/>
      </w:pPr>
      <w:r>
        <w:rPr>
          <w:rFonts w:ascii="Arial" w:hAnsi="Arial" w:eastAsia="Arial"/>
          <w:b w:val="0"/>
          <w:i w:val="0"/>
          <w:sz w:val="20"/>
        </w:rPr>
        <w:t>Rule 17(2): Notwithstanding anything contained in sub-rule (1), the following expenses shall not be treated as approved medical treatment expenditure:</w:t>
      </w:r>
    </w:p>
    <w:p>
      <w:pPr>
        <w:spacing w:after="80" w:line="252" w:lineRule="auto"/>
      </w:pPr>
      <w:r>
        <w:rPr>
          <w:rFonts w:ascii="Arial" w:hAnsi="Arial" w:eastAsia="Arial"/>
          <w:b w:val="0"/>
          <w:i w:val="0"/>
          <w:sz w:val="20"/>
        </w:rPr>
        <w:t>(a) expenditure incurred for cosmetic surgery; and</w:t>
      </w:r>
    </w:p>
    <w:p>
      <w:pPr>
        <w:spacing w:after="80" w:line="252" w:lineRule="auto"/>
      </w:pPr>
      <w:r>
        <w:rPr>
          <w:rFonts w:ascii="Arial" w:hAnsi="Arial" w:eastAsia="Arial"/>
          <w:b w:val="0"/>
          <w:i w:val="0"/>
          <w:sz w:val="20"/>
        </w:rPr>
        <w:t>(b) expenditure referred to in clause (b) of sub-rule (1) for which compensation has been received from the insurance referred to in subsection (16) of Section 1 of Schedule 1 of the Act.</w:t>
      </w:r>
    </w:p>
    <w:p>
      <w:pPr>
        <w:spacing w:after="80" w:line="252" w:lineRule="auto"/>
      </w:pPr>
      <w:r>
        <w:rPr>
          <w:rFonts w:ascii="Arial" w:hAnsi="Arial" w:eastAsia="Arial"/>
          <w:b w:val="0"/>
          <w:i w:val="0"/>
          <w:sz w:val="20"/>
        </w:rPr>
        <w:t>Under the Act, a resident natural person may claim medical tax credit in an income year for approved medical treatment expenditure incurred for that person by the person himself or herself or through any other person, and for purposes of medical tax credit only approved medical treatment expenditure may be claimed. Since a couple electing to be assessed as a couple is also treated as a natural person under the Act, approved medical treatment expenditure incurred on the husband or wife in the income year in which the couple election is made is also recognized for this purpose.</w:t>
      </w:r>
    </w:p>
    <w:p>
      <w:pPr>
        <w:spacing w:after="80" w:line="252" w:lineRule="auto"/>
      </w:pPr>
      <w:r>
        <w:rPr>
          <w:rFonts w:ascii="Arial" w:hAnsi="Arial" w:eastAsia="Arial"/>
          <w:b w:val="0"/>
          <w:i w:val="0"/>
          <w:sz w:val="20"/>
        </w:rPr>
        <w:t>In any income year, the amount of medical tax credit of a natural person is computed by adding any unadjusted amount of previous years, if any, to the amount equal to fifteen percent of the approved medical treatment expenditure.</w:t>
      </w:r>
    </w:p>
    <w:p>
      <w:pPr>
        <w:spacing w:after="80" w:line="252" w:lineRule="auto"/>
      </w:pPr>
      <w:r>
        <w:rPr>
          <w:rFonts w:ascii="Arial" w:hAnsi="Arial" w:eastAsia="Arial"/>
          <w:b/>
          <w:i w:val="0"/>
          <w:sz w:val="20"/>
        </w:rPr>
        <w:t>Example 11.3.7:</w:t>
      </w:r>
    </w:p>
    <w:p>
      <w:pPr>
        <w:spacing w:after="80" w:line="252" w:lineRule="auto"/>
      </w:pPr>
      <w:r>
        <w:rPr>
          <w:rFonts w:ascii="Arial" w:hAnsi="Arial" w:eastAsia="Arial"/>
          <w:b w:val="0"/>
          <w:i w:val="0"/>
          <w:sz w:val="20"/>
        </w:rPr>
        <w:t>Assume that in one fiscal year a person incurs Rs. 20,000 for approved medical treatment. Because Rule 17(3) prescribes the limit of credit at Rs. 1,500, the person may reduce Rs. 1,500 out of Rs. 3,000, being fifteen percent of the medical treatment expenditure, from tax liability in that year and may reduce the remaining Rs. 1,500 from tax liability in the following year. Even if the tax liability is less than Rs. 1,500, the person may utilize the facility and carry forward the remaining amount to the next year.</w:t>
      </w:r>
    </w:p>
    <w:p>
      <w:pPr>
        <w:spacing w:after="80" w:line="252" w:lineRule="auto"/>
      </w:pPr>
      <w:r>
        <w:rPr>
          <w:rFonts w:ascii="Arial" w:hAnsi="Arial" w:eastAsia="Arial"/>
          <w:b/>
          <w:i w:val="0"/>
          <w:sz w:val="20"/>
        </w:rPr>
        <w:t>Example 11.3.8:</w:t>
      </w:r>
    </w:p>
    <w:p>
      <w:pPr>
        <w:spacing w:after="80" w:line="252" w:lineRule="auto"/>
      </w:pPr>
      <w:r>
        <w:rPr>
          <w:rFonts w:ascii="Arial" w:hAnsi="Arial" w:eastAsia="Arial"/>
          <w:b w:val="0"/>
          <w:i w:val="0"/>
          <w:sz w:val="20"/>
        </w:rPr>
        <w:t>Assume that the taxable income of Bharat Kuswaha in fiscal year 2080/81 is Rs. 630,000. For assessment purposes, he elects to be treated as a couple in that year. During that income year, he incurs approved medical treatment expenditure of Rs. 6,000 on himself and Rs. 8,000 on his wife, making a total of Rs. 14,000. Similarly, in fiscal year 2081/82 his taxable income is Rs. 650,000 and he again elects to be treated as a couple. In that income year he incurs approved medical treatment expenditure of Rs. 10,000 on himself. The Medical Tax Credit claimable in fiscal years 2080/81 and 2081/82 is as follows:</w:t>
      </w:r>
    </w:p>
    <w:tbl>
      <w:tblPr>
        <w:tblStyle w:val="TableGrid"/>
        <w:tblW w:type="auto" w:w="0"/>
        <w:jc w:val="center"/>
        <w:tblLayout w:type="autofit"/>
        <w:tblLook w:firstColumn="1" w:firstRow="1" w:lastColumn="0" w:lastRow="0" w:noHBand="0" w:noVBand="1" w:val="04A0"/>
      </w:tblPr>
      <w:tblGrid>
        <w:gridCol w:w="3408"/>
        <w:gridCol w:w="3408"/>
        <w:gridCol w:w="3408"/>
      </w:tblGrid>
      <w:tr>
        <w:tc>
          <w:tcPr>
            <w:tcW w:type="dxa" w:w="5616"/>
            <w:vAlign w:val="top"/>
            <w:shd w:fill="D9EAF7"/>
          </w:tcPr>
          <w:p>
            <w:pPr>
              <w:spacing w:after="0"/>
            </w:pPr>
            <w:r/>
            <w:r>
              <w:rPr>
                <w:rFonts w:ascii="Arial" w:hAnsi="Arial" w:eastAsia="Arial"/>
                <w:b/>
                <w:sz w:val="18"/>
              </w:rPr>
              <w:t>Particulars - FY 2080/81</w:t>
            </w:r>
          </w:p>
        </w:tc>
        <w:tc>
          <w:tcPr>
            <w:tcW w:type="dxa" w:w="1944"/>
            <w:vAlign w:val="top"/>
            <w:shd w:fill="D9EAF7"/>
          </w:tcPr>
          <w:p>
            <w:pPr>
              <w:spacing w:after="0"/>
            </w:pPr>
            <w:r/>
            <w:r>
              <w:rPr>
                <w:rFonts w:ascii="Arial" w:hAnsi="Arial" w:eastAsia="Arial"/>
                <w:b/>
                <w:sz w:val="18"/>
              </w:rPr>
              <w:t>Amount (Rs.)</w:t>
            </w:r>
          </w:p>
        </w:tc>
        <w:tc>
          <w:tcPr>
            <w:tcW w:type="dxa" w:w="1944"/>
            <w:vAlign w:val="top"/>
            <w:shd w:fill="D9EAF7"/>
          </w:tcPr>
          <w:p>
            <w:pPr>
              <w:spacing w:after="0"/>
            </w:pPr>
            <w:r/>
            <w:r>
              <w:rPr>
                <w:rFonts w:ascii="Arial" w:hAnsi="Arial" w:eastAsia="Arial"/>
                <w:b/>
                <w:sz w:val="18"/>
              </w:rPr>
              <w:t>Tax / Credit (Rs.)</w:t>
            </w:r>
          </w:p>
        </w:tc>
      </w:tr>
      <w:tr>
        <w:tc>
          <w:tcPr>
            <w:tcW w:type="dxa" w:w="5616"/>
            <w:vAlign w:val="top"/>
          </w:tcPr>
          <w:p>
            <w:pPr>
              <w:spacing w:after="0"/>
            </w:pPr>
            <w:r/>
            <w:r>
              <w:rPr>
                <w:rFonts w:ascii="Arial" w:hAnsi="Arial" w:eastAsia="Arial"/>
                <w:b w:val="0"/>
                <w:sz w:val="18"/>
              </w:rPr>
              <w:t>Taxable income for FY 2080/81</w:t>
            </w:r>
          </w:p>
        </w:tc>
        <w:tc>
          <w:tcPr>
            <w:tcW w:type="dxa" w:w="1944"/>
            <w:vAlign w:val="top"/>
          </w:tcPr>
          <w:p>
            <w:pPr>
              <w:spacing w:after="0"/>
            </w:pPr>
            <w:r/>
            <w:r>
              <w:rPr>
                <w:rFonts w:ascii="Arial" w:hAnsi="Arial" w:eastAsia="Arial"/>
                <w:b w:val="0"/>
                <w:sz w:val="18"/>
              </w:rPr>
              <w:t>630,000</w:t>
            </w:r>
          </w:p>
        </w:tc>
        <w:tc>
          <w:tcPr>
            <w:tcW w:type="dxa" w:w="1944"/>
            <w:vAlign w:val="top"/>
          </w:tcPr>
          <w:p>
            <w:pPr>
              <w:spacing w:after="0"/>
            </w:pPr>
            <w:r/>
            <w:r>
              <w:rPr>
                <w:rFonts w:ascii="Arial" w:hAnsi="Arial" w:eastAsia="Arial"/>
                <w:b w:val="0"/>
                <w:sz w:val="18"/>
              </w:rPr>
            </w:r>
          </w:p>
        </w:tc>
      </w:tr>
      <w:tr>
        <w:tc>
          <w:tcPr>
            <w:tcW w:type="dxa" w:w="5616"/>
            <w:vAlign w:val="top"/>
          </w:tcPr>
          <w:p>
            <w:pPr>
              <w:spacing w:after="0"/>
            </w:pPr>
            <w:r/>
            <w:r>
              <w:rPr>
                <w:rFonts w:ascii="Arial" w:hAnsi="Arial" w:eastAsia="Arial"/>
                <w:b w:val="0"/>
                <w:sz w:val="18"/>
              </w:rPr>
              <w:t>First slab - tax at 1% up to Rs. 600,000</w:t>
            </w:r>
          </w:p>
        </w:tc>
        <w:tc>
          <w:tcPr>
            <w:tcW w:type="dxa" w:w="1944"/>
            <w:vAlign w:val="top"/>
          </w:tcPr>
          <w:p>
            <w:pPr>
              <w:spacing w:after="0"/>
            </w:pPr>
            <w:r/>
            <w:r>
              <w:rPr>
                <w:rFonts w:ascii="Arial" w:hAnsi="Arial" w:eastAsia="Arial"/>
                <w:b w:val="0"/>
                <w:sz w:val="18"/>
              </w:rPr>
              <w:t>600,000</w:t>
            </w:r>
          </w:p>
        </w:tc>
        <w:tc>
          <w:tcPr>
            <w:tcW w:type="dxa" w:w="1944"/>
            <w:vAlign w:val="top"/>
          </w:tcPr>
          <w:p>
            <w:pPr>
              <w:spacing w:after="0"/>
            </w:pPr>
            <w:r/>
            <w:r>
              <w:rPr>
                <w:rFonts w:ascii="Arial" w:hAnsi="Arial" w:eastAsia="Arial"/>
                <w:b w:val="0"/>
                <w:sz w:val="18"/>
              </w:rPr>
              <w:t>6,000</w:t>
            </w:r>
          </w:p>
        </w:tc>
      </w:tr>
      <w:tr>
        <w:tc>
          <w:tcPr>
            <w:tcW w:type="dxa" w:w="5616"/>
            <w:vAlign w:val="top"/>
          </w:tcPr>
          <w:p>
            <w:pPr>
              <w:spacing w:after="0"/>
            </w:pPr>
            <w:r/>
            <w:r>
              <w:rPr>
                <w:rFonts w:ascii="Arial" w:hAnsi="Arial" w:eastAsia="Arial"/>
                <w:b w:val="0"/>
                <w:sz w:val="18"/>
              </w:rPr>
              <w:t>Second slab - tax at 10%</w:t>
            </w:r>
          </w:p>
        </w:tc>
        <w:tc>
          <w:tcPr>
            <w:tcW w:type="dxa" w:w="1944"/>
            <w:vAlign w:val="top"/>
          </w:tcPr>
          <w:p>
            <w:pPr>
              <w:spacing w:after="0"/>
            </w:pPr>
            <w:r/>
            <w:r>
              <w:rPr>
                <w:rFonts w:ascii="Arial" w:hAnsi="Arial" w:eastAsia="Arial"/>
                <w:b w:val="0"/>
                <w:sz w:val="18"/>
              </w:rPr>
              <w:t>30,000</w:t>
            </w:r>
          </w:p>
        </w:tc>
        <w:tc>
          <w:tcPr>
            <w:tcW w:type="dxa" w:w="1944"/>
            <w:vAlign w:val="top"/>
          </w:tcPr>
          <w:p>
            <w:pPr>
              <w:spacing w:after="0"/>
            </w:pPr>
            <w:r/>
            <w:r>
              <w:rPr>
                <w:rFonts w:ascii="Arial" w:hAnsi="Arial" w:eastAsia="Arial"/>
                <w:b w:val="0"/>
                <w:sz w:val="18"/>
              </w:rPr>
              <w:t>3,000</w:t>
            </w:r>
          </w:p>
        </w:tc>
      </w:tr>
      <w:tr>
        <w:tc>
          <w:tcPr>
            <w:tcW w:type="dxa" w:w="5616"/>
            <w:vAlign w:val="top"/>
          </w:tcPr>
          <w:p>
            <w:pPr>
              <w:spacing w:after="0"/>
            </w:pPr>
            <w:r/>
            <w:r>
              <w:rPr>
                <w:rFonts w:ascii="Arial" w:hAnsi="Arial" w:eastAsia="Arial"/>
                <w:b w:val="0"/>
                <w:sz w:val="18"/>
              </w:rPr>
              <w:t>Total tax liability</w:t>
            </w:r>
          </w:p>
        </w:tc>
        <w:tc>
          <w:tcPr>
            <w:tcW w:type="dxa" w:w="1944"/>
            <w:vAlign w:val="top"/>
          </w:tcPr>
          <w:p>
            <w:pPr>
              <w:spacing w:after="0"/>
            </w:pPr>
            <w:r/>
            <w:r>
              <w:rPr>
                <w:rFonts w:ascii="Arial" w:hAnsi="Arial" w:eastAsia="Arial"/>
                <w:b w:val="0"/>
                <w:sz w:val="18"/>
              </w:rPr>
            </w:r>
          </w:p>
        </w:tc>
        <w:tc>
          <w:tcPr>
            <w:tcW w:type="dxa" w:w="1944"/>
            <w:vAlign w:val="top"/>
          </w:tcPr>
          <w:p>
            <w:pPr>
              <w:spacing w:after="0"/>
            </w:pPr>
            <w:r/>
            <w:r>
              <w:rPr>
                <w:rFonts w:ascii="Arial" w:hAnsi="Arial" w:eastAsia="Arial"/>
                <w:b w:val="0"/>
                <w:sz w:val="18"/>
              </w:rPr>
              <w:t>9,000</w:t>
            </w:r>
          </w:p>
        </w:tc>
      </w:tr>
      <w:tr>
        <w:tc>
          <w:tcPr>
            <w:tcW w:type="dxa" w:w="5616"/>
            <w:vAlign w:val="top"/>
          </w:tcPr>
          <w:p>
            <w:pPr>
              <w:spacing w:after="0"/>
            </w:pPr>
            <w:r/>
            <w:r>
              <w:rPr>
                <w:rFonts w:ascii="Arial" w:hAnsi="Arial" w:eastAsia="Arial"/>
                <w:b w:val="0"/>
                <w:sz w:val="18"/>
              </w:rPr>
              <w:t>Approved medical treatment expenditure</w:t>
            </w:r>
          </w:p>
        </w:tc>
        <w:tc>
          <w:tcPr>
            <w:tcW w:type="dxa" w:w="1944"/>
            <w:vAlign w:val="top"/>
          </w:tcPr>
          <w:p>
            <w:pPr>
              <w:spacing w:after="0"/>
            </w:pPr>
            <w:r/>
            <w:r>
              <w:rPr>
                <w:rFonts w:ascii="Arial" w:hAnsi="Arial" w:eastAsia="Arial"/>
                <w:b w:val="0"/>
                <w:sz w:val="18"/>
              </w:rPr>
              <w:t>14,000</w:t>
            </w:r>
          </w:p>
        </w:tc>
        <w:tc>
          <w:tcPr>
            <w:tcW w:type="dxa" w:w="1944"/>
            <w:vAlign w:val="top"/>
          </w:tcPr>
          <w:p>
            <w:pPr>
              <w:spacing w:after="0"/>
            </w:pPr>
            <w:r/>
            <w:r>
              <w:rPr>
                <w:rFonts w:ascii="Arial" w:hAnsi="Arial" w:eastAsia="Arial"/>
                <w:b w:val="0"/>
                <w:sz w:val="18"/>
              </w:rPr>
            </w:r>
          </w:p>
        </w:tc>
      </w:tr>
      <w:tr>
        <w:tc>
          <w:tcPr>
            <w:tcW w:type="dxa" w:w="5616"/>
            <w:vAlign w:val="top"/>
          </w:tcPr>
          <w:p>
            <w:pPr>
              <w:spacing w:after="0"/>
            </w:pPr>
            <w:r/>
            <w:r>
              <w:rPr>
                <w:rFonts w:ascii="Arial" w:hAnsi="Arial" w:eastAsia="Arial"/>
                <w:b w:val="0"/>
                <w:sz w:val="18"/>
              </w:rPr>
              <w:t>15% of approved medical treatment expenditure</w:t>
            </w:r>
          </w:p>
        </w:tc>
        <w:tc>
          <w:tcPr>
            <w:tcW w:type="dxa" w:w="1944"/>
            <w:vAlign w:val="top"/>
          </w:tcPr>
          <w:p>
            <w:pPr>
              <w:spacing w:after="0"/>
            </w:pPr>
            <w:r/>
            <w:r>
              <w:rPr>
                <w:rFonts w:ascii="Arial" w:hAnsi="Arial" w:eastAsia="Arial"/>
                <w:b w:val="0"/>
                <w:sz w:val="18"/>
              </w:rPr>
              <w:t>2,100</w:t>
            </w:r>
          </w:p>
        </w:tc>
        <w:tc>
          <w:tcPr>
            <w:tcW w:type="dxa" w:w="1944"/>
            <w:vAlign w:val="top"/>
          </w:tcPr>
          <w:p>
            <w:pPr>
              <w:spacing w:after="0"/>
            </w:pPr>
            <w:r/>
            <w:r>
              <w:rPr>
                <w:rFonts w:ascii="Arial" w:hAnsi="Arial" w:eastAsia="Arial"/>
                <w:b w:val="0"/>
                <w:sz w:val="18"/>
              </w:rPr>
            </w:r>
          </w:p>
        </w:tc>
      </w:tr>
      <w:tr>
        <w:tc>
          <w:tcPr>
            <w:tcW w:type="dxa" w:w="5616"/>
            <w:vAlign w:val="top"/>
          </w:tcPr>
          <w:p>
            <w:pPr>
              <w:spacing w:after="0"/>
            </w:pPr>
            <w:r/>
            <w:r>
              <w:rPr>
                <w:rFonts w:ascii="Arial" w:hAnsi="Arial" w:eastAsia="Arial"/>
                <w:b w:val="0"/>
                <w:sz w:val="18"/>
              </w:rPr>
              <w:t>Amount adjustable this year (up to Rs. 750 allowed up to FY 2080/81)</w:t>
            </w:r>
          </w:p>
        </w:tc>
        <w:tc>
          <w:tcPr>
            <w:tcW w:type="dxa" w:w="1944"/>
            <w:vAlign w:val="top"/>
          </w:tcPr>
          <w:p>
            <w:pPr>
              <w:spacing w:after="0"/>
            </w:pPr>
            <w:r/>
            <w:r>
              <w:rPr>
                <w:rFonts w:ascii="Arial" w:hAnsi="Arial" w:eastAsia="Arial"/>
                <w:b w:val="0"/>
                <w:sz w:val="18"/>
              </w:rPr>
            </w:r>
          </w:p>
        </w:tc>
        <w:tc>
          <w:tcPr>
            <w:tcW w:type="dxa" w:w="1944"/>
            <w:vAlign w:val="top"/>
          </w:tcPr>
          <w:p>
            <w:pPr>
              <w:spacing w:after="0"/>
            </w:pPr>
            <w:r/>
            <w:r>
              <w:rPr>
                <w:rFonts w:ascii="Arial" w:hAnsi="Arial" w:eastAsia="Arial"/>
                <w:b w:val="0"/>
                <w:sz w:val="18"/>
              </w:rPr>
              <w:t>750</w:t>
            </w:r>
          </w:p>
        </w:tc>
      </w:tr>
      <w:tr>
        <w:tc>
          <w:tcPr>
            <w:tcW w:type="dxa" w:w="5616"/>
            <w:vAlign w:val="top"/>
          </w:tcPr>
          <w:p>
            <w:pPr>
              <w:spacing w:after="0"/>
            </w:pPr>
            <w:r/>
            <w:r>
              <w:rPr>
                <w:rFonts w:ascii="Arial" w:hAnsi="Arial" w:eastAsia="Arial"/>
                <w:b w:val="0"/>
                <w:sz w:val="18"/>
              </w:rPr>
              <w:t>Balance not adjusted in this income year</w:t>
            </w:r>
          </w:p>
        </w:tc>
        <w:tc>
          <w:tcPr>
            <w:tcW w:type="dxa" w:w="1944"/>
            <w:vAlign w:val="top"/>
          </w:tcPr>
          <w:p>
            <w:pPr>
              <w:spacing w:after="0"/>
            </w:pPr>
            <w:r/>
            <w:r>
              <w:rPr>
                <w:rFonts w:ascii="Arial" w:hAnsi="Arial" w:eastAsia="Arial"/>
                <w:b w:val="0"/>
                <w:sz w:val="18"/>
              </w:rPr>
              <w:t>1,350</w:t>
            </w:r>
          </w:p>
        </w:tc>
        <w:tc>
          <w:tcPr>
            <w:tcW w:type="dxa" w:w="1944"/>
            <w:vAlign w:val="top"/>
          </w:tcPr>
          <w:p>
            <w:pPr>
              <w:spacing w:after="0"/>
            </w:pPr>
            <w:r/>
            <w:r>
              <w:rPr>
                <w:rFonts w:ascii="Arial" w:hAnsi="Arial" w:eastAsia="Arial"/>
                <w:b w:val="0"/>
                <w:sz w:val="18"/>
              </w:rPr>
            </w:r>
          </w:p>
        </w:tc>
      </w:tr>
      <w:tr>
        <w:tc>
          <w:tcPr>
            <w:tcW w:type="dxa" w:w="5616"/>
            <w:vAlign w:val="top"/>
          </w:tcPr>
          <w:p>
            <w:pPr>
              <w:spacing w:after="0"/>
            </w:pPr>
            <w:r/>
            <w:r>
              <w:rPr>
                <w:rFonts w:ascii="Arial" w:hAnsi="Arial" w:eastAsia="Arial"/>
                <w:b w:val="0"/>
                <w:sz w:val="18"/>
              </w:rPr>
              <w:t>Amount payable</w:t>
            </w:r>
          </w:p>
        </w:tc>
        <w:tc>
          <w:tcPr>
            <w:tcW w:type="dxa" w:w="1944"/>
            <w:vAlign w:val="top"/>
          </w:tcPr>
          <w:p>
            <w:pPr>
              <w:spacing w:after="0"/>
            </w:pPr>
            <w:r/>
            <w:r>
              <w:rPr>
                <w:rFonts w:ascii="Arial" w:hAnsi="Arial" w:eastAsia="Arial"/>
                <w:b w:val="0"/>
                <w:sz w:val="18"/>
              </w:rPr>
            </w:r>
          </w:p>
        </w:tc>
        <w:tc>
          <w:tcPr>
            <w:tcW w:type="dxa" w:w="1944"/>
            <w:vAlign w:val="top"/>
          </w:tcPr>
          <w:p>
            <w:pPr>
              <w:spacing w:after="0"/>
            </w:pPr>
            <w:r/>
            <w:r>
              <w:rPr>
                <w:rFonts w:ascii="Arial" w:hAnsi="Arial" w:eastAsia="Arial"/>
                <w:b w:val="0"/>
                <w:sz w:val="18"/>
              </w:rPr>
              <w:t>8,250</w:t>
            </w:r>
          </w:p>
        </w:tc>
      </w:tr>
    </w:tbl>
    <w:p/>
    <w:tbl>
      <w:tblPr>
        <w:tblStyle w:val="TableGrid"/>
        <w:tblW w:type="auto" w:w="0"/>
        <w:jc w:val="center"/>
        <w:tblLayout w:type="autofit"/>
        <w:tblLook w:firstColumn="1" w:firstRow="1" w:lastColumn="0" w:lastRow="0" w:noHBand="0" w:noVBand="1" w:val="04A0"/>
      </w:tblPr>
      <w:tblGrid>
        <w:gridCol w:w="3408"/>
        <w:gridCol w:w="3408"/>
        <w:gridCol w:w="3408"/>
      </w:tblGrid>
      <w:tr>
        <w:tc>
          <w:tcPr>
            <w:tcW w:type="dxa" w:w="5616"/>
            <w:vAlign w:val="top"/>
            <w:shd w:fill="D9EAF7"/>
          </w:tcPr>
          <w:p>
            <w:pPr>
              <w:spacing w:after="0"/>
            </w:pPr>
            <w:r/>
            <w:r>
              <w:rPr>
                <w:rFonts w:ascii="Arial" w:hAnsi="Arial" w:eastAsia="Arial"/>
                <w:b/>
                <w:sz w:val="18"/>
              </w:rPr>
              <w:t>Particulars - FY 2081/82</w:t>
            </w:r>
          </w:p>
        </w:tc>
        <w:tc>
          <w:tcPr>
            <w:tcW w:type="dxa" w:w="1944"/>
            <w:vAlign w:val="top"/>
            <w:shd w:fill="D9EAF7"/>
          </w:tcPr>
          <w:p>
            <w:pPr>
              <w:spacing w:after="0"/>
            </w:pPr>
            <w:r/>
            <w:r>
              <w:rPr>
                <w:rFonts w:ascii="Arial" w:hAnsi="Arial" w:eastAsia="Arial"/>
                <w:b/>
                <w:sz w:val="18"/>
              </w:rPr>
              <w:t>Amount (Rs.)</w:t>
            </w:r>
          </w:p>
        </w:tc>
        <w:tc>
          <w:tcPr>
            <w:tcW w:type="dxa" w:w="1944"/>
            <w:vAlign w:val="top"/>
            <w:shd w:fill="D9EAF7"/>
          </w:tcPr>
          <w:p>
            <w:pPr>
              <w:spacing w:after="0"/>
            </w:pPr>
            <w:r/>
            <w:r>
              <w:rPr>
                <w:rFonts w:ascii="Arial" w:hAnsi="Arial" w:eastAsia="Arial"/>
                <w:b/>
                <w:sz w:val="18"/>
              </w:rPr>
              <w:t>Tax / Credit (Rs.)</w:t>
            </w:r>
          </w:p>
        </w:tc>
      </w:tr>
      <w:tr>
        <w:tc>
          <w:tcPr>
            <w:tcW w:type="dxa" w:w="5616"/>
            <w:vAlign w:val="top"/>
          </w:tcPr>
          <w:p>
            <w:pPr>
              <w:spacing w:after="0"/>
            </w:pPr>
            <w:r/>
            <w:r>
              <w:rPr>
                <w:rFonts w:ascii="Arial" w:hAnsi="Arial" w:eastAsia="Arial"/>
                <w:b w:val="0"/>
                <w:sz w:val="18"/>
              </w:rPr>
              <w:t>Taxable income for FY 2081/82</w:t>
            </w:r>
          </w:p>
        </w:tc>
        <w:tc>
          <w:tcPr>
            <w:tcW w:type="dxa" w:w="1944"/>
            <w:vAlign w:val="top"/>
          </w:tcPr>
          <w:p>
            <w:pPr>
              <w:spacing w:after="0"/>
            </w:pPr>
            <w:r/>
            <w:r>
              <w:rPr>
                <w:rFonts w:ascii="Arial" w:hAnsi="Arial" w:eastAsia="Arial"/>
                <w:b w:val="0"/>
                <w:sz w:val="18"/>
              </w:rPr>
              <w:t>650,000</w:t>
            </w:r>
          </w:p>
        </w:tc>
        <w:tc>
          <w:tcPr>
            <w:tcW w:type="dxa" w:w="1944"/>
            <w:vAlign w:val="top"/>
          </w:tcPr>
          <w:p>
            <w:pPr>
              <w:spacing w:after="0"/>
            </w:pPr>
            <w:r/>
            <w:r>
              <w:rPr>
                <w:rFonts w:ascii="Arial" w:hAnsi="Arial" w:eastAsia="Arial"/>
                <w:b w:val="0"/>
                <w:sz w:val="18"/>
              </w:rPr>
            </w:r>
          </w:p>
        </w:tc>
      </w:tr>
      <w:tr>
        <w:tc>
          <w:tcPr>
            <w:tcW w:type="dxa" w:w="5616"/>
            <w:vAlign w:val="top"/>
          </w:tcPr>
          <w:p>
            <w:pPr>
              <w:spacing w:after="0"/>
            </w:pPr>
            <w:r/>
            <w:r>
              <w:rPr>
                <w:rFonts w:ascii="Arial" w:hAnsi="Arial" w:eastAsia="Arial"/>
                <w:b w:val="0"/>
                <w:sz w:val="18"/>
              </w:rPr>
              <w:t>First slab - tax at 1% up to Rs. 600,000</w:t>
            </w:r>
          </w:p>
        </w:tc>
        <w:tc>
          <w:tcPr>
            <w:tcW w:type="dxa" w:w="1944"/>
            <w:vAlign w:val="top"/>
          </w:tcPr>
          <w:p>
            <w:pPr>
              <w:spacing w:after="0"/>
            </w:pPr>
            <w:r/>
            <w:r>
              <w:rPr>
                <w:rFonts w:ascii="Arial" w:hAnsi="Arial" w:eastAsia="Arial"/>
                <w:b w:val="0"/>
                <w:sz w:val="18"/>
              </w:rPr>
              <w:t>600,000</w:t>
            </w:r>
          </w:p>
        </w:tc>
        <w:tc>
          <w:tcPr>
            <w:tcW w:type="dxa" w:w="1944"/>
            <w:vAlign w:val="top"/>
          </w:tcPr>
          <w:p>
            <w:pPr>
              <w:spacing w:after="0"/>
            </w:pPr>
            <w:r/>
            <w:r>
              <w:rPr>
                <w:rFonts w:ascii="Arial" w:hAnsi="Arial" w:eastAsia="Arial"/>
                <w:b w:val="0"/>
                <w:sz w:val="18"/>
              </w:rPr>
              <w:t>6,000</w:t>
            </w:r>
          </w:p>
        </w:tc>
      </w:tr>
      <w:tr>
        <w:tc>
          <w:tcPr>
            <w:tcW w:type="dxa" w:w="5616"/>
            <w:vAlign w:val="top"/>
          </w:tcPr>
          <w:p>
            <w:pPr>
              <w:spacing w:after="0"/>
            </w:pPr>
            <w:r/>
            <w:r>
              <w:rPr>
                <w:rFonts w:ascii="Arial" w:hAnsi="Arial" w:eastAsia="Arial"/>
                <w:b w:val="0"/>
                <w:sz w:val="18"/>
              </w:rPr>
              <w:t>Second slab - tax at 10%</w:t>
            </w:r>
          </w:p>
        </w:tc>
        <w:tc>
          <w:tcPr>
            <w:tcW w:type="dxa" w:w="1944"/>
            <w:vAlign w:val="top"/>
          </w:tcPr>
          <w:p>
            <w:pPr>
              <w:spacing w:after="0"/>
            </w:pPr>
            <w:r/>
            <w:r>
              <w:rPr>
                <w:rFonts w:ascii="Arial" w:hAnsi="Arial" w:eastAsia="Arial"/>
                <w:b w:val="0"/>
                <w:sz w:val="18"/>
              </w:rPr>
              <w:t>50,000</w:t>
            </w:r>
          </w:p>
        </w:tc>
        <w:tc>
          <w:tcPr>
            <w:tcW w:type="dxa" w:w="1944"/>
            <w:vAlign w:val="top"/>
          </w:tcPr>
          <w:p>
            <w:pPr>
              <w:spacing w:after="0"/>
            </w:pPr>
            <w:r/>
            <w:r>
              <w:rPr>
                <w:rFonts w:ascii="Arial" w:hAnsi="Arial" w:eastAsia="Arial"/>
                <w:b w:val="0"/>
                <w:sz w:val="18"/>
              </w:rPr>
              <w:t>5,000</w:t>
            </w:r>
          </w:p>
        </w:tc>
      </w:tr>
      <w:tr>
        <w:tc>
          <w:tcPr>
            <w:tcW w:type="dxa" w:w="5616"/>
            <w:vAlign w:val="top"/>
          </w:tcPr>
          <w:p>
            <w:pPr>
              <w:spacing w:after="0"/>
            </w:pPr>
            <w:r/>
            <w:r>
              <w:rPr>
                <w:rFonts w:ascii="Arial" w:hAnsi="Arial" w:eastAsia="Arial"/>
                <w:b w:val="0"/>
                <w:sz w:val="18"/>
              </w:rPr>
              <w:t>Total tax liability</w:t>
            </w:r>
          </w:p>
        </w:tc>
        <w:tc>
          <w:tcPr>
            <w:tcW w:type="dxa" w:w="1944"/>
            <w:vAlign w:val="top"/>
          </w:tcPr>
          <w:p>
            <w:pPr>
              <w:spacing w:after="0"/>
            </w:pPr>
            <w:r/>
            <w:r>
              <w:rPr>
                <w:rFonts w:ascii="Arial" w:hAnsi="Arial" w:eastAsia="Arial"/>
                <w:b w:val="0"/>
                <w:sz w:val="18"/>
              </w:rPr>
            </w:r>
          </w:p>
        </w:tc>
        <w:tc>
          <w:tcPr>
            <w:tcW w:type="dxa" w:w="1944"/>
            <w:vAlign w:val="top"/>
          </w:tcPr>
          <w:p>
            <w:pPr>
              <w:spacing w:after="0"/>
            </w:pPr>
            <w:r/>
            <w:r>
              <w:rPr>
                <w:rFonts w:ascii="Arial" w:hAnsi="Arial" w:eastAsia="Arial"/>
                <w:b w:val="0"/>
                <w:sz w:val="18"/>
              </w:rPr>
              <w:t>11,000</w:t>
            </w:r>
          </w:p>
        </w:tc>
      </w:tr>
      <w:tr>
        <w:tc>
          <w:tcPr>
            <w:tcW w:type="dxa" w:w="5616"/>
            <w:vAlign w:val="top"/>
          </w:tcPr>
          <w:p>
            <w:pPr>
              <w:spacing w:after="0"/>
            </w:pPr>
            <w:r/>
            <w:r>
              <w:rPr>
                <w:rFonts w:ascii="Arial" w:hAnsi="Arial" w:eastAsia="Arial"/>
                <w:b w:val="0"/>
                <w:sz w:val="18"/>
              </w:rPr>
              <w:t>Approved medical treatment expenditure</w:t>
            </w:r>
          </w:p>
        </w:tc>
        <w:tc>
          <w:tcPr>
            <w:tcW w:type="dxa" w:w="1944"/>
            <w:vAlign w:val="top"/>
          </w:tcPr>
          <w:p>
            <w:pPr>
              <w:spacing w:after="0"/>
            </w:pPr>
            <w:r/>
            <w:r>
              <w:rPr>
                <w:rFonts w:ascii="Arial" w:hAnsi="Arial" w:eastAsia="Arial"/>
                <w:b w:val="0"/>
                <w:sz w:val="18"/>
              </w:rPr>
              <w:t>10,000</w:t>
            </w:r>
          </w:p>
        </w:tc>
        <w:tc>
          <w:tcPr>
            <w:tcW w:type="dxa" w:w="1944"/>
            <w:vAlign w:val="top"/>
          </w:tcPr>
          <w:p>
            <w:pPr>
              <w:spacing w:after="0"/>
            </w:pPr>
            <w:r/>
            <w:r>
              <w:rPr>
                <w:rFonts w:ascii="Arial" w:hAnsi="Arial" w:eastAsia="Arial"/>
                <w:b w:val="0"/>
                <w:sz w:val="18"/>
              </w:rPr>
            </w:r>
          </w:p>
        </w:tc>
      </w:tr>
      <w:tr>
        <w:tc>
          <w:tcPr>
            <w:tcW w:type="dxa" w:w="5616"/>
            <w:vAlign w:val="top"/>
          </w:tcPr>
          <w:p>
            <w:pPr>
              <w:spacing w:after="0"/>
            </w:pPr>
            <w:r/>
            <w:r>
              <w:rPr>
                <w:rFonts w:ascii="Arial" w:hAnsi="Arial" w:eastAsia="Arial"/>
                <w:b w:val="0"/>
                <w:sz w:val="18"/>
              </w:rPr>
              <w:t>15% of approved medical treatment expenditure</w:t>
            </w:r>
          </w:p>
        </w:tc>
        <w:tc>
          <w:tcPr>
            <w:tcW w:type="dxa" w:w="1944"/>
            <w:vAlign w:val="top"/>
          </w:tcPr>
          <w:p>
            <w:pPr>
              <w:spacing w:after="0"/>
            </w:pPr>
            <w:r/>
            <w:r>
              <w:rPr>
                <w:rFonts w:ascii="Arial" w:hAnsi="Arial" w:eastAsia="Arial"/>
                <w:b w:val="0"/>
                <w:sz w:val="18"/>
              </w:rPr>
              <w:t>1,500</w:t>
            </w:r>
          </w:p>
        </w:tc>
        <w:tc>
          <w:tcPr>
            <w:tcW w:type="dxa" w:w="1944"/>
            <w:vAlign w:val="top"/>
          </w:tcPr>
          <w:p>
            <w:pPr>
              <w:spacing w:after="0"/>
            </w:pPr>
            <w:r/>
            <w:r>
              <w:rPr>
                <w:rFonts w:ascii="Arial" w:hAnsi="Arial" w:eastAsia="Arial"/>
                <w:b w:val="0"/>
                <w:sz w:val="18"/>
              </w:rPr>
            </w:r>
          </w:p>
        </w:tc>
      </w:tr>
      <w:tr>
        <w:tc>
          <w:tcPr>
            <w:tcW w:type="dxa" w:w="5616"/>
            <w:vAlign w:val="top"/>
          </w:tcPr>
          <w:p>
            <w:pPr>
              <w:spacing w:after="0"/>
            </w:pPr>
            <w:r/>
            <w:r>
              <w:rPr>
                <w:rFonts w:ascii="Arial" w:hAnsi="Arial" w:eastAsia="Arial"/>
                <w:b w:val="0"/>
                <w:sz w:val="18"/>
              </w:rPr>
              <w:t>Balance of approved medical treatment expenditure credit from previous year</w:t>
            </w:r>
          </w:p>
        </w:tc>
        <w:tc>
          <w:tcPr>
            <w:tcW w:type="dxa" w:w="1944"/>
            <w:vAlign w:val="top"/>
          </w:tcPr>
          <w:p>
            <w:pPr>
              <w:spacing w:after="0"/>
            </w:pPr>
            <w:r/>
            <w:r>
              <w:rPr>
                <w:rFonts w:ascii="Arial" w:hAnsi="Arial" w:eastAsia="Arial"/>
                <w:b w:val="0"/>
                <w:sz w:val="18"/>
              </w:rPr>
              <w:t>1,350</w:t>
            </w:r>
          </w:p>
        </w:tc>
        <w:tc>
          <w:tcPr>
            <w:tcW w:type="dxa" w:w="1944"/>
            <w:vAlign w:val="top"/>
          </w:tcPr>
          <w:p>
            <w:pPr>
              <w:spacing w:after="0"/>
            </w:pPr>
            <w:r/>
            <w:r>
              <w:rPr>
                <w:rFonts w:ascii="Arial" w:hAnsi="Arial" w:eastAsia="Arial"/>
                <w:b w:val="0"/>
                <w:sz w:val="18"/>
              </w:rPr>
            </w:r>
          </w:p>
        </w:tc>
      </w:tr>
      <w:tr>
        <w:tc>
          <w:tcPr>
            <w:tcW w:type="dxa" w:w="5616"/>
            <w:vAlign w:val="top"/>
          </w:tcPr>
          <w:p>
            <w:pPr>
              <w:spacing w:after="0"/>
            </w:pPr>
            <w:r/>
            <w:r>
              <w:rPr>
                <w:rFonts w:ascii="Arial" w:hAnsi="Arial" w:eastAsia="Arial"/>
                <w:b w:val="0"/>
                <w:sz w:val="18"/>
              </w:rPr>
              <w:t>Total claimable amount for approved medical treatment expenditure</w:t>
            </w:r>
          </w:p>
        </w:tc>
        <w:tc>
          <w:tcPr>
            <w:tcW w:type="dxa" w:w="1944"/>
            <w:vAlign w:val="top"/>
          </w:tcPr>
          <w:p>
            <w:pPr>
              <w:spacing w:after="0"/>
            </w:pPr>
            <w:r/>
            <w:r>
              <w:rPr>
                <w:rFonts w:ascii="Arial" w:hAnsi="Arial" w:eastAsia="Arial"/>
                <w:b w:val="0"/>
                <w:sz w:val="18"/>
              </w:rPr>
              <w:t>2,850</w:t>
            </w:r>
          </w:p>
        </w:tc>
        <w:tc>
          <w:tcPr>
            <w:tcW w:type="dxa" w:w="1944"/>
            <w:vAlign w:val="top"/>
          </w:tcPr>
          <w:p>
            <w:pPr>
              <w:spacing w:after="0"/>
            </w:pPr>
            <w:r/>
            <w:r>
              <w:rPr>
                <w:rFonts w:ascii="Arial" w:hAnsi="Arial" w:eastAsia="Arial"/>
                <w:b w:val="0"/>
                <w:sz w:val="18"/>
              </w:rPr>
            </w:r>
          </w:p>
        </w:tc>
      </w:tr>
      <w:tr>
        <w:tc>
          <w:tcPr>
            <w:tcW w:type="dxa" w:w="5616"/>
            <w:vAlign w:val="top"/>
          </w:tcPr>
          <w:p>
            <w:pPr>
              <w:spacing w:after="0"/>
            </w:pPr>
            <w:r/>
            <w:r>
              <w:rPr>
                <w:rFonts w:ascii="Arial" w:hAnsi="Arial" w:eastAsia="Arial"/>
                <w:b w:val="0"/>
                <w:sz w:val="18"/>
              </w:rPr>
              <w:t>Amount adjustable this year (from FY 2081/82, up to Rs. 1,500)</w:t>
            </w:r>
          </w:p>
        </w:tc>
        <w:tc>
          <w:tcPr>
            <w:tcW w:type="dxa" w:w="1944"/>
            <w:vAlign w:val="top"/>
          </w:tcPr>
          <w:p>
            <w:pPr>
              <w:spacing w:after="0"/>
            </w:pPr>
            <w:r/>
            <w:r>
              <w:rPr>
                <w:rFonts w:ascii="Arial" w:hAnsi="Arial" w:eastAsia="Arial"/>
                <w:b w:val="0"/>
                <w:sz w:val="18"/>
              </w:rPr>
            </w:r>
          </w:p>
        </w:tc>
        <w:tc>
          <w:tcPr>
            <w:tcW w:type="dxa" w:w="1944"/>
            <w:vAlign w:val="top"/>
          </w:tcPr>
          <w:p>
            <w:pPr>
              <w:spacing w:after="0"/>
            </w:pPr>
            <w:r/>
            <w:r>
              <w:rPr>
                <w:rFonts w:ascii="Arial" w:hAnsi="Arial" w:eastAsia="Arial"/>
                <w:b w:val="0"/>
                <w:sz w:val="18"/>
              </w:rPr>
              <w:t>1,500</w:t>
            </w:r>
          </w:p>
        </w:tc>
      </w:tr>
      <w:tr>
        <w:tc>
          <w:tcPr>
            <w:tcW w:type="dxa" w:w="5616"/>
            <w:vAlign w:val="top"/>
          </w:tcPr>
          <w:p>
            <w:pPr>
              <w:spacing w:after="0"/>
            </w:pPr>
            <w:r/>
            <w:r>
              <w:rPr>
                <w:rFonts w:ascii="Arial" w:hAnsi="Arial" w:eastAsia="Arial"/>
                <w:b w:val="0"/>
                <w:sz w:val="18"/>
              </w:rPr>
              <w:t>Amount payable</w:t>
            </w:r>
          </w:p>
        </w:tc>
        <w:tc>
          <w:tcPr>
            <w:tcW w:type="dxa" w:w="1944"/>
            <w:vAlign w:val="top"/>
          </w:tcPr>
          <w:p>
            <w:pPr>
              <w:spacing w:after="0"/>
            </w:pPr>
            <w:r/>
            <w:r>
              <w:rPr>
                <w:rFonts w:ascii="Arial" w:hAnsi="Arial" w:eastAsia="Arial"/>
                <w:b w:val="0"/>
                <w:sz w:val="18"/>
              </w:rPr>
            </w:r>
          </w:p>
        </w:tc>
        <w:tc>
          <w:tcPr>
            <w:tcW w:type="dxa" w:w="1944"/>
            <w:vAlign w:val="top"/>
          </w:tcPr>
          <w:p>
            <w:pPr>
              <w:spacing w:after="0"/>
            </w:pPr>
            <w:r/>
            <w:r>
              <w:rPr>
                <w:rFonts w:ascii="Arial" w:hAnsi="Arial" w:eastAsia="Arial"/>
                <w:b w:val="0"/>
                <w:sz w:val="18"/>
              </w:rPr>
              <w:t>9,500</w:t>
            </w:r>
          </w:p>
        </w:tc>
      </w:tr>
      <w:tr>
        <w:tc>
          <w:tcPr>
            <w:tcW w:type="dxa" w:w="5616"/>
            <w:vAlign w:val="top"/>
          </w:tcPr>
          <w:p>
            <w:pPr>
              <w:spacing w:after="0"/>
            </w:pPr>
            <w:r/>
            <w:r>
              <w:rPr>
                <w:rFonts w:ascii="Arial" w:hAnsi="Arial" w:eastAsia="Arial"/>
                <w:b w:val="0"/>
                <w:sz w:val="18"/>
              </w:rPr>
              <w:t>Claimable medical treatment credit not adjusted this year</w:t>
            </w:r>
          </w:p>
        </w:tc>
        <w:tc>
          <w:tcPr>
            <w:tcW w:type="dxa" w:w="1944"/>
            <w:vAlign w:val="top"/>
          </w:tcPr>
          <w:p>
            <w:pPr>
              <w:spacing w:after="0"/>
            </w:pPr>
            <w:r/>
            <w:r>
              <w:rPr>
                <w:rFonts w:ascii="Arial" w:hAnsi="Arial" w:eastAsia="Arial"/>
                <w:b w:val="0"/>
                <w:sz w:val="18"/>
              </w:rPr>
              <w:t>1,350</w:t>
            </w:r>
          </w:p>
        </w:tc>
        <w:tc>
          <w:tcPr>
            <w:tcW w:type="dxa" w:w="1944"/>
            <w:vAlign w:val="top"/>
          </w:tcPr>
          <w:p>
            <w:pPr>
              <w:spacing w:after="0"/>
            </w:pPr>
            <w:r/>
            <w:r>
              <w:rPr>
                <w:rFonts w:ascii="Arial" w:hAnsi="Arial" w:eastAsia="Arial"/>
                <w:b w:val="0"/>
                <w:sz w:val="18"/>
              </w:rPr>
            </w:r>
          </w:p>
        </w:tc>
      </w:tr>
    </w:tbl>
    <w:p/>
    <w:p>
      <w:pPr>
        <w:spacing w:after="80" w:line="252" w:lineRule="auto"/>
      </w:pPr>
      <w:r>
        <w:rPr>
          <w:rFonts w:ascii="Arial" w:hAnsi="Arial" w:eastAsia="Arial"/>
          <w:b w:val="0"/>
          <w:i w:val="0"/>
          <w:sz w:val="20"/>
        </w:rPr>
        <w:t>The balance of Rs. 1,350 not adjusted in FY 2081/82 may be claimed for adjustment in the next fiscal year.</w:t>
      </w:r>
    </w:p>
    <w:p>
      <w:pPr>
        <w:spacing w:after="80" w:line="252" w:lineRule="auto"/>
      </w:pPr>
      <w:r>
        <w:rPr>
          <w:rFonts w:ascii="Arial" w:hAnsi="Arial" w:eastAsia="Arial"/>
          <w:b w:val="0"/>
          <w:i w:val="0"/>
          <w:sz w:val="20"/>
        </w:rPr>
        <w:t>The provisions relating to computation of taxable income are explained in Chapter 5 of this Directive.</w:t>
      </w:r>
    </w:p>
    <w:p>
      <w:pPr>
        <w:pStyle w:val="Heading3"/>
      </w:pPr>
      <w:r>
        <w:t>11.3.3 Carry forward of medical tax credit - tabular illustration</w:t>
      </w:r>
    </w:p>
    <w:p>
      <w:pPr>
        <w:spacing w:after="80" w:line="252" w:lineRule="auto"/>
      </w:pPr>
      <w:r>
        <w:rPr>
          <w:rFonts w:ascii="Arial" w:hAnsi="Arial" w:eastAsia="Arial"/>
          <w:b w:val="0"/>
          <w:i w:val="0"/>
          <w:sz w:val="20"/>
        </w:rPr>
        <w:t>Assuming that the tax liability payable each year is more than Rs. 1,500, the provisions relating to medical tax credit and carry forward to the next income year are clarified by the following table:</w:t>
      </w:r>
    </w:p>
    <w:tbl>
      <w:tblPr>
        <w:tblStyle w:val="TableGrid"/>
        <w:tblW w:type="auto" w:w="0"/>
        <w:jc w:val="center"/>
        <w:tblLayout w:type="autofit"/>
        <w:tblLook w:firstColumn="1" w:firstRow="1" w:lastColumn="0" w:lastRow="0" w:noHBand="0" w:noVBand="1" w:val="04A0"/>
      </w:tblPr>
      <w:tblGrid>
        <w:gridCol w:w="2045"/>
        <w:gridCol w:w="2045"/>
        <w:gridCol w:w="2045"/>
        <w:gridCol w:w="2045"/>
        <w:gridCol w:w="2045"/>
      </w:tblGrid>
      <w:tr>
        <w:tc>
          <w:tcPr>
            <w:tcW w:type="dxa" w:w="3888"/>
            <w:vAlign w:val="top"/>
            <w:shd w:fill="D9EAF7"/>
          </w:tcPr>
          <w:p>
            <w:pPr>
              <w:spacing w:after="0"/>
            </w:pPr>
            <w:r/>
            <w:r>
              <w:rPr>
                <w:rFonts w:ascii="Arial" w:hAnsi="Arial" w:eastAsia="Arial"/>
                <w:b/>
                <w:sz w:val="18"/>
              </w:rPr>
              <w:t>Income year</w:t>
            </w:r>
          </w:p>
        </w:tc>
        <w:tc>
          <w:tcPr>
            <w:tcW w:type="dxa" w:w="1440"/>
            <w:vAlign w:val="top"/>
            <w:shd w:fill="D9EAF7"/>
          </w:tcPr>
          <w:p>
            <w:pPr>
              <w:spacing w:after="0"/>
            </w:pPr>
            <w:r/>
            <w:r>
              <w:rPr>
                <w:rFonts w:ascii="Arial" w:hAnsi="Arial" w:eastAsia="Arial"/>
                <w:b/>
                <w:sz w:val="18"/>
              </w:rPr>
              <w:t>1</w:t>
            </w:r>
          </w:p>
        </w:tc>
        <w:tc>
          <w:tcPr>
            <w:tcW w:type="dxa" w:w="1440"/>
            <w:vAlign w:val="top"/>
            <w:shd w:fill="D9EAF7"/>
          </w:tcPr>
          <w:p>
            <w:pPr>
              <w:spacing w:after="0"/>
            </w:pPr>
            <w:r/>
            <w:r>
              <w:rPr>
                <w:rFonts w:ascii="Arial" w:hAnsi="Arial" w:eastAsia="Arial"/>
                <w:b/>
                <w:sz w:val="18"/>
              </w:rPr>
              <w:t>2</w:t>
            </w:r>
          </w:p>
        </w:tc>
        <w:tc>
          <w:tcPr>
            <w:tcW w:type="dxa" w:w="1440"/>
            <w:vAlign w:val="top"/>
            <w:shd w:fill="D9EAF7"/>
          </w:tcPr>
          <w:p>
            <w:pPr>
              <w:spacing w:after="0"/>
            </w:pPr>
            <w:r/>
            <w:r>
              <w:rPr>
                <w:rFonts w:ascii="Arial" w:hAnsi="Arial" w:eastAsia="Arial"/>
                <w:b/>
                <w:sz w:val="18"/>
              </w:rPr>
              <w:t>3</w:t>
            </w:r>
          </w:p>
        </w:tc>
        <w:tc>
          <w:tcPr>
            <w:tcW w:type="dxa" w:w="1440"/>
            <w:vAlign w:val="top"/>
            <w:shd w:fill="D9EAF7"/>
          </w:tcPr>
          <w:p>
            <w:pPr>
              <w:spacing w:after="0"/>
            </w:pPr>
            <w:r/>
            <w:r>
              <w:rPr>
                <w:rFonts w:ascii="Arial" w:hAnsi="Arial" w:eastAsia="Arial"/>
                <w:b/>
                <w:sz w:val="18"/>
              </w:rPr>
              <w:t>4</w:t>
            </w:r>
          </w:p>
        </w:tc>
      </w:tr>
      <w:tr>
        <w:tc>
          <w:tcPr>
            <w:tcW w:type="dxa" w:w="3888"/>
            <w:vAlign w:val="top"/>
          </w:tcPr>
          <w:p>
            <w:pPr>
              <w:spacing w:after="0"/>
            </w:pPr>
            <w:r/>
            <w:r>
              <w:rPr>
                <w:rFonts w:ascii="Arial" w:hAnsi="Arial" w:eastAsia="Arial"/>
                <w:b w:val="0"/>
                <w:sz w:val="18"/>
              </w:rPr>
              <w:t>Approved medical treatment expenditure</w:t>
            </w:r>
          </w:p>
        </w:tc>
        <w:tc>
          <w:tcPr>
            <w:tcW w:type="dxa" w:w="1440"/>
            <w:vAlign w:val="top"/>
          </w:tcPr>
          <w:p>
            <w:pPr>
              <w:spacing w:after="0"/>
            </w:pPr>
            <w:r/>
            <w:r>
              <w:rPr>
                <w:rFonts w:ascii="Arial" w:hAnsi="Arial" w:eastAsia="Arial"/>
                <w:b w:val="0"/>
                <w:sz w:val="18"/>
              </w:rPr>
              <w:t>30,000</w:t>
            </w:r>
          </w:p>
        </w:tc>
        <w:tc>
          <w:tcPr>
            <w:tcW w:type="dxa" w:w="1440"/>
            <w:vAlign w:val="top"/>
          </w:tcPr>
          <w:p>
            <w:pPr>
              <w:spacing w:after="0"/>
            </w:pPr>
            <w:r/>
            <w:r>
              <w:rPr>
                <w:rFonts w:ascii="Arial" w:hAnsi="Arial" w:eastAsia="Arial"/>
                <w:b w:val="0"/>
                <w:sz w:val="18"/>
              </w:rPr>
              <w:t>6,000</w:t>
            </w:r>
          </w:p>
        </w:tc>
        <w:tc>
          <w:tcPr>
            <w:tcW w:type="dxa" w:w="1440"/>
            <w:vAlign w:val="top"/>
          </w:tcPr>
          <w:p>
            <w:pPr>
              <w:spacing w:after="0"/>
            </w:pPr>
            <w:r/>
            <w:r>
              <w:rPr>
                <w:rFonts w:ascii="Arial" w:hAnsi="Arial" w:eastAsia="Arial"/>
                <w:b w:val="0"/>
                <w:sz w:val="18"/>
              </w:rPr>
              <w:t>0</w:t>
            </w:r>
          </w:p>
        </w:tc>
        <w:tc>
          <w:tcPr>
            <w:tcW w:type="dxa" w:w="1440"/>
            <w:vAlign w:val="top"/>
          </w:tcPr>
          <w:p>
            <w:pPr>
              <w:spacing w:after="0"/>
            </w:pPr>
            <w:r/>
            <w:r>
              <w:rPr>
                <w:rFonts w:ascii="Arial" w:hAnsi="Arial" w:eastAsia="Arial"/>
                <w:b w:val="0"/>
                <w:sz w:val="18"/>
              </w:rPr>
              <w:t>500</w:t>
            </w:r>
          </w:p>
        </w:tc>
      </w:tr>
      <w:tr>
        <w:tc>
          <w:tcPr>
            <w:tcW w:type="dxa" w:w="3888"/>
            <w:vAlign w:val="top"/>
          </w:tcPr>
          <w:p>
            <w:pPr>
              <w:spacing w:after="0"/>
            </w:pPr>
            <w:r/>
            <w:r>
              <w:rPr>
                <w:rFonts w:ascii="Arial" w:hAnsi="Arial" w:eastAsia="Arial"/>
                <w:b w:val="0"/>
                <w:sz w:val="18"/>
              </w:rPr>
              <w:t>Amount at 15%</w:t>
            </w:r>
          </w:p>
        </w:tc>
        <w:tc>
          <w:tcPr>
            <w:tcW w:type="dxa" w:w="1440"/>
            <w:vAlign w:val="top"/>
          </w:tcPr>
          <w:p>
            <w:pPr>
              <w:spacing w:after="0"/>
            </w:pPr>
            <w:r/>
            <w:r>
              <w:rPr>
                <w:rFonts w:ascii="Arial" w:hAnsi="Arial" w:eastAsia="Arial"/>
                <w:b w:val="0"/>
                <w:sz w:val="18"/>
              </w:rPr>
              <w:t>4,500</w:t>
            </w:r>
          </w:p>
        </w:tc>
        <w:tc>
          <w:tcPr>
            <w:tcW w:type="dxa" w:w="1440"/>
            <w:vAlign w:val="top"/>
          </w:tcPr>
          <w:p>
            <w:pPr>
              <w:spacing w:after="0"/>
            </w:pPr>
            <w:r/>
            <w:r>
              <w:rPr>
                <w:rFonts w:ascii="Arial" w:hAnsi="Arial" w:eastAsia="Arial"/>
                <w:b w:val="0"/>
                <w:sz w:val="18"/>
              </w:rPr>
              <w:t>900</w:t>
            </w:r>
          </w:p>
        </w:tc>
        <w:tc>
          <w:tcPr>
            <w:tcW w:type="dxa" w:w="1440"/>
            <w:vAlign w:val="top"/>
          </w:tcPr>
          <w:p>
            <w:pPr>
              <w:spacing w:after="0"/>
            </w:pPr>
            <w:r/>
            <w:r>
              <w:rPr>
                <w:rFonts w:ascii="Arial" w:hAnsi="Arial" w:eastAsia="Arial"/>
                <w:b w:val="0"/>
                <w:sz w:val="18"/>
              </w:rPr>
              <w:t>0</w:t>
            </w:r>
          </w:p>
        </w:tc>
        <w:tc>
          <w:tcPr>
            <w:tcW w:type="dxa" w:w="1440"/>
            <w:vAlign w:val="top"/>
          </w:tcPr>
          <w:p>
            <w:pPr>
              <w:spacing w:after="0"/>
            </w:pPr>
            <w:r/>
            <w:r>
              <w:rPr>
                <w:rFonts w:ascii="Arial" w:hAnsi="Arial" w:eastAsia="Arial"/>
                <w:b w:val="0"/>
                <w:sz w:val="18"/>
              </w:rPr>
              <w:t>75</w:t>
            </w:r>
          </w:p>
        </w:tc>
      </w:tr>
      <w:tr>
        <w:tc>
          <w:tcPr>
            <w:tcW w:type="dxa" w:w="3888"/>
            <w:vAlign w:val="top"/>
          </w:tcPr>
          <w:p>
            <w:pPr>
              <w:spacing w:after="0"/>
            </w:pPr>
            <w:r/>
            <w:r>
              <w:rPr>
                <w:rFonts w:ascii="Arial" w:hAnsi="Arial" w:eastAsia="Arial"/>
                <w:b w:val="0"/>
                <w:sz w:val="18"/>
              </w:rPr>
              <w:t>Unadjusted balance</w:t>
            </w:r>
          </w:p>
        </w:tc>
        <w:tc>
          <w:tcPr>
            <w:tcW w:type="dxa" w:w="1440"/>
            <w:vAlign w:val="top"/>
          </w:tcPr>
          <w:p>
            <w:pPr>
              <w:spacing w:after="0"/>
            </w:pPr>
            <w:r/>
            <w:r>
              <w:rPr>
                <w:rFonts w:ascii="Arial" w:hAnsi="Arial" w:eastAsia="Arial"/>
                <w:b w:val="0"/>
                <w:sz w:val="18"/>
              </w:rPr>
              <w:t>0</w:t>
            </w:r>
          </w:p>
        </w:tc>
        <w:tc>
          <w:tcPr>
            <w:tcW w:type="dxa" w:w="1440"/>
            <w:vAlign w:val="top"/>
          </w:tcPr>
          <w:p>
            <w:pPr>
              <w:spacing w:after="0"/>
            </w:pPr>
            <w:r/>
            <w:r>
              <w:rPr>
                <w:rFonts w:ascii="Arial" w:hAnsi="Arial" w:eastAsia="Arial"/>
                <w:b w:val="0"/>
                <w:sz w:val="18"/>
              </w:rPr>
              <w:t>3,000</w:t>
            </w:r>
          </w:p>
        </w:tc>
        <w:tc>
          <w:tcPr>
            <w:tcW w:type="dxa" w:w="1440"/>
            <w:vAlign w:val="top"/>
          </w:tcPr>
          <w:p>
            <w:pPr>
              <w:spacing w:after="0"/>
            </w:pPr>
            <w:r/>
            <w:r>
              <w:rPr>
                <w:rFonts w:ascii="Arial" w:hAnsi="Arial" w:eastAsia="Arial"/>
                <w:b w:val="0"/>
                <w:sz w:val="18"/>
              </w:rPr>
              <w:t>2,400</w:t>
            </w:r>
          </w:p>
        </w:tc>
        <w:tc>
          <w:tcPr>
            <w:tcW w:type="dxa" w:w="1440"/>
            <w:vAlign w:val="top"/>
          </w:tcPr>
          <w:p>
            <w:pPr>
              <w:spacing w:after="0"/>
            </w:pPr>
            <w:r/>
            <w:r>
              <w:rPr>
                <w:rFonts w:ascii="Arial" w:hAnsi="Arial" w:eastAsia="Arial"/>
                <w:b w:val="0"/>
                <w:sz w:val="18"/>
              </w:rPr>
              <w:t>900</w:t>
            </w:r>
          </w:p>
        </w:tc>
      </w:tr>
      <w:tr>
        <w:tc>
          <w:tcPr>
            <w:tcW w:type="dxa" w:w="3888"/>
            <w:vAlign w:val="top"/>
          </w:tcPr>
          <w:p>
            <w:pPr>
              <w:spacing w:after="0"/>
            </w:pPr>
            <w:r/>
            <w:r>
              <w:rPr>
                <w:rFonts w:ascii="Arial" w:hAnsi="Arial" w:eastAsia="Arial"/>
                <w:b w:val="0"/>
                <w:sz w:val="18"/>
              </w:rPr>
              <w:t>Total claimable amount</w:t>
            </w:r>
          </w:p>
        </w:tc>
        <w:tc>
          <w:tcPr>
            <w:tcW w:type="dxa" w:w="1440"/>
            <w:vAlign w:val="top"/>
          </w:tcPr>
          <w:p>
            <w:pPr>
              <w:spacing w:after="0"/>
            </w:pPr>
            <w:r/>
            <w:r>
              <w:rPr>
                <w:rFonts w:ascii="Arial" w:hAnsi="Arial" w:eastAsia="Arial"/>
                <w:b w:val="0"/>
                <w:sz w:val="18"/>
              </w:rPr>
              <w:t>4,500</w:t>
            </w:r>
          </w:p>
        </w:tc>
        <w:tc>
          <w:tcPr>
            <w:tcW w:type="dxa" w:w="1440"/>
            <w:vAlign w:val="top"/>
          </w:tcPr>
          <w:p>
            <w:pPr>
              <w:spacing w:after="0"/>
            </w:pPr>
            <w:r/>
            <w:r>
              <w:rPr>
                <w:rFonts w:ascii="Arial" w:hAnsi="Arial" w:eastAsia="Arial"/>
                <w:b w:val="0"/>
                <w:sz w:val="18"/>
              </w:rPr>
              <w:t>3,900</w:t>
            </w:r>
          </w:p>
        </w:tc>
        <w:tc>
          <w:tcPr>
            <w:tcW w:type="dxa" w:w="1440"/>
            <w:vAlign w:val="top"/>
          </w:tcPr>
          <w:p>
            <w:pPr>
              <w:spacing w:after="0"/>
            </w:pPr>
            <w:r/>
            <w:r>
              <w:rPr>
                <w:rFonts w:ascii="Arial" w:hAnsi="Arial" w:eastAsia="Arial"/>
                <w:b w:val="0"/>
                <w:sz w:val="18"/>
              </w:rPr>
              <w:t>2,400</w:t>
            </w:r>
          </w:p>
        </w:tc>
        <w:tc>
          <w:tcPr>
            <w:tcW w:type="dxa" w:w="1440"/>
            <w:vAlign w:val="top"/>
          </w:tcPr>
          <w:p>
            <w:pPr>
              <w:spacing w:after="0"/>
            </w:pPr>
            <w:r/>
            <w:r>
              <w:rPr>
                <w:rFonts w:ascii="Arial" w:hAnsi="Arial" w:eastAsia="Arial"/>
                <w:b w:val="0"/>
                <w:sz w:val="18"/>
              </w:rPr>
              <w:t>975</w:t>
            </w:r>
          </w:p>
        </w:tc>
      </w:tr>
      <w:tr>
        <w:tc>
          <w:tcPr>
            <w:tcW w:type="dxa" w:w="3888"/>
            <w:vAlign w:val="top"/>
          </w:tcPr>
          <w:p>
            <w:pPr>
              <w:spacing w:after="0"/>
            </w:pPr>
            <w:r/>
            <w:r>
              <w:rPr>
                <w:rFonts w:ascii="Arial" w:hAnsi="Arial" w:eastAsia="Arial"/>
                <w:b w:val="0"/>
                <w:sz w:val="18"/>
              </w:rPr>
              <w:t>Limit under Rule 17(3)</w:t>
            </w:r>
          </w:p>
        </w:tc>
        <w:tc>
          <w:tcPr>
            <w:tcW w:type="dxa" w:w="1440"/>
            <w:vAlign w:val="top"/>
          </w:tcPr>
          <w:p>
            <w:pPr>
              <w:spacing w:after="0"/>
            </w:pPr>
            <w:r/>
            <w:r>
              <w:rPr>
                <w:rFonts w:ascii="Arial" w:hAnsi="Arial" w:eastAsia="Arial"/>
                <w:b w:val="0"/>
                <w:sz w:val="18"/>
              </w:rPr>
              <w:t>1,500</w:t>
            </w:r>
          </w:p>
        </w:tc>
        <w:tc>
          <w:tcPr>
            <w:tcW w:type="dxa" w:w="1440"/>
            <w:vAlign w:val="top"/>
          </w:tcPr>
          <w:p>
            <w:pPr>
              <w:spacing w:after="0"/>
            </w:pPr>
            <w:r/>
            <w:r>
              <w:rPr>
                <w:rFonts w:ascii="Arial" w:hAnsi="Arial" w:eastAsia="Arial"/>
                <w:b w:val="0"/>
                <w:sz w:val="18"/>
              </w:rPr>
              <w:t>1,500</w:t>
            </w:r>
          </w:p>
        </w:tc>
        <w:tc>
          <w:tcPr>
            <w:tcW w:type="dxa" w:w="1440"/>
            <w:vAlign w:val="top"/>
          </w:tcPr>
          <w:p>
            <w:pPr>
              <w:spacing w:after="0"/>
            </w:pPr>
            <w:r/>
            <w:r>
              <w:rPr>
                <w:rFonts w:ascii="Arial" w:hAnsi="Arial" w:eastAsia="Arial"/>
                <w:b w:val="0"/>
                <w:sz w:val="18"/>
              </w:rPr>
              <w:t>1,500</w:t>
            </w:r>
          </w:p>
        </w:tc>
        <w:tc>
          <w:tcPr>
            <w:tcW w:type="dxa" w:w="1440"/>
            <w:vAlign w:val="top"/>
          </w:tcPr>
          <w:p>
            <w:pPr>
              <w:spacing w:after="0"/>
            </w:pPr>
            <w:r/>
            <w:r>
              <w:rPr>
                <w:rFonts w:ascii="Arial" w:hAnsi="Arial" w:eastAsia="Arial"/>
                <w:b w:val="0"/>
                <w:sz w:val="18"/>
              </w:rPr>
              <w:t>1,500</w:t>
            </w:r>
          </w:p>
        </w:tc>
      </w:tr>
      <w:tr>
        <w:tc>
          <w:tcPr>
            <w:tcW w:type="dxa" w:w="3888"/>
            <w:vAlign w:val="top"/>
          </w:tcPr>
          <w:p>
            <w:pPr>
              <w:spacing w:after="0"/>
            </w:pPr>
            <w:r/>
            <w:r>
              <w:rPr>
                <w:rFonts w:ascii="Arial" w:hAnsi="Arial" w:eastAsia="Arial"/>
                <w:b w:val="0"/>
                <w:sz w:val="18"/>
              </w:rPr>
              <w:t>Claim for the current fiscal year</w:t>
            </w:r>
          </w:p>
        </w:tc>
        <w:tc>
          <w:tcPr>
            <w:tcW w:type="dxa" w:w="1440"/>
            <w:vAlign w:val="top"/>
          </w:tcPr>
          <w:p>
            <w:pPr>
              <w:spacing w:after="0"/>
            </w:pPr>
            <w:r/>
            <w:r>
              <w:rPr>
                <w:rFonts w:ascii="Arial" w:hAnsi="Arial" w:eastAsia="Arial"/>
                <w:b w:val="0"/>
                <w:sz w:val="18"/>
              </w:rPr>
              <w:t>1,500</w:t>
            </w:r>
          </w:p>
        </w:tc>
        <w:tc>
          <w:tcPr>
            <w:tcW w:type="dxa" w:w="1440"/>
            <w:vAlign w:val="top"/>
          </w:tcPr>
          <w:p>
            <w:pPr>
              <w:spacing w:after="0"/>
            </w:pPr>
            <w:r/>
            <w:r>
              <w:rPr>
                <w:rFonts w:ascii="Arial" w:hAnsi="Arial" w:eastAsia="Arial"/>
                <w:b w:val="0"/>
                <w:sz w:val="18"/>
              </w:rPr>
              <w:t>1,500</w:t>
            </w:r>
          </w:p>
        </w:tc>
        <w:tc>
          <w:tcPr>
            <w:tcW w:type="dxa" w:w="1440"/>
            <w:vAlign w:val="top"/>
          </w:tcPr>
          <w:p>
            <w:pPr>
              <w:spacing w:after="0"/>
            </w:pPr>
            <w:r/>
            <w:r>
              <w:rPr>
                <w:rFonts w:ascii="Arial" w:hAnsi="Arial" w:eastAsia="Arial"/>
                <w:b w:val="0"/>
                <w:sz w:val="18"/>
              </w:rPr>
              <w:t>1,500</w:t>
            </w:r>
          </w:p>
        </w:tc>
        <w:tc>
          <w:tcPr>
            <w:tcW w:type="dxa" w:w="1440"/>
            <w:vAlign w:val="top"/>
          </w:tcPr>
          <w:p>
            <w:pPr>
              <w:spacing w:after="0"/>
            </w:pPr>
            <w:r/>
            <w:r>
              <w:rPr>
                <w:rFonts w:ascii="Arial" w:hAnsi="Arial" w:eastAsia="Arial"/>
                <w:b w:val="0"/>
                <w:sz w:val="18"/>
              </w:rPr>
              <w:t>975</w:t>
            </w:r>
          </w:p>
        </w:tc>
      </w:tr>
      <w:tr>
        <w:tc>
          <w:tcPr>
            <w:tcW w:type="dxa" w:w="3888"/>
            <w:vAlign w:val="top"/>
          </w:tcPr>
          <w:p>
            <w:pPr>
              <w:spacing w:after="0"/>
            </w:pPr>
            <w:r/>
            <w:r>
              <w:rPr>
                <w:rFonts w:ascii="Arial" w:hAnsi="Arial" w:eastAsia="Arial"/>
                <w:b w:val="0"/>
                <w:sz w:val="18"/>
              </w:rPr>
              <w:t>Amount carried forward to next fiscal year</w:t>
            </w:r>
          </w:p>
        </w:tc>
        <w:tc>
          <w:tcPr>
            <w:tcW w:type="dxa" w:w="1440"/>
            <w:vAlign w:val="top"/>
          </w:tcPr>
          <w:p>
            <w:pPr>
              <w:spacing w:after="0"/>
            </w:pPr>
            <w:r/>
            <w:r>
              <w:rPr>
                <w:rFonts w:ascii="Arial" w:hAnsi="Arial" w:eastAsia="Arial"/>
                <w:b w:val="0"/>
                <w:sz w:val="18"/>
              </w:rPr>
              <w:t>3,000</w:t>
            </w:r>
          </w:p>
        </w:tc>
        <w:tc>
          <w:tcPr>
            <w:tcW w:type="dxa" w:w="1440"/>
            <w:vAlign w:val="top"/>
          </w:tcPr>
          <w:p>
            <w:pPr>
              <w:spacing w:after="0"/>
            </w:pPr>
            <w:r/>
            <w:r>
              <w:rPr>
                <w:rFonts w:ascii="Arial" w:hAnsi="Arial" w:eastAsia="Arial"/>
                <w:b w:val="0"/>
                <w:sz w:val="18"/>
              </w:rPr>
              <w:t>2,400</w:t>
            </w:r>
          </w:p>
        </w:tc>
        <w:tc>
          <w:tcPr>
            <w:tcW w:type="dxa" w:w="1440"/>
            <w:vAlign w:val="top"/>
          </w:tcPr>
          <w:p>
            <w:pPr>
              <w:spacing w:after="0"/>
            </w:pPr>
            <w:r/>
            <w:r>
              <w:rPr>
                <w:rFonts w:ascii="Arial" w:hAnsi="Arial" w:eastAsia="Arial"/>
                <w:b w:val="0"/>
                <w:sz w:val="18"/>
              </w:rPr>
              <w:t>900</w:t>
            </w:r>
          </w:p>
        </w:tc>
        <w:tc>
          <w:tcPr>
            <w:tcW w:type="dxa" w:w="1440"/>
            <w:vAlign w:val="top"/>
          </w:tcPr>
          <w:p>
            <w:pPr>
              <w:spacing w:after="0"/>
            </w:pPr>
            <w:r/>
            <w:r>
              <w:rPr>
                <w:rFonts w:ascii="Arial" w:hAnsi="Arial" w:eastAsia="Arial"/>
                <w:b w:val="0"/>
                <w:sz w:val="18"/>
              </w:rPr>
              <w:t>0</w:t>
            </w:r>
          </w:p>
        </w:tc>
      </w:tr>
    </w:tbl>
    <w:p/>
    <w:p>
      <w:pPr>
        <w:pStyle w:val="Heading2"/>
      </w:pPr>
      <w:r>
        <w:t>11.4 Amounts Deductible from Taxable Income</w:t>
      </w:r>
    </w:p>
    <w:p>
      <w:pPr>
        <w:spacing w:after="80" w:line="252" w:lineRule="auto"/>
      </w:pPr>
      <w:r>
        <w:rPr>
          <w:rFonts w:ascii="Arial" w:hAnsi="Arial" w:eastAsia="Arial"/>
          <w:b w:val="0"/>
          <w:i w:val="0"/>
          <w:sz w:val="20"/>
        </w:rPr>
        <w:t>Before computing tax, a natural person may deduct the following amounts from taxable income under the provisos and provisions of clauses (a) of subsections (1) and (2), and subsections (5), (6), (9a), (10) and (12) of Section 1 of Schedule 1 of the Act:</w:t>
      </w:r>
    </w:p>
    <w:p>
      <w:pPr>
        <w:spacing w:after="80" w:line="252" w:lineRule="auto"/>
      </w:pPr>
      <w:r>
        <w:rPr>
          <w:rFonts w:ascii="Arial" w:hAnsi="Arial" w:eastAsia="Arial"/>
          <w:b w:val="0"/>
          <w:i w:val="0"/>
          <w:sz w:val="20"/>
        </w:rPr>
        <w:t>Schedule 1, Section 1, in relation to natural persons:</w:t>
      </w:r>
    </w:p>
    <w:p>
      <w:pPr>
        <w:spacing w:after="80" w:line="252" w:lineRule="auto"/>
      </w:pPr>
      <w:r>
        <w:rPr>
          <w:rFonts w:ascii="Arial" w:hAnsi="Arial" w:eastAsia="Arial"/>
          <w:b w:val="0"/>
          <w:i w:val="0"/>
          <w:sz w:val="20"/>
        </w:rPr>
        <w:t>(1) In an income year, tax shall be imposed on the taxable income of a resident natural person at the following rates, subject to subsections (2), (4) and (4a) of this Schedule:</w:t>
      </w:r>
    </w:p>
    <w:p>
      <w:pPr>
        <w:spacing w:after="80" w:line="252" w:lineRule="auto"/>
      </w:pPr>
      <w:r>
        <w:rPr>
          <w:rFonts w:ascii="Arial" w:hAnsi="Arial" w:eastAsia="Arial"/>
          <w:b w:val="0"/>
          <w:i w:val="0"/>
          <w:sz w:val="20"/>
        </w:rPr>
        <w:t>(a) one percent where taxable income from employment is up to five hundred thousand rupees;</w:t>
      </w:r>
    </w:p>
    <w:p>
      <w:pPr>
        <w:spacing w:after="80" w:line="252" w:lineRule="auto"/>
      </w:pPr>
      <w:r>
        <w:rPr>
          <w:rFonts w:ascii="Arial" w:hAnsi="Arial" w:eastAsia="Arial"/>
          <w:b w:val="0"/>
          <w:i w:val="0"/>
          <w:sz w:val="20"/>
        </w:rPr>
        <w:t>Provided that, in the case of a taxpayer registered as a sole proprietorship firm, income from pension, income of a natural person who contributes to a retirement fund and a contribution-based social security fund, tax under this clause shall not apply.</w:t>
      </w:r>
    </w:p>
    <w:p>
      <w:pPr>
        <w:spacing w:after="80" w:line="252" w:lineRule="auto"/>
      </w:pPr>
      <w:r>
        <w:rPr>
          <w:rFonts w:ascii="Arial" w:hAnsi="Arial" w:eastAsia="Arial"/>
          <w:b w:val="0"/>
          <w:i w:val="0"/>
          <w:sz w:val="20"/>
        </w:rPr>
        <w:t>(2) In an income year, tax shall be imposed on the taxable income of a couple making an election under Section 50 of the Act at the following rates, subject to subsections (4) and (4a) of this Schedule:</w:t>
      </w:r>
    </w:p>
    <w:p>
      <w:pPr>
        <w:spacing w:after="80" w:line="252" w:lineRule="auto"/>
      </w:pPr>
      <w:r>
        <w:rPr>
          <w:rFonts w:ascii="Arial" w:hAnsi="Arial" w:eastAsia="Arial"/>
          <w:b w:val="0"/>
          <w:i w:val="0"/>
          <w:sz w:val="20"/>
        </w:rPr>
        <w:t>(a) one percent where taxable income from employment is up to six hundred thousand rupees;</w:t>
      </w:r>
    </w:p>
    <w:p>
      <w:pPr>
        <w:spacing w:after="80" w:line="252" w:lineRule="auto"/>
      </w:pPr>
      <w:r>
        <w:rPr>
          <w:rFonts w:ascii="Arial" w:hAnsi="Arial" w:eastAsia="Arial"/>
          <w:b w:val="0"/>
          <w:i w:val="0"/>
          <w:sz w:val="20"/>
        </w:rPr>
        <w:t>Provided that, in the case of a taxpayer registered as a sole proprietorship firm, income from pension, income of a natural person who contributes to a retirement fund and a contribution-based social security fund, tax under this clause shall not apply.</w:t>
      </w:r>
    </w:p>
    <w:p>
      <w:pPr>
        <w:spacing w:after="80" w:line="252" w:lineRule="auto"/>
      </w:pPr>
      <w:r>
        <w:rPr>
          <w:rFonts w:ascii="Arial" w:hAnsi="Arial" w:eastAsia="Arial"/>
          <w:b w:val="0"/>
          <w:i w:val="0"/>
          <w:sz w:val="20"/>
        </w:rPr>
        <w:t>As stated in the above proviso, in the case of taxpayers registered as sole proprietorship firms, income from pension, income from a retirement fund and income of a natural person contributing to a contribution-based social security fund, no tax is levied on income up to Rs. 500,000 for a taxpayer electing as a single natural person and up to Rs. 600,000 for a taxpayer electing as a couple. However, a person having an obligation to file an income return must compulsorily file the income return.</w:t>
      </w:r>
    </w:p>
    <w:p>
      <w:pPr>
        <w:spacing w:after="80" w:line="252" w:lineRule="auto"/>
      </w:pPr>
      <w:r>
        <w:rPr>
          <w:rFonts w:ascii="Arial" w:hAnsi="Arial" w:eastAsia="Arial"/>
          <w:b w:val="0"/>
          <w:i w:val="0"/>
          <w:sz w:val="20"/>
        </w:rPr>
        <w:t>1(5) In the case of a natural person working in a remote area specified by the Government of Nepal, tax under this section shall be computed only on the balance remaining after deducting from taxable income an amount as prescribed, up to a maximum of fifty thousand rupees, in respect of remote area allowance.</w:t>
      </w:r>
    </w:p>
    <w:p>
      <w:pPr>
        <w:spacing w:after="80" w:line="252" w:lineRule="auto"/>
      </w:pPr>
      <w:r>
        <w:rPr>
          <w:rFonts w:ascii="Arial" w:hAnsi="Arial" w:eastAsia="Arial"/>
          <w:b w:val="0"/>
          <w:i w:val="0"/>
          <w:sz w:val="20"/>
        </w:rPr>
        <w:t>Under Rule 38, for the purpose of subsection (5) of Section 1 of Schedule 1 of the Act, the amount to be added to the tax-exempt limit of a person in respect of remote area allowance shall be as follows:</w:t>
      </w:r>
    </w:p>
    <w:tbl>
      <w:tblPr>
        <w:tblStyle w:val="TableGrid"/>
        <w:tblW w:type="auto" w:w="0"/>
        <w:jc w:val="center"/>
        <w:tblLayout w:type="autofit"/>
        <w:tblLook w:firstColumn="1" w:firstRow="1" w:lastColumn="0" w:lastRow="0" w:noHBand="0" w:noVBand="1" w:val="04A0"/>
      </w:tblPr>
      <w:tblGrid>
        <w:gridCol w:w="5112"/>
        <w:gridCol w:w="5112"/>
      </w:tblGrid>
      <w:tr>
        <w:tc>
          <w:tcPr>
            <w:tcW w:type="dxa" w:w="3600"/>
            <w:vAlign w:val="top"/>
            <w:shd w:fill="D9EAF7"/>
          </w:tcPr>
          <w:p>
            <w:pPr>
              <w:spacing w:after="0"/>
            </w:pPr>
            <w:r/>
            <w:r>
              <w:rPr>
                <w:rFonts w:ascii="Arial" w:hAnsi="Arial" w:eastAsia="Arial"/>
                <w:b/>
                <w:sz w:val="18"/>
              </w:rPr>
              <w:t>Area category</w:t>
            </w:r>
          </w:p>
        </w:tc>
        <w:tc>
          <w:tcPr>
            <w:tcW w:type="dxa" w:w="2880"/>
            <w:vAlign w:val="top"/>
            <w:shd w:fill="D9EAF7"/>
          </w:tcPr>
          <w:p>
            <w:pPr>
              <w:spacing w:after="0"/>
            </w:pPr>
            <w:r/>
            <w:r>
              <w:rPr>
                <w:rFonts w:ascii="Arial" w:hAnsi="Arial" w:eastAsia="Arial"/>
                <w:b/>
                <w:sz w:val="18"/>
              </w:rPr>
              <w:t>Deductible amount</w:t>
            </w:r>
          </w:p>
        </w:tc>
      </w:tr>
      <w:tr>
        <w:tc>
          <w:tcPr>
            <w:tcW w:type="dxa" w:w="3600"/>
            <w:vAlign w:val="top"/>
          </w:tcPr>
          <w:p>
            <w:pPr>
              <w:spacing w:after="0"/>
            </w:pPr>
            <w:r/>
            <w:r>
              <w:rPr>
                <w:rFonts w:ascii="Arial" w:hAnsi="Arial" w:eastAsia="Arial"/>
                <w:b w:val="0"/>
                <w:sz w:val="18"/>
              </w:rPr>
              <w:t>Category A area</w:t>
            </w:r>
          </w:p>
        </w:tc>
        <w:tc>
          <w:tcPr>
            <w:tcW w:type="dxa" w:w="2880"/>
            <w:vAlign w:val="top"/>
          </w:tcPr>
          <w:p>
            <w:pPr>
              <w:spacing w:after="0"/>
            </w:pPr>
            <w:r/>
            <w:r>
              <w:rPr>
                <w:rFonts w:ascii="Arial" w:hAnsi="Arial" w:eastAsia="Arial"/>
                <w:b w:val="0"/>
                <w:sz w:val="18"/>
              </w:rPr>
              <w:t>Rs. 50,000</w:t>
            </w:r>
          </w:p>
        </w:tc>
      </w:tr>
      <w:tr>
        <w:tc>
          <w:tcPr>
            <w:tcW w:type="dxa" w:w="3600"/>
            <w:vAlign w:val="top"/>
          </w:tcPr>
          <w:p>
            <w:pPr>
              <w:spacing w:after="0"/>
            </w:pPr>
            <w:r/>
            <w:r>
              <w:rPr>
                <w:rFonts w:ascii="Arial" w:hAnsi="Arial" w:eastAsia="Arial"/>
                <w:b w:val="0"/>
                <w:sz w:val="18"/>
              </w:rPr>
              <w:t>Category B area</w:t>
            </w:r>
          </w:p>
        </w:tc>
        <w:tc>
          <w:tcPr>
            <w:tcW w:type="dxa" w:w="2880"/>
            <w:vAlign w:val="top"/>
          </w:tcPr>
          <w:p>
            <w:pPr>
              <w:spacing w:after="0"/>
            </w:pPr>
            <w:r/>
            <w:r>
              <w:rPr>
                <w:rFonts w:ascii="Arial" w:hAnsi="Arial" w:eastAsia="Arial"/>
                <w:b w:val="0"/>
                <w:sz w:val="18"/>
              </w:rPr>
              <w:t>Rs. 40,000</w:t>
            </w:r>
          </w:p>
        </w:tc>
      </w:tr>
      <w:tr>
        <w:tc>
          <w:tcPr>
            <w:tcW w:type="dxa" w:w="3600"/>
            <w:vAlign w:val="top"/>
          </w:tcPr>
          <w:p>
            <w:pPr>
              <w:spacing w:after="0"/>
            </w:pPr>
            <w:r/>
            <w:r>
              <w:rPr>
                <w:rFonts w:ascii="Arial" w:hAnsi="Arial" w:eastAsia="Arial"/>
                <w:b w:val="0"/>
                <w:sz w:val="18"/>
              </w:rPr>
              <w:t>Category C area</w:t>
            </w:r>
          </w:p>
        </w:tc>
        <w:tc>
          <w:tcPr>
            <w:tcW w:type="dxa" w:w="2880"/>
            <w:vAlign w:val="top"/>
          </w:tcPr>
          <w:p>
            <w:pPr>
              <w:spacing w:after="0"/>
            </w:pPr>
            <w:r/>
            <w:r>
              <w:rPr>
                <w:rFonts w:ascii="Arial" w:hAnsi="Arial" w:eastAsia="Arial"/>
                <w:b w:val="0"/>
                <w:sz w:val="18"/>
              </w:rPr>
              <w:t>Rs. 30,000</w:t>
            </w:r>
          </w:p>
        </w:tc>
      </w:tr>
      <w:tr>
        <w:tc>
          <w:tcPr>
            <w:tcW w:type="dxa" w:w="3600"/>
            <w:vAlign w:val="top"/>
          </w:tcPr>
          <w:p>
            <w:pPr>
              <w:spacing w:after="0"/>
            </w:pPr>
            <w:r/>
            <w:r>
              <w:rPr>
                <w:rFonts w:ascii="Arial" w:hAnsi="Arial" w:eastAsia="Arial"/>
                <w:b w:val="0"/>
                <w:sz w:val="18"/>
              </w:rPr>
              <w:t>Category D area</w:t>
            </w:r>
          </w:p>
        </w:tc>
        <w:tc>
          <w:tcPr>
            <w:tcW w:type="dxa" w:w="2880"/>
            <w:vAlign w:val="top"/>
          </w:tcPr>
          <w:p>
            <w:pPr>
              <w:spacing w:after="0"/>
            </w:pPr>
            <w:r/>
            <w:r>
              <w:rPr>
                <w:rFonts w:ascii="Arial" w:hAnsi="Arial" w:eastAsia="Arial"/>
                <w:b w:val="0"/>
                <w:sz w:val="18"/>
              </w:rPr>
              <w:t>Rs. 20,000</w:t>
            </w:r>
          </w:p>
        </w:tc>
      </w:tr>
      <w:tr>
        <w:tc>
          <w:tcPr>
            <w:tcW w:type="dxa" w:w="3600"/>
            <w:vAlign w:val="top"/>
          </w:tcPr>
          <w:p>
            <w:pPr>
              <w:spacing w:after="0"/>
            </w:pPr>
            <w:r/>
            <w:r>
              <w:rPr>
                <w:rFonts w:ascii="Arial" w:hAnsi="Arial" w:eastAsia="Arial"/>
                <w:b w:val="0"/>
                <w:sz w:val="18"/>
              </w:rPr>
              <w:t>Category E area</w:t>
            </w:r>
          </w:p>
        </w:tc>
        <w:tc>
          <w:tcPr>
            <w:tcW w:type="dxa" w:w="2880"/>
            <w:vAlign w:val="top"/>
          </w:tcPr>
          <w:p>
            <w:pPr>
              <w:spacing w:after="0"/>
            </w:pPr>
            <w:r/>
            <w:r>
              <w:rPr>
                <w:rFonts w:ascii="Arial" w:hAnsi="Arial" w:eastAsia="Arial"/>
                <w:b w:val="0"/>
                <w:sz w:val="18"/>
              </w:rPr>
              <w:t>Rs. 10,000</w:t>
            </w:r>
          </w:p>
        </w:tc>
      </w:tr>
    </w:tbl>
    <w:p/>
    <w:p>
      <w:pPr>
        <w:spacing w:after="80" w:line="252" w:lineRule="auto"/>
      </w:pPr>
      <w:r>
        <w:rPr>
          <w:rFonts w:ascii="Arial" w:hAnsi="Arial" w:eastAsia="Arial"/>
          <w:b/>
          <w:i w:val="0"/>
          <w:sz w:val="20"/>
        </w:rPr>
        <w:t>Example 11.4.1:</w:t>
      </w:r>
    </w:p>
    <w:p>
      <w:pPr>
        <w:spacing w:after="80" w:line="252" w:lineRule="auto"/>
      </w:pPr>
      <w:r>
        <w:rPr>
          <w:rFonts w:ascii="Arial" w:hAnsi="Arial" w:eastAsia="Arial"/>
          <w:b w:val="0"/>
          <w:i w:val="0"/>
          <w:sz w:val="20"/>
        </w:rPr>
        <w:t>Assume that Shyam Mahato, a single employee, works at the Dailekh branch of Development Bank Ltd. In FY 2080/81 his monthly salary and allowances are Rs. 60,000. In that year he receives Rs. 50,000 as Dashain allowance and Rs. 50,000 as bonus. The bank adds Rs. 60,000 to his income and deducts an equal amount from his remuneration for deposit in the provident fund (approved retirement fund). His taxable income and tax for that year are as follows:</w:t>
      </w:r>
    </w:p>
    <w:tbl>
      <w:tblPr>
        <w:tblStyle w:val="TableGrid"/>
        <w:tblW w:type="auto" w:w="0"/>
        <w:jc w:val="center"/>
        <w:tblLayout w:type="autofit"/>
        <w:tblLook w:firstColumn="1" w:firstRow="1" w:lastColumn="0" w:lastRow="0" w:noHBand="0" w:noVBand="1" w:val="04A0"/>
      </w:tblPr>
      <w:tblGrid>
        <w:gridCol w:w="3408"/>
        <w:gridCol w:w="3408"/>
        <w:gridCol w:w="3408"/>
      </w:tblGrid>
      <w:tr>
        <w:tc>
          <w:tcPr>
            <w:tcW w:type="dxa" w:w="6048"/>
            <w:vAlign w:val="top"/>
            <w:shd w:fill="D9EAF7"/>
          </w:tcPr>
          <w:p>
            <w:pPr>
              <w:spacing w:after="0"/>
            </w:pPr>
            <w:r/>
            <w:r>
              <w:rPr>
                <w:rFonts w:ascii="Arial" w:hAnsi="Arial" w:eastAsia="Arial"/>
                <w:b/>
                <w:sz w:val="18"/>
              </w:rPr>
              <w:t>Particulars</w:t>
            </w:r>
          </w:p>
        </w:tc>
        <w:tc>
          <w:tcPr>
            <w:tcW w:type="dxa" w:w="1440"/>
            <w:vAlign w:val="top"/>
            <w:shd w:fill="D9EAF7"/>
          </w:tcPr>
          <w:p>
            <w:pPr>
              <w:spacing w:after="0"/>
            </w:pPr>
            <w:r/>
            <w:r>
              <w:rPr>
                <w:rFonts w:ascii="Arial" w:hAnsi="Arial" w:eastAsia="Arial"/>
                <w:b/>
                <w:sz w:val="18"/>
              </w:rPr>
              <w:t>Tax rate</w:t>
            </w:r>
          </w:p>
        </w:tc>
        <w:tc>
          <w:tcPr>
            <w:tcW w:type="dxa" w:w="1872"/>
            <w:vAlign w:val="top"/>
            <w:shd w:fill="D9EAF7"/>
          </w:tcPr>
          <w:p>
            <w:pPr>
              <w:spacing w:after="0"/>
            </w:pPr>
            <w:r/>
            <w:r>
              <w:rPr>
                <w:rFonts w:ascii="Arial" w:hAnsi="Arial" w:eastAsia="Arial"/>
                <w:b/>
                <w:sz w:val="18"/>
              </w:rPr>
              <w:t>Amount / Tax (Rs.)</w:t>
            </w:r>
          </w:p>
        </w:tc>
      </w:tr>
      <w:tr>
        <w:tc>
          <w:tcPr>
            <w:tcW w:type="dxa" w:w="6048"/>
            <w:vAlign w:val="top"/>
          </w:tcPr>
          <w:p>
            <w:pPr>
              <w:spacing w:after="0"/>
            </w:pPr>
            <w:r/>
            <w:r>
              <w:rPr>
                <w:rFonts w:ascii="Arial" w:hAnsi="Arial" w:eastAsia="Arial"/>
                <w:b w:val="0"/>
                <w:sz w:val="18"/>
              </w:rPr>
              <w:t>Salary and allowances</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720,000</w:t>
            </w:r>
          </w:p>
        </w:tc>
      </w:tr>
      <w:tr>
        <w:tc>
          <w:tcPr>
            <w:tcW w:type="dxa" w:w="6048"/>
            <w:vAlign w:val="top"/>
          </w:tcPr>
          <w:p>
            <w:pPr>
              <w:spacing w:after="0"/>
            </w:pPr>
            <w:r/>
            <w:r>
              <w:rPr>
                <w:rFonts w:ascii="Arial" w:hAnsi="Arial" w:eastAsia="Arial"/>
                <w:b w:val="0"/>
                <w:sz w:val="18"/>
              </w:rPr>
              <w:t>Dashain allowance</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50,000</w:t>
            </w:r>
          </w:p>
        </w:tc>
      </w:tr>
      <w:tr>
        <w:tc>
          <w:tcPr>
            <w:tcW w:type="dxa" w:w="6048"/>
            <w:vAlign w:val="top"/>
          </w:tcPr>
          <w:p>
            <w:pPr>
              <w:spacing w:after="0"/>
            </w:pPr>
            <w:r/>
            <w:r>
              <w:rPr>
                <w:rFonts w:ascii="Arial" w:hAnsi="Arial" w:eastAsia="Arial"/>
                <w:b w:val="0"/>
                <w:sz w:val="18"/>
              </w:rPr>
              <w:t>Bonus</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50,000</w:t>
            </w:r>
          </w:p>
        </w:tc>
      </w:tr>
      <w:tr>
        <w:tc>
          <w:tcPr>
            <w:tcW w:type="dxa" w:w="6048"/>
            <w:vAlign w:val="top"/>
          </w:tcPr>
          <w:p>
            <w:pPr>
              <w:spacing w:after="0"/>
            </w:pPr>
            <w:r/>
            <w:r>
              <w:rPr>
                <w:rFonts w:ascii="Arial" w:hAnsi="Arial" w:eastAsia="Arial"/>
                <w:b w:val="0"/>
                <w:sz w:val="18"/>
              </w:rPr>
              <w:t>Addition to provident fund</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60,000</w:t>
            </w:r>
          </w:p>
        </w:tc>
      </w:tr>
      <w:tr>
        <w:tc>
          <w:tcPr>
            <w:tcW w:type="dxa" w:w="6048"/>
            <w:vAlign w:val="top"/>
          </w:tcPr>
          <w:p>
            <w:pPr>
              <w:spacing w:after="0"/>
            </w:pPr>
            <w:r/>
            <w:r>
              <w:rPr>
                <w:rFonts w:ascii="Arial" w:hAnsi="Arial" w:eastAsia="Arial"/>
                <w:b w:val="0"/>
                <w:sz w:val="18"/>
              </w:rPr>
              <w:t>Total assessable income</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880,000</w:t>
            </w:r>
          </w:p>
        </w:tc>
      </w:tr>
      <w:tr>
        <w:tc>
          <w:tcPr>
            <w:tcW w:type="dxa" w:w="6048"/>
            <w:vAlign w:val="top"/>
          </w:tcPr>
          <w:p>
            <w:pPr>
              <w:spacing w:after="0"/>
            </w:pPr>
            <w:r/>
            <w:r>
              <w:rPr>
                <w:rFonts w:ascii="Arial" w:hAnsi="Arial" w:eastAsia="Arial"/>
                <w:b w:val="0"/>
                <w:sz w:val="18"/>
              </w:rPr>
              <w:t>Less: investment in approved retirement fund</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120,000</w:t>
            </w:r>
          </w:p>
        </w:tc>
      </w:tr>
      <w:tr>
        <w:tc>
          <w:tcPr>
            <w:tcW w:type="dxa" w:w="6048"/>
            <w:vAlign w:val="top"/>
          </w:tcPr>
          <w:p>
            <w:pPr>
              <w:spacing w:after="0"/>
            </w:pPr>
            <w:r/>
            <w:r>
              <w:rPr>
                <w:rFonts w:ascii="Arial" w:hAnsi="Arial" w:eastAsia="Arial"/>
                <w:b w:val="0"/>
                <w:sz w:val="18"/>
              </w:rPr>
              <w:t>Taxable income</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760,000</w:t>
            </w:r>
          </w:p>
        </w:tc>
      </w:tr>
      <w:tr>
        <w:tc>
          <w:tcPr>
            <w:tcW w:type="dxa" w:w="6048"/>
            <w:vAlign w:val="top"/>
          </w:tcPr>
          <w:p>
            <w:pPr>
              <w:spacing w:after="0"/>
            </w:pPr>
            <w:r/>
            <w:r>
              <w:rPr>
                <w:rFonts w:ascii="Arial" w:hAnsi="Arial" w:eastAsia="Arial"/>
                <w:b w:val="0"/>
                <w:sz w:val="18"/>
              </w:rPr>
              <w:t>Less from taxable income: remote area facility for Category C area</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30,000</w:t>
            </w:r>
          </w:p>
        </w:tc>
      </w:tr>
      <w:tr>
        <w:tc>
          <w:tcPr>
            <w:tcW w:type="dxa" w:w="6048"/>
            <w:vAlign w:val="top"/>
          </w:tcPr>
          <w:p>
            <w:pPr>
              <w:spacing w:after="0"/>
            </w:pPr>
            <w:r/>
            <w:r>
              <w:rPr>
                <w:rFonts w:ascii="Arial" w:hAnsi="Arial" w:eastAsia="Arial"/>
                <w:b w:val="0"/>
                <w:sz w:val="18"/>
              </w:rPr>
              <w:t>Net taxable income</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730,000</w:t>
            </w:r>
          </w:p>
        </w:tc>
      </w:tr>
      <w:tr>
        <w:tc>
          <w:tcPr>
            <w:tcW w:type="dxa" w:w="6048"/>
            <w:vAlign w:val="top"/>
          </w:tcPr>
          <w:p>
            <w:pPr>
              <w:spacing w:after="0"/>
            </w:pPr>
            <w:r/>
            <w:r>
              <w:rPr>
                <w:rFonts w:ascii="Arial" w:hAnsi="Arial" w:eastAsia="Arial"/>
                <w:b w:val="0"/>
                <w:sz w:val="18"/>
              </w:rPr>
              <w:t>First slab up to Rs. 500,000</w:t>
            </w:r>
          </w:p>
        </w:tc>
        <w:tc>
          <w:tcPr>
            <w:tcW w:type="dxa" w:w="1440"/>
            <w:vAlign w:val="top"/>
          </w:tcPr>
          <w:p>
            <w:pPr>
              <w:spacing w:after="0"/>
            </w:pPr>
            <w:r/>
            <w:r>
              <w:rPr>
                <w:rFonts w:ascii="Arial" w:hAnsi="Arial" w:eastAsia="Arial"/>
                <w:b w:val="0"/>
                <w:sz w:val="18"/>
              </w:rPr>
              <w:t>1%</w:t>
            </w:r>
          </w:p>
        </w:tc>
        <w:tc>
          <w:tcPr>
            <w:tcW w:type="dxa" w:w="1872"/>
            <w:vAlign w:val="top"/>
          </w:tcPr>
          <w:p>
            <w:pPr>
              <w:spacing w:after="0"/>
            </w:pPr>
            <w:r/>
            <w:r>
              <w:rPr>
                <w:rFonts w:ascii="Arial" w:hAnsi="Arial" w:eastAsia="Arial"/>
                <w:b w:val="0"/>
                <w:sz w:val="18"/>
              </w:rPr>
              <w:t>5,000</w:t>
            </w:r>
          </w:p>
        </w:tc>
      </w:tr>
      <w:tr>
        <w:tc>
          <w:tcPr>
            <w:tcW w:type="dxa" w:w="6048"/>
            <w:vAlign w:val="top"/>
          </w:tcPr>
          <w:p>
            <w:pPr>
              <w:spacing w:after="0"/>
            </w:pPr>
            <w:r/>
            <w:r>
              <w:rPr>
                <w:rFonts w:ascii="Arial" w:hAnsi="Arial" w:eastAsia="Arial"/>
                <w:b w:val="0"/>
                <w:sz w:val="18"/>
              </w:rPr>
              <w:t>Second slab - additional Rs. 200,000</w:t>
            </w:r>
          </w:p>
        </w:tc>
        <w:tc>
          <w:tcPr>
            <w:tcW w:type="dxa" w:w="1440"/>
            <w:vAlign w:val="top"/>
          </w:tcPr>
          <w:p>
            <w:pPr>
              <w:spacing w:after="0"/>
            </w:pPr>
            <w:r/>
            <w:r>
              <w:rPr>
                <w:rFonts w:ascii="Arial" w:hAnsi="Arial" w:eastAsia="Arial"/>
                <w:b w:val="0"/>
                <w:sz w:val="18"/>
              </w:rPr>
              <w:t>10%</w:t>
            </w:r>
          </w:p>
        </w:tc>
        <w:tc>
          <w:tcPr>
            <w:tcW w:type="dxa" w:w="1872"/>
            <w:vAlign w:val="top"/>
          </w:tcPr>
          <w:p>
            <w:pPr>
              <w:spacing w:after="0"/>
            </w:pPr>
            <w:r/>
            <w:r>
              <w:rPr>
                <w:rFonts w:ascii="Arial" w:hAnsi="Arial" w:eastAsia="Arial"/>
                <w:b w:val="0"/>
                <w:sz w:val="18"/>
              </w:rPr>
              <w:t>20,000</w:t>
            </w:r>
          </w:p>
        </w:tc>
      </w:tr>
      <w:tr>
        <w:tc>
          <w:tcPr>
            <w:tcW w:type="dxa" w:w="6048"/>
            <w:vAlign w:val="top"/>
          </w:tcPr>
          <w:p>
            <w:pPr>
              <w:spacing w:after="0"/>
            </w:pPr>
            <w:r/>
            <w:r>
              <w:rPr>
                <w:rFonts w:ascii="Arial" w:hAnsi="Arial" w:eastAsia="Arial"/>
                <w:b w:val="0"/>
                <w:sz w:val="18"/>
              </w:rPr>
              <w:t>Third slab - additional Rs. 300,000 (on Rs. 30,000)</w:t>
            </w:r>
          </w:p>
        </w:tc>
        <w:tc>
          <w:tcPr>
            <w:tcW w:type="dxa" w:w="1440"/>
            <w:vAlign w:val="top"/>
          </w:tcPr>
          <w:p>
            <w:pPr>
              <w:spacing w:after="0"/>
            </w:pPr>
            <w:r/>
            <w:r>
              <w:rPr>
                <w:rFonts w:ascii="Arial" w:hAnsi="Arial" w:eastAsia="Arial"/>
                <w:b w:val="0"/>
                <w:sz w:val="18"/>
              </w:rPr>
              <w:t>20%</w:t>
            </w:r>
          </w:p>
        </w:tc>
        <w:tc>
          <w:tcPr>
            <w:tcW w:type="dxa" w:w="1872"/>
            <w:vAlign w:val="top"/>
          </w:tcPr>
          <w:p>
            <w:pPr>
              <w:spacing w:after="0"/>
            </w:pPr>
            <w:r/>
            <w:r>
              <w:rPr>
                <w:rFonts w:ascii="Arial" w:hAnsi="Arial" w:eastAsia="Arial"/>
                <w:b w:val="0"/>
                <w:sz w:val="18"/>
              </w:rPr>
              <w:t>6,000</w:t>
            </w:r>
          </w:p>
        </w:tc>
      </w:tr>
      <w:tr>
        <w:tc>
          <w:tcPr>
            <w:tcW w:type="dxa" w:w="6048"/>
            <w:vAlign w:val="top"/>
          </w:tcPr>
          <w:p>
            <w:pPr>
              <w:spacing w:after="0"/>
            </w:pPr>
            <w:r/>
            <w:r>
              <w:rPr>
                <w:rFonts w:ascii="Arial" w:hAnsi="Arial" w:eastAsia="Arial"/>
                <w:b w:val="0"/>
                <w:sz w:val="18"/>
              </w:rPr>
              <w:t>Total tax payable</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31,000</w:t>
            </w:r>
          </w:p>
        </w:tc>
      </w:tr>
    </w:tbl>
    <w:p/>
    <w:p>
      <w:pPr>
        <w:spacing w:after="80" w:line="252" w:lineRule="auto"/>
      </w:pPr>
      <w:r>
        <w:rPr>
          <w:rFonts w:ascii="Arial" w:hAnsi="Arial" w:eastAsia="Arial"/>
          <w:b w:val="0"/>
          <w:i w:val="0"/>
          <w:sz w:val="20"/>
        </w:rPr>
        <w:t>Since the Act grants this facility only to natural persons on the basis of remote area, employees, businesspersons and investors working in remote areas may also receive this facility. However, a person who has permanent residence in a remote area but works in another area does not receive this facility merely because of permanent residence in the remote area.</w:t>
      </w:r>
    </w:p>
    <w:p>
      <w:pPr>
        <w:spacing w:after="80" w:line="252" w:lineRule="auto"/>
      </w:pPr>
      <w:r>
        <w:rPr>
          <w:rFonts w:ascii="Arial" w:hAnsi="Arial" w:eastAsia="Arial"/>
          <w:b w:val="0"/>
          <w:i w:val="0"/>
          <w:sz w:val="20"/>
        </w:rPr>
        <w:t>(6) Seventy-five percent of the foreign allowance of an employee working in a diplomatic mission of Nepal situated abroad shall be deducted from taxable income, and tax under this section shall be computed only on the balance.</w:t>
      </w:r>
    </w:p>
    <w:p>
      <w:pPr>
        <w:spacing w:after="80" w:line="252" w:lineRule="auto"/>
      </w:pPr>
      <w:r>
        <w:rPr>
          <w:rFonts w:ascii="Arial" w:hAnsi="Arial" w:eastAsia="Arial"/>
          <w:b/>
          <w:i w:val="0"/>
          <w:sz w:val="20"/>
        </w:rPr>
        <w:t>Example 11.4.2:</w:t>
      </w:r>
    </w:p>
    <w:p>
      <w:pPr>
        <w:spacing w:after="80" w:line="252" w:lineRule="auto"/>
      </w:pPr>
      <w:r>
        <w:rPr>
          <w:rFonts w:ascii="Arial" w:hAnsi="Arial" w:eastAsia="Arial"/>
          <w:b w:val="0"/>
          <w:i w:val="0"/>
          <w:sz w:val="20"/>
        </w:rPr>
        <w:t>Assume that the Government of Nepal posts an employee named Shyam Mahato to work at the Embassy of Nepal in the United States. In FY 2080/81 his monthly salary is Rs. 65,000. He receives Rs. 65,000 as Dashain allowance. The Government of Nepal provides him foreign allowance at Rs. 60,000 per month. The Government also adds Rs. 78,000 to his income and deducts an equal amount from his remuneration for deposit in the provident fund (approved retirement fund). He elects to be treated as a single natural person for that year. His taxable income and tax for the year are as follows:</w:t>
      </w:r>
    </w:p>
    <w:tbl>
      <w:tblPr>
        <w:tblStyle w:val="TableGrid"/>
        <w:tblW w:type="auto" w:w="0"/>
        <w:jc w:val="center"/>
        <w:tblLayout w:type="autofit"/>
        <w:tblLook w:firstColumn="1" w:firstRow="1" w:lastColumn="0" w:lastRow="0" w:noHBand="0" w:noVBand="1" w:val="04A0"/>
      </w:tblPr>
      <w:tblGrid>
        <w:gridCol w:w="3408"/>
        <w:gridCol w:w="3408"/>
        <w:gridCol w:w="3408"/>
      </w:tblGrid>
      <w:tr>
        <w:tc>
          <w:tcPr>
            <w:tcW w:type="dxa" w:w="6048"/>
            <w:vAlign w:val="top"/>
            <w:shd w:fill="D9EAF7"/>
          </w:tcPr>
          <w:p>
            <w:pPr>
              <w:spacing w:after="0"/>
            </w:pPr>
            <w:r/>
            <w:r>
              <w:rPr>
                <w:rFonts w:ascii="Arial" w:hAnsi="Arial" w:eastAsia="Arial"/>
                <w:b/>
                <w:sz w:val="18"/>
              </w:rPr>
              <w:t>Particulars</w:t>
            </w:r>
          </w:p>
        </w:tc>
        <w:tc>
          <w:tcPr>
            <w:tcW w:type="dxa" w:w="1440"/>
            <w:vAlign w:val="top"/>
            <w:shd w:fill="D9EAF7"/>
          </w:tcPr>
          <w:p>
            <w:pPr>
              <w:spacing w:after="0"/>
            </w:pPr>
            <w:r/>
            <w:r>
              <w:rPr>
                <w:rFonts w:ascii="Arial" w:hAnsi="Arial" w:eastAsia="Arial"/>
                <w:b/>
                <w:sz w:val="18"/>
              </w:rPr>
              <w:t>Tax rate</w:t>
            </w:r>
          </w:p>
        </w:tc>
        <w:tc>
          <w:tcPr>
            <w:tcW w:type="dxa" w:w="1872"/>
            <w:vAlign w:val="top"/>
            <w:shd w:fill="D9EAF7"/>
          </w:tcPr>
          <w:p>
            <w:pPr>
              <w:spacing w:after="0"/>
            </w:pPr>
            <w:r/>
            <w:r>
              <w:rPr>
                <w:rFonts w:ascii="Arial" w:hAnsi="Arial" w:eastAsia="Arial"/>
                <w:b/>
                <w:sz w:val="18"/>
              </w:rPr>
              <w:t>Amount / Tax (Rs.)</w:t>
            </w:r>
          </w:p>
        </w:tc>
      </w:tr>
      <w:tr>
        <w:tc>
          <w:tcPr>
            <w:tcW w:type="dxa" w:w="6048"/>
            <w:vAlign w:val="top"/>
          </w:tcPr>
          <w:p>
            <w:pPr>
              <w:spacing w:after="0"/>
            </w:pPr>
            <w:r/>
            <w:r>
              <w:rPr>
                <w:rFonts w:ascii="Arial" w:hAnsi="Arial" w:eastAsia="Arial"/>
                <w:b w:val="0"/>
                <w:sz w:val="18"/>
              </w:rPr>
              <w:t>Salary and allowances</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780,000</w:t>
            </w:r>
          </w:p>
        </w:tc>
      </w:tr>
      <w:tr>
        <w:tc>
          <w:tcPr>
            <w:tcW w:type="dxa" w:w="6048"/>
            <w:vAlign w:val="top"/>
          </w:tcPr>
          <w:p>
            <w:pPr>
              <w:spacing w:after="0"/>
            </w:pPr>
            <w:r/>
            <w:r>
              <w:rPr>
                <w:rFonts w:ascii="Arial" w:hAnsi="Arial" w:eastAsia="Arial"/>
                <w:b w:val="0"/>
                <w:sz w:val="18"/>
              </w:rPr>
              <w:t>Dashain allowance</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65,000</w:t>
            </w:r>
          </w:p>
        </w:tc>
      </w:tr>
      <w:tr>
        <w:tc>
          <w:tcPr>
            <w:tcW w:type="dxa" w:w="6048"/>
            <w:vAlign w:val="top"/>
          </w:tcPr>
          <w:p>
            <w:pPr>
              <w:spacing w:after="0"/>
            </w:pPr>
            <w:r/>
            <w:r>
              <w:rPr>
                <w:rFonts w:ascii="Arial" w:hAnsi="Arial" w:eastAsia="Arial"/>
                <w:b w:val="0"/>
                <w:sz w:val="18"/>
              </w:rPr>
              <w:t>Foreign allowance (12 x 60,000)</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720,000</w:t>
            </w:r>
          </w:p>
        </w:tc>
      </w:tr>
      <w:tr>
        <w:tc>
          <w:tcPr>
            <w:tcW w:type="dxa" w:w="6048"/>
            <w:vAlign w:val="top"/>
          </w:tcPr>
          <w:p>
            <w:pPr>
              <w:spacing w:after="0"/>
            </w:pPr>
            <w:r/>
            <w:r>
              <w:rPr>
                <w:rFonts w:ascii="Arial" w:hAnsi="Arial" w:eastAsia="Arial"/>
                <w:b w:val="0"/>
                <w:sz w:val="18"/>
              </w:rPr>
              <w:t>Addition to provident fund</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78,000</w:t>
            </w:r>
          </w:p>
        </w:tc>
      </w:tr>
      <w:tr>
        <w:tc>
          <w:tcPr>
            <w:tcW w:type="dxa" w:w="6048"/>
            <w:vAlign w:val="top"/>
          </w:tcPr>
          <w:p>
            <w:pPr>
              <w:spacing w:after="0"/>
            </w:pPr>
            <w:r/>
            <w:r>
              <w:rPr>
                <w:rFonts w:ascii="Arial" w:hAnsi="Arial" w:eastAsia="Arial"/>
                <w:b w:val="0"/>
                <w:sz w:val="18"/>
              </w:rPr>
              <w:t>Total assessable income</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1,643,000</w:t>
            </w:r>
          </w:p>
        </w:tc>
      </w:tr>
      <w:tr>
        <w:tc>
          <w:tcPr>
            <w:tcW w:type="dxa" w:w="6048"/>
            <w:vAlign w:val="top"/>
          </w:tcPr>
          <w:p>
            <w:pPr>
              <w:spacing w:after="0"/>
            </w:pPr>
            <w:r/>
            <w:r>
              <w:rPr>
                <w:rFonts w:ascii="Arial" w:hAnsi="Arial" w:eastAsia="Arial"/>
                <w:b w:val="0"/>
                <w:sz w:val="18"/>
              </w:rPr>
              <w:t>Less: investment in approved retirement fund</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156,000</w:t>
            </w:r>
          </w:p>
        </w:tc>
      </w:tr>
      <w:tr>
        <w:tc>
          <w:tcPr>
            <w:tcW w:type="dxa" w:w="6048"/>
            <w:vAlign w:val="top"/>
          </w:tcPr>
          <w:p>
            <w:pPr>
              <w:spacing w:after="0"/>
            </w:pPr>
            <w:r/>
            <w:r>
              <w:rPr>
                <w:rFonts w:ascii="Arial" w:hAnsi="Arial" w:eastAsia="Arial"/>
                <w:b w:val="0"/>
                <w:sz w:val="18"/>
              </w:rPr>
              <w:t>Taxable income</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1,487,000</w:t>
            </w:r>
          </w:p>
        </w:tc>
      </w:tr>
      <w:tr>
        <w:tc>
          <w:tcPr>
            <w:tcW w:type="dxa" w:w="6048"/>
            <w:vAlign w:val="top"/>
          </w:tcPr>
          <w:p>
            <w:pPr>
              <w:spacing w:after="0"/>
            </w:pPr>
            <w:r/>
            <w:r>
              <w:rPr>
                <w:rFonts w:ascii="Arial" w:hAnsi="Arial" w:eastAsia="Arial"/>
                <w:b w:val="0"/>
                <w:sz w:val="18"/>
              </w:rPr>
              <w:t>Less from taxable income: 75% of foreign allowance</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540,000</w:t>
            </w:r>
          </w:p>
        </w:tc>
      </w:tr>
      <w:tr>
        <w:tc>
          <w:tcPr>
            <w:tcW w:type="dxa" w:w="6048"/>
            <w:vAlign w:val="top"/>
          </w:tcPr>
          <w:p>
            <w:pPr>
              <w:spacing w:after="0"/>
            </w:pPr>
            <w:r/>
            <w:r>
              <w:rPr>
                <w:rFonts w:ascii="Arial" w:hAnsi="Arial" w:eastAsia="Arial"/>
                <w:b w:val="0"/>
                <w:sz w:val="18"/>
              </w:rPr>
              <w:t>Net taxable income</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947,000</w:t>
            </w:r>
          </w:p>
        </w:tc>
      </w:tr>
      <w:tr>
        <w:tc>
          <w:tcPr>
            <w:tcW w:type="dxa" w:w="6048"/>
            <w:vAlign w:val="top"/>
          </w:tcPr>
          <w:p>
            <w:pPr>
              <w:spacing w:after="0"/>
            </w:pPr>
            <w:r/>
            <w:r>
              <w:rPr>
                <w:rFonts w:ascii="Arial" w:hAnsi="Arial" w:eastAsia="Arial"/>
                <w:b w:val="0"/>
                <w:sz w:val="18"/>
              </w:rPr>
              <w:t>First slab up to Rs. 500,000</w:t>
            </w:r>
          </w:p>
        </w:tc>
        <w:tc>
          <w:tcPr>
            <w:tcW w:type="dxa" w:w="1440"/>
            <w:vAlign w:val="top"/>
          </w:tcPr>
          <w:p>
            <w:pPr>
              <w:spacing w:after="0"/>
            </w:pPr>
            <w:r/>
            <w:r>
              <w:rPr>
                <w:rFonts w:ascii="Arial" w:hAnsi="Arial" w:eastAsia="Arial"/>
                <w:b w:val="0"/>
                <w:sz w:val="18"/>
              </w:rPr>
              <w:t>1%</w:t>
            </w:r>
          </w:p>
        </w:tc>
        <w:tc>
          <w:tcPr>
            <w:tcW w:type="dxa" w:w="1872"/>
            <w:vAlign w:val="top"/>
          </w:tcPr>
          <w:p>
            <w:pPr>
              <w:spacing w:after="0"/>
            </w:pPr>
            <w:r/>
            <w:r>
              <w:rPr>
                <w:rFonts w:ascii="Arial" w:hAnsi="Arial" w:eastAsia="Arial"/>
                <w:b w:val="0"/>
                <w:sz w:val="18"/>
              </w:rPr>
              <w:t>5,000</w:t>
            </w:r>
          </w:p>
        </w:tc>
      </w:tr>
      <w:tr>
        <w:tc>
          <w:tcPr>
            <w:tcW w:type="dxa" w:w="6048"/>
            <w:vAlign w:val="top"/>
          </w:tcPr>
          <w:p>
            <w:pPr>
              <w:spacing w:after="0"/>
            </w:pPr>
            <w:r/>
            <w:r>
              <w:rPr>
                <w:rFonts w:ascii="Arial" w:hAnsi="Arial" w:eastAsia="Arial"/>
                <w:b w:val="0"/>
                <w:sz w:val="18"/>
              </w:rPr>
              <w:t>Second slab - additional Rs. 200,000</w:t>
            </w:r>
          </w:p>
        </w:tc>
        <w:tc>
          <w:tcPr>
            <w:tcW w:type="dxa" w:w="1440"/>
            <w:vAlign w:val="top"/>
          </w:tcPr>
          <w:p>
            <w:pPr>
              <w:spacing w:after="0"/>
            </w:pPr>
            <w:r/>
            <w:r>
              <w:rPr>
                <w:rFonts w:ascii="Arial" w:hAnsi="Arial" w:eastAsia="Arial"/>
                <w:b w:val="0"/>
                <w:sz w:val="18"/>
              </w:rPr>
              <w:t>10%</w:t>
            </w:r>
          </w:p>
        </w:tc>
        <w:tc>
          <w:tcPr>
            <w:tcW w:type="dxa" w:w="1872"/>
            <w:vAlign w:val="top"/>
          </w:tcPr>
          <w:p>
            <w:pPr>
              <w:spacing w:after="0"/>
            </w:pPr>
            <w:r/>
            <w:r>
              <w:rPr>
                <w:rFonts w:ascii="Arial" w:hAnsi="Arial" w:eastAsia="Arial"/>
                <w:b w:val="0"/>
                <w:sz w:val="18"/>
              </w:rPr>
              <w:t>20,000</w:t>
            </w:r>
          </w:p>
        </w:tc>
      </w:tr>
      <w:tr>
        <w:tc>
          <w:tcPr>
            <w:tcW w:type="dxa" w:w="6048"/>
            <w:vAlign w:val="top"/>
          </w:tcPr>
          <w:p>
            <w:pPr>
              <w:spacing w:after="0"/>
            </w:pPr>
            <w:r/>
            <w:r>
              <w:rPr>
                <w:rFonts w:ascii="Arial" w:hAnsi="Arial" w:eastAsia="Arial"/>
                <w:b w:val="0"/>
                <w:sz w:val="18"/>
              </w:rPr>
              <w:t>Third slab - additional Rs. 300,000 (on Rs. 247,000)</w:t>
            </w:r>
          </w:p>
        </w:tc>
        <w:tc>
          <w:tcPr>
            <w:tcW w:type="dxa" w:w="1440"/>
            <w:vAlign w:val="top"/>
          </w:tcPr>
          <w:p>
            <w:pPr>
              <w:spacing w:after="0"/>
            </w:pPr>
            <w:r/>
            <w:r>
              <w:rPr>
                <w:rFonts w:ascii="Arial" w:hAnsi="Arial" w:eastAsia="Arial"/>
                <w:b w:val="0"/>
                <w:sz w:val="18"/>
              </w:rPr>
              <w:t>20%</w:t>
            </w:r>
          </w:p>
        </w:tc>
        <w:tc>
          <w:tcPr>
            <w:tcW w:type="dxa" w:w="1872"/>
            <w:vAlign w:val="top"/>
          </w:tcPr>
          <w:p>
            <w:pPr>
              <w:spacing w:after="0"/>
            </w:pPr>
            <w:r/>
            <w:r>
              <w:rPr>
                <w:rFonts w:ascii="Arial" w:hAnsi="Arial" w:eastAsia="Arial"/>
                <w:b w:val="0"/>
                <w:sz w:val="18"/>
              </w:rPr>
              <w:t>49,400</w:t>
            </w:r>
          </w:p>
        </w:tc>
      </w:tr>
      <w:tr>
        <w:tc>
          <w:tcPr>
            <w:tcW w:type="dxa" w:w="6048"/>
            <w:vAlign w:val="top"/>
          </w:tcPr>
          <w:p>
            <w:pPr>
              <w:spacing w:after="0"/>
            </w:pPr>
            <w:r/>
            <w:r>
              <w:rPr>
                <w:rFonts w:ascii="Arial" w:hAnsi="Arial" w:eastAsia="Arial"/>
                <w:b w:val="0"/>
                <w:sz w:val="18"/>
              </w:rPr>
              <w:t>Fourth slab - additional Rs. 2,000,000</w:t>
            </w:r>
          </w:p>
        </w:tc>
        <w:tc>
          <w:tcPr>
            <w:tcW w:type="dxa" w:w="1440"/>
            <w:vAlign w:val="top"/>
          </w:tcPr>
          <w:p>
            <w:pPr>
              <w:spacing w:after="0"/>
            </w:pPr>
            <w:r/>
            <w:r>
              <w:rPr>
                <w:rFonts w:ascii="Arial" w:hAnsi="Arial" w:eastAsia="Arial"/>
                <w:b w:val="0"/>
                <w:sz w:val="18"/>
              </w:rPr>
              <w:t>30%</w:t>
            </w:r>
          </w:p>
        </w:tc>
        <w:tc>
          <w:tcPr>
            <w:tcW w:type="dxa" w:w="1872"/>
            <w:vAlign w:val="top"/>
          </w:tcPr>
          <w:p>
            <w:pPr>
              <w:spacing w:after="0"/>
            </w:pPr>
            <w:r/>
            <w:r>
              <w:rPr>
                <w:rFonts w:ascii="Arial" w:hAnsi="Arial" w:eastAsia="Arial"/>
                <w:b w:val="0"/>
                <w:sz w:val="18"/>
              </w:rPr>
            </w:r>
          </w:p>
        </w:tc>
      </w:tr>
      <w:tr>
        <w:tc>
          <w:tcPr>
            <w:tcW w:type="dxa" w:w="6048"/>
            <w:vAlign w:val="top"/>
          </w:tcPr>
          <w:p>
            <w:pPr>
              <w:spacing w:after="0"/>
            </w:pPr>
            <w:r/>
            <w:r>
              <w:rPr>
                <w:rFonts w:ascii="Arial" w:hAnsi="Arial" w:eastAsia="Arial"/>
                <w:b w:val="0"/>
                <w:sz w:val="18"/>
              </w:rPr>
              <w:t>Total tax payable</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74,400</w:t>
            </w:r>
          </w:p>
        </w:tc>
      </w:tr>
    </w:tbl>
    <w:p/>
    <w:p>
      <w:pPr>
        <w:spacing w:after="80" w:line="252" w:lineRule="auto"/>
      </w:pPr>
      <w:r>
        <w:rPr>
          <w:rFonts w:ascii="Arial" w:hAnsi="Arial" w:eastAsia="Arial"/>
          <w:b w:val="0"/>
          <w:i w:val="0"/>
          <w:sz w:val="20"/>
        </w:rPr>
        <w:t>(9a) Notwithstanding anything contained elsewhere in this section, where a resident natural person has pension income, tax under this section shall be computed only on the balance remaining after deducting from taxable income an amount equal to twenty-five percent of the amount mentioned in clause (a) of subsection (1) for a natural person or clause (a) of subsection (2) for a couple.</w:t>
      </w:r>
    </w:p>
    <w:p>
      <w:pPr>
        <w:spacing w:after="80" w:line="252" w:lineRule="auto"/>
      </w:pPr>
      <w:r>
        <w:rPr>
          <w:rFonts w:ascii="Arial" w:hAnsi="Arial" w:eastAsia="Arial"/>
          <w:b w:val="0"/>
          <w:i w:val="0"/>
          <w:sz w:val="20"/>
        </w:rPr>
        <w:t>However, the amount so deducted shall not exceed the prescribed limit.</w:t>
      </w:r>
    </w:p>
    <w:p>
      <w:pPr>
        <w:spacing w:after="80" w:line="252" w:lineRule="auto"/>
      </w:pPr>
      <w:r>
        <w:rPr>
          <w:rFonts w:ascii="Arial" w:hAnsi="Arial" w:eastAsia="Arial"/>
          <w:b/>
          <w:i w:val="0"/>
          <w:sz w:val="20"/>
        </w:rPr>
        <w:t>Example 11.4.3:</w:t>
      </w:r>
    </w:p>
    <w:p>
      <w:pPr>
        <w:spacing w:after="80" w:line="252" w:lineRule="auto"/>
      </w:pPr>
      <w:r>
        <w:rPr>
          <w:rFonts w:ascii="Arial" w:hAnsi="Arial" w:eastAsia="Arial"/>
          <w:b w:val="0"/>
          <w:i w:val="0"/>
          <w:sz w:val="20"/>
        </w:rPr>
        <w:t>Assume that Shyam Mahato works at the Dailekh branch of Development Bank Ltd. In FY 2080/81 his monthly salary and allowance is Rs. 50,000. He receives Rs. 40,000 as Dashain expense and Rs. 100,000 as bonus. The bank adds Rs. 30,000 to his income and deducts an equal amount from his remuneration for deposit in the provident fund (approved retirement fund). In addition to remuneration received from Development Bank, he also receives Rs. 450,000 as pension from the Government of Nepal in that year. He elects to be treated as a couple for that year. His taxable income and tax for the year are as follows:</w:t>
      </w:r>
    </w:p>
    <w:tbl>
      <w:tblPr>
        <w:tblStyle w:val="TableGrid"/>
        <w:tblW w:type="auto" w:w="0"/>
        <w:jc w:val="center"/>
        <w:tblLayout w:type="autofit"/>
        <w:tblLook w:firstColumn="1" w:firstRow="1" w:lastColumn="0" w:lastRow="0" w:noHBand="0" w:noVBand="1" w:val="04A0"/>
      </w:tblPr>
      <w:tblGrid>
        <w:gridCol w:w="3408"/>
        <w:gridCol w:w="3408"/>
        <w:gridCol w:w="3408"/>
      </w:tblGrid>
      <w:tr>
        <w:tc>
          <w:tcPr>
            <w:tcW w:type="dxa" w:w="6048"/>
            <w:vAlign w:val="top"/>
            <w:shd w:fill="D9EAF7"/>
          </w:tcPr>
          <w:p>
            <w:pPr>
              <w:spacing w:after="0"/>
            </w:pPr>
            <w:r/>
            <w:r>
              <w:rPr>
                <w:rFonts w:ascii="Arial" w:hAnsi="Arial" w:eastAsia="Arial"/>
                <w:b/>
                <w:sz w:val="18"/>
              </w:rPr>
              <w:t>Particulars</w:t>
            </w:r>
          </w:p>
        </w:tc>
        <w:tc>
          <w:tcPr>
            <w:tcW w:type="dxa" w:w="1440"/>
            <w:vAlign w:val="top"/>
            <w:shd w:fill="D9EAF7"/>
          </w:tcPr>
          <w:p>
            <w:pPr>
              <w:spacing w:after="0"/>
            </w:pPr>
            <w:r/>
            <w:r>
              <w:rPr>
                <w:rFonts w:ascii="Arial" w:hAnsi="Arial" w:eastAsia="Arial"/>
                <w:b/>
                <w:sz w:val="18"/>
              </w:rPr>
              <w:t>Tax rate</w:t>
            </w:r>
          </w:p>
        </w:tc>
        <w:tc>
          <w:tcPr>
            <w:tcW w:type="dxa" w:w="1872"/>
            <w:vAlign w:val="top"/>
            <w:shd w:fill="D9EAF7"/>
          </w:tcPr>
          <w:p>
            <w:pPr>
              <w:spacing w:after="0"/>
            </w:pPr>
            <w:r/>
            <w:r>
              <w:rPr>
                <w:rFonts w:ascii="Arial" w:hAnsi="Arial" w:eastAsia="Arial"/>
                <w:b/>
                <w:sz w:val="18"/>
              </w:rPr>
              <w:t>Amount / Tax (Rs.)</w:t>
            </w:r>
          </w:p>
        </w:tc>
      </w:tr>
      <w:tr>
        <w:tc>
          <w:tcPr>
            <w:tcW w:type="dxa" w:w="6048"/>
            <w:vAlign w:val="top"/>
          </w:tcPr>
          <w:p>
            <w:pPr>
              <w:spacing w:after="0"/>
            </w:pPr>
            <w:r/>
            <w:r>
              <w:rPr>
                <w:rFonts w:ascii="Arial" w:hAnsi="Arial" w:eastAsia="Arial"/>
                <w:b w:val="0"/>
                <w:sz w:val="18"/>
              </w:rPr>
              <w:t>Salary and allowances</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600,000</w:t>
            </w:r>
          </w:p>
        </w:tc>
      </w:tr>
      <w:tr>
        <w:tc>
          <w:tcPr>
            <w:tcW w:type="dxa" w:w="6048"/>
            <w:vAlign w:val="top"/>
          </w:tcPr>
          <w:p>
            <w:pPr>
              <w:spacing w:after="0"/>
            </w:pPr>
            <w:r/>
            <w:r>
              <w:rPr>
                <w:rFonts w:ascii="Arial" w:hAnsi="Arial" w:eastAsia="Arial"/>
                <w:b w:val="0"/>
                <w:sz w:val="18"/>
              </w:rPr>
              <w:t>Dashain expense</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40,000</w:t>
            </w:r>
          </w:p>
        </w:tc>
      </w:tr>
      <w:tr>
        <w:tc>
          <w:tcPr>
            <w:tcW w:type="dxa" w:w="6048"/>
            <w:vAlign w:val="top"/>
          </w:tcPr>
          <w:p>
            <w:pPr>
              <w:spacing w:after="0"/>
            </w:pPr>
            <w:r/>
            <w:r>
              <w:rPr>
                <w:rFonts w:ascii="Arial" w:hAnsi="Arial" w:eastAsia="Arial"/>
                <w:b w:val="0"/>
                <w:sz w:val="18"/>
              </w:rPr>
              <w:t>Bonus</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100,000</w:t>
            </w:r>
          </w:p>
        </w:tc>
      </w:tr>
      <w:tr>
        <w:tc>
          <w:tcPr>
            <w:tcW w:type="dxa" w:w="6048"/>
            <w:vAlign w:val="top"/>
          </w:tcPr>
          <w:p>
            <w:pPr>
              <w:spacing w:after="0"/>
            </w:pPr>
            <w:r/>
            <w:r>
              <w:rPr>
                <w:rFonts w:ascii="Arial" w:hAnsi="Arial" w:eastAsia="Arial"/>
                <w:b w:val="0"/>
                <w:sz w:val="18"/>
              </w:rPr>
              <w:t>Addition to provident fund</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30,000</w:t>
            </w:r>
          </w:p>
        </w:tc>
      </w:tr>
      <w:tr>
        <w:tc>
          <w:tcPr>
            <w:tcW w:type="dxa" w:w="6048"/>
            <w:vAlign w:val="top"/>
          </w:tcPr>
          <w:p>
            <w:pPr>
              <w:spacing w:after="0"/>
            </w:pPr>
            <w:r/>
            <w:r>
              <w:rPr>
                <w:rFonts w:ascii="Arial" w:hAnsi="Arial" w:eastAsia="Arial"/>
                <w:b w:val="0"/>
                <w:sz w:val="18"/>
              </w:rPr>
              <w:t>Pension income</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450,000</w:t>
            </w:r>
          </w:p>
        </w:tc>
      </w:tr>
      <w:tr>
        <w:tc>
          <w:tcPr>
            <w:tcW w:type="dxa" w:w="6048"/>
            <w:vAlign w:val="top"/>
          </w:tcPr>
          <w:p>
            <w:pPr>
              <w:spacing w:after="0"/>
            </w:pPr>
            <w:r/>
            <w:r>
              <w:rPr>
                <w:rFonts w:ascii="Arial" w:hAnsi="Arial" w:eastAsia="Arial"/>
                <w:b w:val="0"/>
                <w:sz w:val="18"/>
              </w:rPr>
              <w:t>Assessable income</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1,220,000</w:t>
            </w:r>
          </w:p>
        </w:tc>
      </w:tr>
      <w:tr>
        <w:tc>
          <w:tcPr>
            <w:tcW w:type="dxa" w:w="6048"/>
            <w:vAlign w:val="top"/>
          </w:tcPr>
          <w:p>
            <w:pPr>
              <w:spacing w:after="0"/>
            </w:pPr>
            <w:r/>
            <w:r>
              <w:rPr>
                <w:rFonts w:ascii="Arial" w:hAnsi="Arial" w:eastAsia="Arial"/>
                <w:b w:val="0"/>
                <w:sz w:val="18"/>
              </w:rPr>
              <w:t>Less: investment in approved retirement fund</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60,000</w:t>
            </w:r>
          </w:p>
        </w:tc>
      </w:tr>
      <w:tr>
        <w:tc>
          <w:tcPr>
            <w:tcW w:type="dxa" w:w="6048"/>
            <w:vAlign w:val="top"/>
          </w:tcPr>
          <w:p>
            <w:pPr>
              <w:spacing w:after="0"/>
            </w:pPr>
            <w:r/>
            <w:r>
              <w:rPr>
                <w:rFonts w:ascii="Arial" w:hAnsi="Arial" w:eastAsia="Arial"/>
                <w:b w:val="0"/>
                <w:sz w:val="18"/>
              </w:rPr>
              <w:t>Taxable income</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1,160,000</w:t>
            </w:r>
          </w:p>
        </w:tc>
      </w:tr>
      <w:tr>
        <w:tc>
          <w:tcPr>
            <w:tcW w:type="dxa" w:w="6048"/>
            <w:vAlign w:val="top"/>
          </w:tcPr>
          <w:p>
            <w:pPr>
              <w:spacing w:after="0"/>
            </w:pPr>
            <w:r/>
            <w:r>
              <w:rPr>
                <w:rFonts w:ascii="Arial" w:hAnsi="Arial" w:eastAsia="Arial"/>
                <w:b w:val="0"/>
                <w:sz w:val="18"/>
              </w:rPr>
              <w:t>Less from taxable income: remote area facility for Category C area</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30,000</w:t>
            </w:r>
          </w:p>
        </w:tc>
      </w:tr>
      <w:tr>
        <w:tc>
          <w:tcPr>
            <w:tcW w:type="dxa" w:w="6048"/>
            <w:vAlign w:val="top"/>
          </w:tcPr>
          <w:p>
            <w:pPr>
              <w:spacing w:after="0"/>
            </w:pPr>
            <w:r/>
            <w:r>
              <w:rPr>
                <w:rFonts w:ascii="Arial" w:hAnsi="Arial" w:eastAsia="Arial"/>
                <w:b w:val="0"/>
                <w:sz w:val="18"/>
              </w:rPr>
              <w:t>Deduction for pension: 25% of Rs. 600,000</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150,000</w:t>
            </w:r>
          </w:p>
        </w:tc>
      </w:tr>
      <w:tr>
        <w:tc>
          <w:tcPr>
            <w:tcW w:type="dxa" w:w="6048"/>
            <w:vAlign w:val="top"/>
          </w:tcPr>
          <w:p>
            <w:pPr>
              <w:spacing w:after="0"/>
            </w:pPr>
            <w:r/>
            <w:r>
              <w:rPr>
                <w:rFonts w:ascii="Arial" w:hAnsi="Arial" w:eastAsia="Arial"/>
                <w:b w:val="0"/>
                <w:sz w:val="18"/>
              </w:rPr>
              <w:t>Net taxable income</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980,000</w:t>
            </w:r>
          </w:p>
        </w:tc>
      </w:tr>
      <w:tr>
        <w:tc>
          <w:tcPr>
            <w:tcW w:type="dxa" w:w="6048"/>
            <w:vAlign w:val="top"/>
          </w:tcPr>
          <w:p>
            <w:pPr>
              <w:spacing w:after="0"/>
            </w:pPr>
            <w:r/>
            <w:r>
              <w:rPr>
                <w:rFonts w:ascii="Arial" w:hAnsi="Arial" w:eastAsia="Arial"/>
                <w:b w:val="0"/>
                <w:sz w:val="18"/>
              </w:rPr>
              <w:t>First slab - pension income (450,000 - 150,000 = 300,000) up to Rs. 600,000</w:t>
            </w:r>
          </w:p>
        </w:tc>
        <w:tc>
          <w:tcPr>
            <w:tcW w:type="dxa" w:w="1440"/>
            <w:vAlign w:val="top"/>
          </w:tcPr>
          <w:p>
            <w:pPr>
              <w:spacing w:after="0"/>
            </w:pPr>
            <w:r/>
            <w:r>
              <w:rPr>
                <w:rFonts w:ascii="Arial" w:hAnsi="Arial" w:eastAsia="Arial"/>
                <w:b w:val="0"/>
                <w:sz w:val="18"/>
              </w:rPr>
              <w:t>1%</w:t>
            </w:r>
          </w:p>
        </w:tc>
        <w:tc>
          <w:tcPr>
            <w:tcW w:type="dxa" w:w="1872"/>
            <w:vAlign w:val="top"/>
          </w:tcPr>
          <w:p>
            <w:pPr>
              <w:spacing w:after="0"/>
            </w:pPr>
            <w:r/>
            <w:r>
              <w:rPr>
                <w:rFonts w:ascii="Arial" w:hAnsi="Arial" w:eastAsia="Arial"/>
                <w:b w:val="0"/>
                <w:sz w:val="18"/>
              </w:rPr>
              <w:t>3,000</w:t>
            </w:r>
          </w:p>
        </w:tc>
      </w:tr>
      <w:tr>
        <w:tc>
          <w:tcPr>
            <w:tcW w:type="dxa" w:w="6048"/>
            <w:vAlign w:val="top"/>
          </w:tcPr>
          <w:p>
            <w:pPr>
              <w:spacing w:after="0"/>
            </w:pPr>
            <w:r/>
            <w:r>
              <w:rPr>
                <w:rFonts w:ascii="Arial" w:hAnsi="Arial" w:eastAsia="Arial"/>
                <w:b w:val="0"/>
                <w:sz w:val="18"/>
              </w:rPr>
              <w:t>Second slab - additional Rs. 200,000</w:t>
            </w:r>
          </w:p>
        </w:tc>
        <w:tc>
          <w:tcPr>
            <w:tcW w:type="dxa" w:w="1440"/>
            <w:vAlign w:val="top"/>
          </w:tcPr>
          <w:p>
            <w:pPr>
              <w:spacing w:after="0"/>
            </w:pPr>
            <w:r/>
            <w:r>
              <w:rPr>
                <w:rFonts w:ascii="Arial" w:hAnsi="Arial" w:eastAsia="Arial"/>
                <w:b w:val="0"/>
                <w:sz w:val="18"/>
              </w:rPr>
              <w:t>10%</w:t>
            </w:r>
          </w:p>
        </w:tc>
        <w:tc>
          <w:tcPr>
            <w:tcW w:type="dxa" w:w="1872"/>
            <w:vAlign w:val="top"/>
          </w:tcPr>
          <w:p>
            <w:pPr>
              <w:spacing w:after="0"/>
            </w:pPr>
            <w:r/>
            <w:r>
              <w:rPr>
                <w:rFonts w:ascii="Arial" w:hAnsi="Arial" w:eastAsia="Arial"/>
                <w:b w:val="0"/>
                <w:sz w:val="18"/>
              </w:rPr>
              <w:t>20,000</w:t>
            </w:r>
          </w:p>
        </w:tc>
      </w:tr>
      <w:tr>
        <w:tc>
          <w:tcPr>
            <w:tcW w:type="dxa" w:w="6048"/>
            <w:vAlign w:val="top"/>
          </w:tcPr>
          <w:p>
            <w:pPr>
              <w:spacing w:after="0"/>
            </w:pPr>
            <w:r/>
            <w:r>
              <w:rPr>
                <w:rFonts w:ascii="Arial" w:hAnsi="Arial" w:eastAsia="Arial"/>
                <w:b w:val="0"/>
                <w:sz w:val="18"/>
              </w:rPr>
              <w:t>Third slab - additional Rs. 300,000 (on Rs. 180,000)</w:t>
            </w:r>
          </w:p>
        </w:tc>
        <w:tc>
          <w:tcPr>
            <w:tcW w:type="dxa" w:w="1440"/>
            <w:vAlign w:val="top"/>
          </w:tcPr>
          <w:p>
            <w:pPr>
              <w:spacing w:after="0"/>
            </w:pPr>
            <w:r/>
            <w:r>
              <w:rPr>
                <w:rFonts w:ascii="Arial" w:hAnsi="Arial" w:eastAsia="Arial"/>
                <w:b w:val="0"/>
                <w:sz w:val="18"/>
              </w:rPr>
              <w:t>20%</w:t>
            </w:r>
          </w:p>
        </w:tc>
        <w:tc>
          <w:tcPr>
            <w:tcW w:type="dxa" w:w="1872"/>
            <w:vAlign w:val="top"/>
          </w:tcPr>
          <w:p>
            <w:pPr>
              <w:spacing w:after="0"/>
            </w:pPr>
            <w:r/>
            <w:r>
              <w:rPr>
                <w:rFonts w:ascii="Arial" w:hAnsi="Arial" w:eastAsia="Arial"/>
                <w:b w:val="0"/>
                <w:sz w:val="18"/>
              </w:rPr>
              <w:t>36,000</w:t>
            </w:r>
          </w:p>
        </w:tc>
      </w:tr>
      <w:tr>
        <w:tc>
          <w:tcPr>
            <w:tcW w:type="dxa" w:w="6048"/>
            <w:vAlign w:val="top"/>
          </w:tcPr>
          <w:p>
            <w:pPr>
              <w:spacing w:after="0"/>
            </w:pPr>
            <w:r/>
            <w:r>
              <w:rPr>
                <w:rFonts w:ascii="Arial" w:hAnsi="Arial" w:eastAsia="Arial"/>
                <w:b w:val="0"/>
                <w:sz w:val="18"/>
              </w:rPr>
              <w:t>Total tax</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59,000</w:t>
            </w:r>
          </w:p>
        </w:tc>
      </w:tr>
    </w:tbl>
    <w:p/>
    <w:p>
      <w:pPr>
        <w:spacing w:after="80" w:line="252" w:lineRule="auto"/>
      </w:pPr>
      <w:r>
        <w:rPr>
          <w:rFonts w:ascii="Arial" w:hAnsi="Arial" w:eastAsia="Arial"/>
          <w:b w:val="0"/>
          <w:i w:val="0"/>
          <w:sz w:val="20"/>
        </w:rPr>
        <w:t>(10) Notwithstanding anything contained elsewhere in this section, where a resident natural person is a person with disability, tax under this section shall be computed only on the balance remaining after deducting from taxable income an additional amount equal to fifty percent of the amount mentioned in clause (a) of subsection (1) for such natural person or clause (a) of subsection (2) for a couple.</w:t>
      </w:r>
    </w:p>
    <w:p>
      <w:pPr>
        <w:spacing w:after="80" w:line="252" w:lineRule="auto"/>
      </w:pPr>
      <w:r>
        <w:rPr>
          <w:rFonts w:ascii="Arial" w:hAnsi="Arial" w:eastAsia="Arial"/>
          <w:b/>
          <w:i w:val="0"/>
          <w:sz w:val="20"/>
        </w:rPr>
        <w:t>Example 11.4.4:</w:t>
      </w:r>
    </w:p>
    <w:p>
      <w:pPr>
        <w:spacing w:after="80" w:line="252" w:lineRule="auto"/>
      </w:pPr>
      <w:r>
        <w:rPr>
          <w:rFonts w:ascii="Arial" w:hAnsi="Arial" w:eastAsia="Arial"/>
          <w:b w:val="0"/>
          <w:i w:val="0"/>
          <w:sz w:val="20"/>
        </w:rPr>
        <w:t>Assume that Shyam Mahato mentioned in Example 11.4.3 is a person with disability. In that year, his taxable income and tax are as follows:</w:t>
      </w:r>
    </w:p>
    <w:tbl>
      <w:tblPr>
        <w:tblStyle w:val="TableGrid"/>
        <w:tblW w:type="auto" w:w="0"/>
        <w:jc w:val="center"/>
        <w:tblLayout w:type="autofit"/>
        <w:tblLook w:firstColumn="1" w:firstRow="1" w:lastColumn="0" w:lastRow="0" w:noHBand="0" w:noVBand="1" w:val="04A0"/>
      </w:tblPr>
      <w:tblGrid>
        <w:gridCol w:w="3408"/>
        <w:gridCol w:w="3408"/>
        <w:gridCol w:w="3408"/>
      </w:tblGrid>
      <w:tr>
        <w:tc>
          <w:tcPr>
            <w:tcW w:type="dxa" w:w="6048"/>
            <w:vAlign w:val="top"/>
            <w:shd w:fill="D9EAF7"/>
          </w:tcPr>
          <w:p>
            <w:pPr>
              <w:spacing w:after="0"/>
            </w:pPr>
            <w:r/>
            <w:r>
              <w:rPr>
                <w:rFonts w:ascii="Arial" w:hAnsi="Arial" w:eastAsia="Arial"/>
                <w:b/>
                <w:sz w:val="18"/>
              </w:rPr>
              <w:t>Particulars</w:t>
            </w:r>
          </w:p>
        </w:tc>
        <w:tc>
          <w:tcPr>
            <w:tcW w:type="dxa" w:w="1440"/>
            <w:vAlign w:val="top"/>
            <w:shd w:fill="D9EAF7"/>
          </w:tcPr>
          <w:p>
            <w:pPr>
              <w:spacing w:after="0"/>
            </w:pPr>
            <w:r/>
            <w:r>
              <w:rPr>
                <w:rFonts w:ascii="Arial" w:hAnsi="Arial" w:eastAsia="Arial"/>
                <w:b/>
                <w:sz w:val="18"/>
              </w:rPr>
              <w:t>Tax rate</w:t>
            </w:r>
          </w:p>
        </w:tc>
        <w:tc>
          <w:tcPr>
            <w:tcW w:type="dxa" w:w="1872"/>
            <w:vAlign w:val="top"/>
            <w:shd w:fill="D9EAF7"/>
          </w:tcPr>
          <w:p>
            <w:pPr>
              <w:spacing w:after="0"/>
            </w:pPr>
            <w:r/>
            <w:r>
              <w:rPr>
                <w:rFonts w:ascii="Arial" w:hAnsi="Arial" w:eastAsia="Arial"/>
                <w:b/>
                <w:sz w:val="18"/>
              </w:rPr>
              <w:t>Amount / Tax (Rs.)</w:t>
            </w:r>
          </w:p>
        </w:tc>
      </w:tr>
      <w:tr>
        <w:tc>
          <w:tcPr>
            <w:tcW w:type="dxa" w:w="6048"/>
            <w:vAlign w:val="top"/>
          </w:tcPr>
          <w:p>
            <w:pPr>
              <w:spacing w:after="0"/>
            </w:pPr>
            <w:r/>
            <w:r>
              <w:rPr>
                <w:rFonts w:ascii="Arial" w:hAnsi="Arial" w:eastAsia="Arial"/>
                <w:b w:val="0"/>
                <w:sz w:val="18"/>
              </w:rPr>
              <w:t>Salary and allowances</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600,000</w:t>
            </w:r>
          </w:p>
        </w:tc>
      </w:tr>
      <w:tr>
        <w:tc>
          <w:tcPr>
            <w:tcW w:type="dxa" w:w="6048"/>
            <w:vAlign w:val="top"/>
          </w:tcPr>
          <w:p>
            <w:pPr>
              <w:spacing w:after="0"/>
            </w:pPr>
            <w:r/>
            <w:r>
              <w:rPr>
                <w:rFonts w:ascii="Arial" w:hAnsi="Arial" w:eastAsia="Arial"/>
                <w:b w:val="0"/>
                <w:sz w:val="18"/>
              </w:rPr>
              <w:t>Dashain expense</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40,000</w:t>
            </w:r>
          </w:p>
        </w:tc>
      </w:tr>
      <w:tr>
        <w:tc>
          <w:tcPr>
            <w:tcW w:type="dxa" w:w="6048"/>
            <w:vAlign w:val="top"/>
          </w:tcPr>
          <w:p>
            <w:pPr>
              <w:spacing w:after="0"/>
            </w:pPr>
            <w:r/>
            <w:r>
              <w:rPr>
                <w:rFonts w:ascii="Arial" w:hAnsi="Arial" w:eastAsia="Arial"/>
                <w:b w:val="0"/>
                <w:sz w:val="18"/>
              </w:rPr>
              <w:t>Bonus</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100,000</w:t>
            </w:r>
          </w:p>
        </w:tc>
      </w:tr>
      <w:tr>
        <w:tc>
          <w:tcPr>
            <w:tcW w:type="dxa" w:w="6048"/>
            <w:vAlign w:val="top"/>
          </w:tcPr>
          <w:p>
            <w:pPr>
              <w:spacing w:after="0"/>
            </w:pPr>
            <w:r/>
            <w:r>
              <w:rPr>
                <w:rFonts w:ascii="Arial" w:hAnsi="Arial" w:eastAsia="Arial"/>
                <w:b w:val="0"/>
                <w:sz w:val="18"/>
              </w:rPr>
              <w:t>Addition to provident fund</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30,000</w:t>
            </w:r>
          </w:p>
        </w:tc>
      </w:tr>
      <w:tr>
        <w:tc>
          <w:tcPr>
            <w:tcW w:type="dxa" w:w="6048"/>
            <w:vAlign w:val="top"/>
          </w:tcPr>
          <w:p>
            <w:pPr>
              <w:spacing w:after="0"/>
            </w:pPr>
            <w:r/>
            <w:r>
              <w:rPr>
                <w:rFonts w:ascii="Arial" w:hAnsi="Arial" w:eastAsia="Arial"/>
                <w:b w:val="0"/>
                <w:sz w:val="18"/>
              </w:rPr>
              <w:t>Pension income</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450,000</w:t>
            </w:r>
          </w:p>
        </w:tc>
      </w:tr>
      <w:tr>
        <w:tc>
          <w:tcPr>
            <w:tcW w:type="dxa" w:w="6048"/>
            <w:vAlign w:val="top"/>
          </w:tcPr>
          <w:p>
            <w:pPr>
              <w:spacing w:after="0"/>
            </w:pPr>
            <w:r/>
            <w:r>
              <w:rPr>
                <w:rFonts w:ascii="Arial" w:hAnsi="Arial" w:eastAsia="Arial"/>
                <w:b w:val="0"/>
                <w:sz w:val="18"/>
              </w:rPr>
              <w:t>Assessable income</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1,220,000</w:t>
            </w:r>
          </w:p>
        </w:tc>
      </w:tr>
      <w:tr>
        <w:tc>
          <w:tcPr>
            <w:tcW w:type="dxa" w:w="6048"/>
            <w:vAlign w:val="top"/>
          </w:tcPr>
          <w:p>
            <w:pPr>
              <w:spacing w:after="0"/>
            </w:pPr>
            <w:r/>
            <w:r>
              <w:rPr>
                <w:rFonts w:ascii="Arial" w:hAnsi="Arial" w:eastAsia="Arial"/>
                <w:b w:val="0"/>
                <w:sz w:val="18"/>
              </w:rPr>
              <w:t>Less: investment in approved retirement fund</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60,000</w:t>
            </w:r>
          </w:p>
        </w:tc>
      </w:tr>
      <w:tr>
        <w:tc>
          <w:tcPr>
            <w:tcW w:type="dxa" w:w="6048"/>
            <w:vAlign w:val="top"/>
          </w:tcPr>
          <w:p>
            <w:pPr>
              <w:spacing w:after="0"/>
            </w:pPr>
            <w:r/>
            <w:r>
              <w:rPr>
                <w:rFonts w:ascii="Arial" w:hAnsi="Arial" w:eastAsia="Arial"/>
                <w:b w:val="0"/>
                <w:sz w:val="18"/>
              </w:rPr>
              <w:t>Taxable income</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1,160,000</w:t>
            </w:r>
          </w:p>
        </w:tc>
      </w:tr>
      <w:tr>
        <w:tc>
          <w:tcPr>
            <w:tcW w:type="dxa" w:w="6048"/>
            <w:vAlign w:val="top"/>
          </w:tcPr>
          <w:p>
            <w:pPr>
              <w:spacing w:after="0"/>
            </w:pPr>
            <w:r/>
            <w:r>
              <w:rPr>
                <w:rFonts w:ascii="Arial" w:hAnsi="Arial" w:eastAsia="Arial"/>
                <w:b w:val="0"/>
                <w:sz w:val="18"/>
              </w:rPr>
              <w:t>Less from taxable income: remote area facility for Category C area</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30,000</w:t>
            </w:r>
          </w:p>
        </w:tc>
      </w:tr>
      <w:tr>
        <w:tc>
          <w:tcPr>
            <w:tcW w:type="dxa" w:w="6048"/>
            <w:vAlign w:val="top"/>
          </w:tcPr>
          <w:p>
            <w:pPr>
              <w:spacing w:after="0"/>
            </w:pPr>
            <w:r/>
            <w:r>
              <w:rPr>
                <w:rFonts w:ascii="Arial" w:hAnsi="Arial" w:eastAsia="Arial"/>
                <w:b w:val="0"/>
                <w:sz w:val="18"/>
              </w:rPr>
              <w:t>Deduction for pension: 25% of Rs. 600,000</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150,000</w:t>
            </w:r>
          </w:p>
        </w:tc>
      </w:tr>
      <w:tr>
        <w:tc>
          <w:tcPr>
            <w:tcW w:type="dxa" w:w="6048"/>
            <w:vAlign w:val="top"/>
          </w:tcPr>
          <w:p>
            <w:pPr>
              <w:spacing w:after="0"/>
            </w:pPr>
            <w:r/>
            <w:r>
              <w:rPr>
                <w:rFonts w:ascii="Arial" w:hAnsi="Arial" w:eastAsia="Arial"/>
                <w:b w:val="0"/>
                <w:sz w:val="18"/>
              </w:rPr>
              <w:t>Disability facility income: 50% of first slab Rs. 600,000</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300,000</w:t>
            </w:r>
          </w:p>
        </w:tc>
      </w:tr>
      <w:tr>
        <w:tc>
          <w:tcPr>
            <w:tcW w:type="dxa" w:w="6048"/>
            <w:vAlign w:val="top"/>
          </w:tcPr>
          <w:p>
            <w:pPr>
              <w:spacing w:after="0"/>
            </w:pPr>
            <w:r/>
            <w:r>
              <w:rPr>
                <w:rFonts w:ascii="Arial" w:hAnsi="Arial" w:eastAsia="Arial"/>
                <w:b w:val="0"/>
                <w:sz w:val="18"/>
              </w:rPr>
              <w:t>Net taxable income</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680,000</w:t>
            </w:r>
          </w:p>
        </w:tc>
      </w:tr>
      <w:tr>
        <w:tc>
          <w:tcPr>
            <w:tcW w:type="dxa" w:w="6048"/>
            <w:vAlign w:val="top"/>
          </w:tcPr>
          <w:p>
            <w:pPr>
              <w:spacing w:after="0"/>
            </w:pPr>
            <w:r/>
            <w:r>
              <w:rPr>
                <w:rFonts w:ascii="Arial" w:hAnsi="Arial" w:eastAsia="Arial"/>
                <w:b w:val="0"/>
                <w:sz w:val="18"/>
              </w:rPr>
              <w:t>First slab - pension income (450,000 - 150,000 = 300,000) up to Rs. 600,000</w:t>
            </w:r>
          </w:p>
        </w:tc>
        <w:tc>
          <w:tcPr>
            <w:tcW w:type="dxa" w:w="1440"/>
            <w:vAlign w:val="top"/>
          </w:tcPr>
          <w:p>
            <w:pPr>
              <w:spacing w:after="0"/>
            </w:pPr>
            <w:r/>
            <w:r>
              <w:rPr>
                <w:rFonts w:ascii="Arial" w:hAnsi="Arial" w:eastAsia="Arial"/>
                <w:b w:val="0"/>
                <w:sz w:val="18"/>
              </w:rPr>
              <w:t>1%</w:t>
            </w:r>
          </w:p>
        </w:tc>
        <w:tc>
          <w:tcPr>
            <w:tcW w:type="dxa" w:w="1872"/>
            <w:vAlign w:val="top"/>
          </w:tcPr>
          <w:p>
            <w:pPr>
              <w:spacing w:after="0"/>
            </w:pPr>
            <w:r/>
            <w:r>
              <w:rPr>
                <w:rFonts w:ascii="Arial" w:hAnsi="Arial" w:eastAsia="Arial"/>
                <w:b w:val="0"/>
                <w:sz w:val="18"/>
              </w:rPr>
              <w:t>3,000</w:t>
            </w:r>
          </w:p>
        </w:tc>
      </w:tr>
      <w:tr>
        <w:tc>
          <w:tcPr>
            <w:tcW w:type="dxa" w:w="6048"/>
            <w:vAlign w:val="top"/>
          </w:tcPr>
          <w:p>
            <w:pPr>
              <w:spacing w:after="0"/>
            </w:pPr>
            <w:r/>
            <w:r>
              <w:rPr>
                <w:rFonts w:ascii="Arial" w:hAnsi="Arial" w:eastAsia="Arial"/>
                <w:b w:val="0"/>
                <w:sz w:val="18"/>
              </w:rPr>
              <w:t>Second slab - additional Rs. 200,000 (on Rs. 80,000)</w:t>
            </w:r>
          </w:p>
        </w:tc>
        <w:tc>
          <w:tcPr>
            <w:tcW w:type="dxa" w:w="1440"/>
            <w:vAlign w:val="top"/>
          </w:tcPr>
          <w:p>
            <w:pPr>
              <w:spacing w:after="0"/>
            </w:pPr>
            <w:r/>
            <w:r>
              <w:rPr>
                <w:rFonts w:ascii="Arial" w:hAnsi="Arial" w:eastAsia="Arial"/>
                <w:b w:val="0"/>
                <w:sz w:val="18"/>
              </w:rPr>
              <w:t>10%</w:t>
            </w:r>
          </w:p>
        </w:tc>
        <w:tc>
          <w:tcPr>
            <w:tcW w:type="dxa" w:w="1872"/>
            <w:vAlign w:val="top"/>
          </w:tcPr>
          <w:p>
            <w:pPr>
              <w:spacing w:after="0"/>
            </w:pPr>
            <w:r/>
            <w:r>
              <w:rPr>
                <w:rFonts w:ascii="Arial" w:hAnsi="Arial" w:eastAsia="Arial"/>
                <w:b w:val="0"/>
                <w:sz w:val="18"/>
              </w:rPr>
              <w:t>8,000</w:t>
            </w:r>
          </w:p>
        </w:tc>
      </w:tr>
      <w:tr>
        <w:tc>
          <w:tcPr>
            <w:tcW w:type="dxa" w:w="6048"/>
            <w:vAlign w:val="top"/>
          </w:tcPr>
          <w:p>
            <w:pPr>
              <w:spacing w:after="0"/>
            </w:pPr>
            <w:r/>
            <w:r>
              <w:rPr>
                <w:rFonts w:ascii="Arial" w:hAnsi="Arial" w:eastAsia="Arial"/>
                <w:b w:val="0"/>
                <w:sz w:val="18"/>
              </w:rPr>
              <w:t>Total tax</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11,000</w:t>
            </w:r>
          </w:p>
        </w:tc>
      </w:tr>
    </w:tbl>
    <w:p/>
    <w:p>
      <w:pPr>
        <w:spacing w:after="80" w:line="252" w:lineRule="auto"/>
      </w:pPr>
      <w:r>
        <w:rPr>
          <w:rFonts w:ascii="Arial" w:hAnsi="Arial" w:eastAsia="Arial"/>
          <w:b w:val="0"/>
          <w:i w:val="0"/>
          <w:sz w:val="20"/>
        </w:rPr>
        <w:t>(11) Notwithstanding anything contained elsewhere in this section, where a resident natural person is a woman deriving only remuneration income, a ten percent concession shall be allowed on the tax payable by such natural person.</w:t>
      </w:r>
    </w:p>
    <w:p>
      <w:pPr>
        <w:spacing w:after="80" w:line="252" w:lineRule="auto"/>
      </w:pPr>
      <w:r>
        <w:rPr>
          <w:rFonts w:ascii="Arial" w:hAnsi="Arial" w:eastAsia="Arial"/>
          <w:b/>
          <w:i w:val="0"/>
          <w:sz w:val="20"/>
        </w:rPr>
        <w:t>Example 11.4.5:</w:t>
      </w:r>
    </w:p>
    <w:p>
      <w:pPr>
        <w:spacing w:after="80" w:line="252" w:lineRule="auto"/>
      </w:pPr>
      <w:r>
        <w:rPr>
          <w:rFonts w:ascii="Arial" w:hAnsi="Arial" w:eastAsia="Arial"/>
          <w:b w:val="0"/>
          <w:i w:val="0"/>
          <w:sz w:val="20"/>
        </w:rPr>
        <w:t>Assume that Ms. Shashikala Rai works at the Achham branch of Nepal Bank Limited. In FY 2081/82 her monthly salary and allowances are Rs. 60,000. She receives Rs. 50,000 as Dashain expense and Rs. 40,000 as bonus. The bank adds Rs. 30,000 to her income and deducts an equal amount from her remuneration for deposit in the provident fund (approved retirement fund). Her taxable income and tax for that year are as follows:</w:t>
      </w:r>
    </w:p>
    <w:tbl>
      <w:tblPr>
        <w:tblStyle w:val="TableGrid"/>
        <w:tblW w:type="auto" w:w="0"/>
        <w:jc w:val="center"/>
        <w:tblLayout w:type="autofit"/>
        <w:tblLook w:firstColumn="1" w:firstRow="1" w:lastColumn="0" w:lastRow="0" w:noHBand="0" w:noVBand="1" w:val="04A0"/>
      </w:tblPr>
      <w:tblGrid>
        <w:gridCol w:w="3408"/>
        <w:gridCol w:w="3408"/>
        <w:gridCol w:w="3408"/>
      </w:tblGrid>
      <w:tr>
        <w:tc>
          <w:tcPr>
            <w:tcW w:type="dxa" w:w="6048"/>
            <w:vAlign w:val="top"/>
            <w:shd w:fill="D9EAF7"/>
          </w:tcPr>
          <w:p>
            <w:pPr>
              <w:spacing w:after="0"/>
            </w:pPr>
            <w:r/>
            <w:r>
              <w:rPr>
                <w:rFonts w:ascii="Arial" w:hAnsi="Arial" w:eastAsia="Arial"/>
                <w:b/>
                <w:sz w:val="18"/>
              </w:rPr>
              <w:t>Particulars</w:t>
            </w:r>
          </w:p>
        </w:tc>
        <w:tc>
          <w:tcPr>
            <w:tcW w:type="dxa" w:w="1440"/>
            <w:vAlign w:val="top"/>
            <w:shd w:fill="D9EAF7"/>
          </w:tcPr>
          <w:p>
            <w:pPr>
              <w:spacing w:after="0"/>
            </w:pPr>
            <w:r/>
            <w:r>
              <w:rPr>
                <w:rFonts w:ascii="Arial" w:hAnsi="Arial" w:eastAsia="Arial"/>
                <w:b/>
                <w:sz w:val="18"/>
              </w:rPr>
              <w:t>Tax rate</w:t>
            </w:r>
          </w:p>
        </w:tc>
        <w:tc>
          <w:tcPr>
            <w:tcW w:type="dxa" w:w="1872"/>
            <w:vAlign w:val="top"/>
            <w:shd w:fill="D9EAF7"/>
          </w:tcPr>
          <w:p>
            <w:pPr>
              <w:spacing w:after="0"/>
            </w:pPr>
            <w:r/>
            <w:r>
              <w:rPr>
                <w:rFonts w:ascii="Arial" w:hAnsi="Arial" w:eastAsia="Arial"/>
                <w:b/>
                <w:sz w:val="18"/>
              </w:rPr>
              <w:t>Amount / Tax (Rs.)</w:t>
            </w:r>
          </w:p>
        </w:tc>
      </w:tr>
      <w:tr>
        <w:tc>
          <w:tcPr>
            <w:tcW w:type="dxa" w:w="6048"/>
            <w:vAlign w:val="top"/>
          </w:tcPr>
          <w:p>
            <w:pPr>
              <w:spacing w:after="0"/>
            </w:pPr>
            <w:r/>
            <w:r>
              <w:rPr>
                <w:rFonts w:ascii="Arial" w:hAnsi="Arial" w:eastAsia="Arial"/>
                <w:b w:val="0"/>
                <w:sz w:val="18"/>
              </w:rPr>
              <w:t>Salary and allowances</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720,000</w:t>
            </w:r>
          </w:p>
        </w:tc>
      </w:tr>
      <w:tr>
        <w:tc>
          <w:tcPr>
            <w:tcW w:type="dxa" w:w="6048"/>
            <w:vAlign w:val="top"/>
          </w:tcPr>
          <w:p>
            <w:pPr>
              <w:spacing w:after="0"/>
            </w:pPr>
            <w:r/>
            <w:r>
              <w:rPr>
                <w:rFonts w:ascii="Arial" w:hAnsi="Arial" w:eastAsia="Arial"/>
                <w:b w:val="0"/>
                <w:sz w:val="18"/>
              </w:rPr>
              <w:t>Dashain expense</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50,000</w:t>
            </w:r>
          </w:p>
        </w:tc>
      </w:tr>
      <w:tr>
        <w:tc>
          <w:tcPr>
            <w:tcW w:type="dxa" w:w="6048"/>
            <w:vAlign w:val="top"/>
          </w:tcPr>
          <w:p>
            <w:pPr>
              <w:spacing w:after="0"/>
            </w:pPr>
            <w:r/>
            <w:r>
              <w:rPr>
                <w:rFonts w:ascii="Arial" w:hAnsi="Arial" w:eastAsia="Arial"/>
                <w:b w:val="0"/>
                <w:sz w:val="18"/>
              </w:rPr>
              <w:t>Bonus</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40,000</w:t>
            </w:r>
          </w:p>
        </w:tc>
      </w:tr>
      <w:tr>
        <w:tc>
          <w:tcPr>
            <w:tcW w:type="dxa" w:w="6048"/>
            <w:vAlign w:val="top"/>
          </w:tcPr>
          <w:p>
            <w:pPr>
              <w:spacing w:after="0"/>
            </w:pPr>
            <w:r/>
            <w:r>
              <w:rPr>
                <w:rFonts w:ascii="Arial" w:hAnsi="Arial" w:eastAsia="Arial"/>
                <w:b w:val="0"/>
                <w:sz w:val="18"/>
              </w:rPr>
              <w:t>Addition to provident fund</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30,000</w:t>
            </w:r>
          </w:p>
        </w:tc>
      </w:tr>
      <w:tr>
        <w:tc>
          <w:tcPr>
            <w:tcW w:type="dxa" w:w="6048"/>
            <w:vAlign w:val="top"/>
          </w:tcPr>
          <w:p>
            <w:pPr>
              <w:spacing w:after="0"/>
            </w:pPr>
            <w:r/>
            <w:r>
              <w:rPr>
                <w:rFonts w:ascii="Arial" w:hAnsi="Arial" w:eastAsia="Arial"/>
                <w:b w:val="0"/>
                <w:sz w:val="18"/>
              </w:rPr>
              <w:t>Assessable income</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840,000</w:t>
            </w:r>
          </w:p>
        </w:tc>
      </w:tr>
      <w:tr>
        <w:tc>
          <w:tcPr>
            <w:tcW w:type="dxa" w:w="6048"/>
            <w:vAlign w:val="top"/>
          </w:tcPr>
          <w:p>
            <w:pPr>
              <w:spacing w:after="0"/>
            </w:pPr>
            <w:r/>
            <w:r>
              <w:rPr>
                <w:rFonts w:ascii="Arial" w:hAnsi="Arial" w:eastAsia="Arial"/>
                <w:b w:val="0"/>
                <w:sz w:val="18"/>
              </w:rPr>
              <w:t>Less: investment in approved retirement fund</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60,000</w:t>
            </w:r>
          </w:p>
        </w:tc>
      </w:tr>
      <w:tr>
        <w:tc>
          <w:tcPr>
            <w:tcW w:type="dxa" w:w="6048"/>
            <w:vAlign w:val="top"/>
          </w:tcPr>
          <w:p>
            <w:pPr>
              <w:spacing w:after="0"/>
            </w:pPr>
            <w:r/>
            <w:r>
              <w:rPr>
                <w:rFonts w:ascii="Arial" w:hAnsi="Arial" w:eastAsia="Arial"/>
                <w:b w:val="0"/>
                <w:sz w:val="18"/>
              </w:rPr>
              <w:t>Taxable income</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780,000</w:t>
            </w:r>
          </w:p>
        </w:tc>
      </w:tr>
      <w:tr>
        <w:tc>
          <w:tcPr>
            <w:tcW w:type="dxa" w:w="6048"/>
            <w:vAlign w:val="top"/>
          </w:tcPr>
          <w:p>
            <w:pPr>
              <w:spacing w:after="0"/>
            </w:pPr>
            <w:r/>
            <w:r>
              <w:rPr>
                <w:rFonts w:ascii="Arial" w:hAnsi="Arial" w:eastAsia="Arial"/>
                <w:b w:val="0"/>
                <w:sz w:val="18"/>
              </w:rPr>
              <w:t>Less from taxable income: remote area facility for Category C area</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30,000</w:t>
            </w:r>
          </w:p>
        </w:tc>
      </w:tr>
      <w:tr>
        <w:tc>
          <w:tcPr>
            <w:tcW w:type="dxa" w:w="6048"/>
            <w:vAlign w:val="top"/>
          </w:tcPr>
          <w:p>
            <w:pPr>
              <w:spacing w:after="0"/>
            </w:pPr>
            <w:r/>
            <w:r>
              <w:rPr>
                <w:rFonts w:ascii="Arial" w:hAnsi="Arial" w:eastAsia="Arial"/>
                <w:b w:val="0"/>
                <w:sz w:val="18"/>
              </w:rPr>
              <w:t>Net taxable income</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750,000</w:t>
            </w:r>
          </w:p>
        </w:tc>
      </w:tr>
      <w:tr>
        <w:tc>
          <w:tcPr>
            <w:tcW w:type="dxa" w:w="6048"/>
            <w:vAlign w:val="top"/>
          </w:tcPr>
          <w:p>
            <w:pPr>
              <w:spacing w:after="0"/>
            </w:pPr>
            <w:r/>
            <w:r>
              <w:rPr>
                <w:rFonts w:ascii="Arial" w:hAnsi="Arial" w:eastAsia="Arial"/>
                <w:b w:val="0"/>
                <w:sz w:val="18"/>
              </w:rPr>
              <w:t>First slab up to Rs. 500,000</w:t>
            </w:r>
          </w:p>
        </w:tc>
        <w:tc>
          <w:tcPr>
            <w:tcW w:type="dxa" w:w="1440"/>
            <w:vAlign w:val="top"/>
          </w:tcPr>
          <w:p>
            <w:pPr>
              <w:spacing w:after="0"/>
            </w:pPr>
            <w:r/>
            <w:r>
              <w:rPr>
                <w:rFonts w:ascii="Arial" w:hAnsi="Arial" w:eastAsia="Arial"/>
                <w:b w:val="0"/>
                <w:sz w:val="18"/>
              </w:rPr>
              <w:t>1%</w:t>
            </w:r>
          </w:p>
        </w:tc>
        <w:tc>
          <w:tcPr>
            <w:tcW w:type="dxa" w:w="1872"/>
            <w:vAlign w:val="top"/>
          </w:tcPr>
          <w:p>
            <w:pPr>
              <w:spacing w:after="0"/>
            </w:pPr>
            <w:r/>
            <w:r>
              <w:rPr>
                <w:rFonts w:ascii="Arial" w:hAnsi="Arial" w:eastAsia="Arial"/>
                <w:b w:val="0"/>
                <w:sz w:val="18"/>
              </w:rPr>
              <w:t>5,000</w:t>
            </w:r>
          </w:p>
        </w:tc>
      </w:tr>
      <w:tr>
        <w:tc>
          <w:tcPr>
            <w:tcW w:type="dxa" w:w="6048"/>
            <w:vAlign w:val="top"/>
          </w:tcPr>
          <w:p>
            <w:pPr>
              <w:spacing w:after="0"/>
            </w:pPr>
            <w:r/>
            <w:r>
              <w:rPr>
                <w:rFonts w:ascii="Arial" w:hAnsi="Arial" w:eastAsia="Arial"/>
                <w:b w:val="0"/>
                <w:sz w:val="18"/>
              </w:rPr>
              <w:t>Second slab - additional Rs. 200,000</w:t>
            </w:r>
          </w:p>
        </w:tc>
        <w:tc>
          <w:tcPr>
            <w:tcW w:type="dxa" w:w="1440"/>
            <w:vAlign w:val="top"/>
          </w:tcPr>
          <w:p>
            <w:pPr>
              <w:spacing w:after="0"/>
            </w:pPr>
            <w:r/>
            <w:r>
              <w:rPr>
                <w:rFonts w:ascii="Arial" w:hAnsi="Arial" w:eastAsia="Arial"/>
                <w:b w:val="0"/>
                <w:sz w:val="18"/>
              </w:rPr>
              <w:t>10%</w:t>
            </w:r>
          </w:p>
        </w:tc>
        <w:tc>
          <w:tcPr>
            <w:tcW w:type="dxa" w:w="1872"/>
            <w:vAlign w:val="top"/>
          </w:tcPr>
          <w:p>
            <w:pPr>
              <w:spacing w:after="0"/>
            </w:pPr>
            <w:r/>
            <w:r>
              <w:rPr>
                <w:rFonts w:ascii="Arial" w:hAnsi="Arial" w:eastAsia="Arial"/>
                <w:b w:val="0"/>
                <w:sz w:val="18"/>
              </w:rPr>
              <w:t>15,000</w:t>
            </w:r>
          </w:p>
        </w:tc>
      </w:tr>
      <w:tr>
        <w:tc>
          <w:tcPr>
            <w:tcW w:type="dxa" w:w="6048"/>
            <w:vAlign w:val="top"/>
          </w:tcPr>
          <w:p>
            <w:pPr>
              <w:spacing w:after="0"/>
            </w:pPr>
            <w:r/>
            <w:r>
              <w:rPr>
                <w:rFonts w:ascii="Arial" w:hAnsi="Arial" w:eastAsia="Arial"/>
                <w:b w:val="0"/>
                <w:sz w:val="18"/>
              </w:rPr>
              <w:t>Third slab - additional Rs. 300,000</w:t>
            </w:r>
          </w:p>
        </w:tc>
        <w:tc>
          <w:tcPr>
            <w:tcW w:type="dxa" w:w="1440"/>
            <w:vAlign w:val="top"/>
          </w:tcPr>
          <w:p>
            <w:pPr>
              <w:spacing w:after="0"/>
            </w:pPr>
            <w:r/>
            <w:r>
              <w:rPr>
                <w:rFonts w:ascii="Arial" w:hAnsi="Arial" w:eastAsia="Arial"/>
                <w:b w:val="0"/>
                <w:sz w:val="18"/>
              </w:rPr>
              <w:t>20%</w:t>
            </w:r>
          </w:p>
        </w:tc>
        <w:tc>
          <w:tcPr>
            <w:tcW w:type="dxa" w:w="1872"/>
            <w:vAlign w:val="top"/>
          </w:tcPr>
          <w:p>
            <w:pPr>
              <w:spacing w:after="0"/>
            </w:pPr>
            <w:r/>
            <w:r>
              <w:rPr>
                <w:rFonts w:ascii="Arial" w:hAnsi="Arial" w:eastAsia="Arial"/>
                <w:b w:val="0"/>
                <w:sz w:val="18"/>
              </w:rPr>
              <w:t>10,000</w:t>
            </w:r>
          </w:p>
        </w:tc>
      </w:tr>
      <w:tr>
        <w:tc>
          <w:tcPr>
            <w:tcW w:type="dxa" w:w="6048"/>
            <w:vAlign w:val="top"/>
          </w:tcPr>
          <w:p>
            <w:pPr>
              <w:spacing w:after="0"/>
            </w:pPr>
            <w:r/>
            <w:r>
              <w:rPr>
                <w:rFonts w:ascii="Arial" w:hAnsi="Arial" w:eastAsia="Arial"/>
                <w:b w:val="0"/>
                <w:sz w:val="18"/>
              </w:rPr>
              <w:t>Total tax</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30,000</w:t>
            </w:r>
          </w:p>
        </w:tc>
      </w:tr>
      <w:tr>
        <w:tc>
          <w:tcPr>
            <w:tcW w:type="dxa" w:w="6048"/>
            <w:vAlign w:val="top"/>
          </w:tcPr>
          <w:p>
            <w:pPr>
              <w:spacing w:after="0"/>
            </w:pPr>
            <w:r/>
            <w:r>
              <w:rPr>
                <w:rFonts w:ascii="Arial" w:hAnsi="Arial" w:eastAsia="Arial"/>
                <w:b w:val="0"/>
                <w:sz w:val="18"/>
              </w:rPr>
              <w:t>Less: 10% concession</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3,000</w:t>
            </w:r>
          </w:p>
        </w:tc>
      </w:tr>
      <w:tr>
        <w:tc>
          <w:tcPr>
            <w:tcW w:type="dxa" w:w="6048"/>
            <w:vAlign w:val="top"/>
          </w:tcPr>
          <w:p>
            <w:pPr>
              <w:spacing w:after="0"/>
            </w:pPr>
            <w:r/>
            <w:r>
              <w:rPr>
                <w:rFonts w:ascii="Arial" w:hAnsi="Arial" w:eastAsia="Arial"/>
                <w:b w:val="0"/>
                <w:sz w:val="18"/>
              </w:rPr>
              <w:t>Net tax payable</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27,000</w:t>
            </w:r>
          </w:p>
        </w:tc>
      </w:tr>
    </w:tbl>
    <w:p/>
    <w:p>
      <w:pPr>
        <w:spacing w:after="80" w:line="252" w:lineRule="auto"/>
      </w:pPr>
      <w:r>
        <w:rPr>
          <w:rFonts w:ascii="Arial" w:hAnsi="Arial" w:eastAsia="Arial"/>
          <w:b w:val="0"/>
          <w:i w:val="0"/>
          <w:sz w:val="20"/>
        </w:rPr>
        <w:t>(12) Notwithstanding anything contained elsewhere in this section, where a resident natural person has procured investment insurance, tax under this section shall be computed only on the balance remaining after deducting from taxable income the lower of the annual premium paid for that insurance and forty thousand rupees.</w:t>
      </w:r>
    </w:p>
    <w:p>
      <w:pPr>
        <w:spacing w:after="80" w:line="252" w:lineRule="auto"/>
      </w:pPr>
      <w:r>
        <w:rPr>
          <w:rFonts w:ascii="Arial" w:hAnsi="Arial" w:eastAsia="Arial"/>
          <w:b/>
          <w:i w:val="0"/>
          <w:sz w:val="20"/>
        </w:rPr>
        <w:t>Example 11.4.6:</w:t>
      </w:r>
    </w:p>
    <w:p>
      <w:pPr>
        <w:spacing w:after="80" w:line="252" w:lineRule="auto"/>
      </w:pPr>
      <w:r>
        <w:rPr>
          <w:rFonts w:ascii="Arial" w:hAnsi="Arial" w:eastAsia="Arial"/>
          <w:b w:val="0"/>
          <w:i w:val="0"/>
          <w:sz w:val="20"/>
        </w:rPr>
        <w:t>Assume that Shyam Mahato mentioned in Example 11.4.4 has taken life insurance and has paid Rs. 45,000 as insurance premium in that year. His taxable income and tax for the year are as follows:</w:t>
      </w:r>
    </w:p>
    <w:tbl>
      <w:tblPr>
        <w:tblStyle w:val="TableGrid"/>
        <w:tblW w:type="auto" w:w="0"/>
        <w:jc w:val="center"/>
        <w:tblLayout w:type="autofit"/>
        <w:tblLook w:firstColumn="1" w:firstRow="1" w:lastColumn="0" w:lastRow="0" w:noHBand="0" w:noVBand="1" w:val="04A0"/>
      </w:tblPr>
      <w:tblGrid>
        <w:gridCol w:w="3408"/>
        <w:gridCol w:w="3408"/>
        <w:gridCol w:w="3408"/>
      </w:tblGrid>
      <w:tr>
        <w:tc>
          <w:tcPr>
            <w:tcW w:type="dxa" w:w="6048"/>
            <w:vAlign w:val="top"/>
            <w:shd w:fill="D9EAF7"/>
          </w:tcPr>
          <w:p>
            <w:pPr>
              <w:spacing w:after="0"/>
            </w:pPr>
            <w:r/>
            <w:r>
              <w:rPr>
                <w:rFonts w:ascii="Arial" w:hAnsi="Arial" w:eastAsia="Arial"/>
                <w:b/>
                <w:sz w:val="18"/>
              </w:rPr>
              <w:t>Particulars</w:t>
            </w:r>
          </w:p>
        </w:tc>
        <w:tc>
          <w:tcPr>
            <w:tcW w:type="dxa" w:w="1440"/>
            <w:vAlign w:val="top"/>
            <w:shd w:fill="D9EAF7"/>
          </w:tcPr>
          <w:p>
            <w:pPr>
              <w:spacing w:after="0"/>
            </w:pPr>
            <w:r/>
            <w:r>
              <w:rPr>
                <w:rFonts w:ascii="Arial" w:hAnsi="Arial" w:eastAsia="Arial"/>
                <w:b/>
                <w:sz w:val="18"/>
              </w:rPr>
              <w:t>Tax rate</w:t>
            </w:r>
          </w:p>
        </w:tc>
        <w:tc>
          <w:tcPr>
            <w:tcW w:type="dxa" w:w="1872"/>
            <w:vAlign w:val="top"/>
            <w:shd w:fill="D9EAF7"/>
          </w:tcPr>
          <w:p>
            <w:pPr>
              <w:spacing w:after="0"/>
            </w:pPr>
            <w:r/>
            <w:r>
              <w:rPr>
                <w:rFonts w:ascii="Arial" w:hAnsi="Arial" w:eastAsia="Arial"/>
                <w:b/>
                <w:sz w:val="18"/>
              </w:rPr>
              <w:t>Amount / Tax (Rs.)</w:t>
            </w:r>
          </w:p>
        </w:tc>
      </w:tr>
      <w:tr>
        <w:tc>
          <w:tcPr>
            <w:tcW w:type="dxa" w:w="6048"/>
            <w:vAlign w:val="top"/>
          </w:tcPr>
          <w:p>
            <w:pPr>
              <w:spacing w:after="0"/>
            </w:pPr>
            <w:r/>
            <w:r>
              <w:rPr>
                <w:rFonts w:ascii="Arial" w:hAnsi="Arial" w:eastAsia="Arial"/>
                <w:b w:val="0"/>
                <w:sz w:val="18"/>
              </w:rPr>
              <w:t>Salary and allowances</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600,000</w:t>
            </w:r>
          </w:p>
        </w:tc>
      </w:tr>
      <w:tr>
        <w:tc>
          <w:tcPr>
            <w:tcW w:type="dxa" w:w="6048"/>
            <w:vAlign w:val="top"/>
          </w:tcPr>
          <w:p>
            <w:pPr>
              <w:spacing w:after="0"/>
            </w:pPr>
            <w:r/>
            <w:r>
              <w:rPr>
                <w:rFonts w:ascii="Arial" w:hAnsi="Arial" w:eastAsia="Arial"/>
                <w:b w:val="0"/>
                <w:sz w:val="18"/>
              </w:rPr>
              <w:t>Dashain expense</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40,000</w:t>
            </w:r>
          </w:p>
        </w:tc>
      </w:tr>
      <w:tr>
        <w:tc>
          <w:tcPr>
            <w:tcW w:type="dxa" w:w="6048"/>
            <w:vAlign w:val="top"/>
          </w:tcPr>
          <w:p>
            <w:pPr>
              <w:spacing w:after="0"/>
            </w:pPr>
            <w:r/>
            <w:r>
              <w:rPr>
                <w:rFonts w:ascii="Arial" w:hAnsi="Arial" w:eastAsia="Arial"/>
                <w:b w:val="0"/>
                <w:sz w:val="18"/>
              </w:rPr>
              <w:t>Bonus</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100,000</w:t>
            </w:r>
          </w:p>
        </w:tc>
      </w:tr>
      <w:tr>
        <w:tc>
          <w:tcPr>
            <w:tcW w:type="dxa" w:w="6048"/>
            <w:vAlign w:val="top"/>
          </w:tcPr>
          <w:p>
            <w:pPr>
              <w:spacing w:after="0"/>
            </w:pPr>
            <w:r/>
            <w:r>
              <w:rPr>
                <w:rFonts w:ascii="Arial" w:hAnsi="Arial" w:eastAsia="Arial"/>
                <w:b w:val="0"/>
                <w:sz w:val="18"/>
              </w:rPr>
              <w:t>Addition to provident fund</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30,000</w:t>
            </w:r>
          </w:p>
        </w:tc>
      </w:tr>
      <w:tr>
        <w:tc>
          <w:tcPr>
            <w:tcW w:type="dxa" w:w="6048"/>
            <w:vAlign w:val="top"/>
          </w:tcPr>
          <w:p>
            <w:pPr>
              <w:spacing w:after="0"/>
            </w:pPr>
            <w:r/>
            <w:r>
              <w:rPr>
                <w:rFonts w:ascii="Arial" w:hAnsi="Arial" w:eastAsia="Arial"/>
                <w:b w:val="0"/>
                <w:sz w:val="18"/>
              </w:rPr>
              <w:t>Pension income</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450,000</w:t>
            </w:r>
          </w:p>
        </w:tc>
      </w:tr>
      <w:tr>
        <w:tc>
          <w:tcPr>
            <w:tcW w:type="dxa" w:w="6048"/>
            <w:vAlign w:val="top"/>
          </w:tcPr>
          <w:p>
            <w:pPr>
              <w:spacing w:after="0"/>
            </w:pPr>
            <w:r/>
            <w:r>
              <w:rPr>
                <w:rFonts w:ascii="Arial" w:hAnsi="Arial" w:eastAsia="Arial"/>
                <w:b w:val="0"/>
                <w:sz w:val="18"/>
              </w:rPr>
              <w:t>Assessable income</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1,220,000</w:t>
            </w:r>
          </w:p>
        </w:tc>
      </w:tr>
      <w:tr>
        <w:tc>
          <w:tcPr>
            <w:tcW w:type="dxa" w:w="6048"/>
            <w:vAlign w:val="top"/>
          </w:tcPr>
          <w:p>
            <w:pPr>
              <w:spacing w:after="0"/>
            </w:pPr>
            <w:r/>
            <w:r>
              <w:rPr>
                <w:rFonts w:ascii="Arial" w:hAnsi="Arial" w:eastAsia="Arial"/>
                <w:b w:val="0"/>
                <w:sz w:val="18"/>
              </w:rPr>
              <w:t>Less: investment in approved retirement fund</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60,000</w:t>
            </w:r>
          </w:p>
        </w:tc>
      </w:tr>
      <w:tr>
        <w:tc>
          <w:tcPr>
            <w:tcW w:type="dxa" w:w="6048"/>
            <w:vAlign w:val="top"/>
          </w:tcPr>
          <w:p>
            <w:pPr>
              <w:spacing w:after="0"/>
            </w:pPr>
            <w:r/>
            <w:r>
              <w:rPr>
                <w:rFonts w:ascii="Arial" w:hAnsi="Arial" w:eastAsia="Arial"/>
                <w:b w:val="0"/>
                <w:sz w:val="18"/>
              </w:rPr>
              <w:t>Taxable income</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1,160,000</w:t>
            </w:r>
          </w:p>
        </w:tc>
      </w:tr>
      <w:tr>
        <w:tc>
          <w:tcPr>
            <w:tcW w:type="dxa" w:w="6048"/>
            <w:vAlign w:val="top"/>
          </w:tcPr>
          <w:p>
            <w:pPr>
              <w:spacing w:after="0"/>
            </w:pPr>
            <w:r/>
            <w:r>
              <w:rPr>
                <w:rFonts w:ascii="Arial" w:hAnsi="Arial" w:eastAsia="Arial"/>
                <w:b w:val="0"/>
                <w:sz w:val="18"/>
              </w:rPr>
              <w:t>Less from taxable income: remote area facility for Category C area</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30,000</w:t>
            </w:r>
          </w:p>
        </w:tc>
      </w:tr>
      <w:tr>
        <w:tc>
          <w:tcPr>
            <w:tcW w:type="dxa" w:w="6048"/>
            <w:vAlign w:val="top"/>
          </w:tcPr>
          <w:p>
            <w:pPr>
              <w:spacing w:after="0"/>
            </w:pPr>
            <w:r/>
            <w:r>
              <w:rPr>
                <w:rFonts w:ascii="Arial" w:hAnsi="Arial" w:eastAsia="Arial"/>
                <w:b w:val="0"/>
                <w:sz w:val="18"/>
              </w:rPr>
              <w:t>Deduction for pension: 25% of Rs. 600,000</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150,000</w:t>
            </w:r>
          </w:p>
        </w:tc>
      </w:tr>
      <w:tr>
        <w:tc>
          <w:tcPr>
            <w:tcW w:type="dxa" w:w="6048"/>
            <w:vAlign w:val="top"/>
          </w:tcPr>
          <w:p>
            <w:pPr>
              <w:spacing w:after="0"/>
            </w:pPr>
            <w:r/>
            <w:r>
              <w:rPr>
                <w:rFonts w:ascii="Arial" w:hAnsi="Arial" w:eastAsia="Arial"/>
                <w:b w:val="0"/>
                <w:sz w:val="18"/>
              </w:rPr>
              <w:t>Disability facility income: 50% of first slab Rs. 600,000</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300,000</w:t>
            </w:r>
          </w:p>
        </w:tc>
      </w:tr>
      <w:tr>
        <w:tc>
          <w:tcPr>
            <w:tcW w:type="dxa" w:w="6048"/>
            <w:vAlign w:val="top"/>
          </w:tcPr>
          <w:p>
            <w:pPr>
              <w:spacing w:after="0"/>
            </w:pPr>
            <w:r/>
            <w:r>
              <w:rPr>
                <w:rFonts w:ascii="Arial" w:hAnsi="Arial" w:eastAsia="Arial"/>
                <w:b w:val="0"/>
                <w:sz w:val="18"/>
              </w:rPr>
              <w:t>Investment insurance premium paid: Rs. 45,000</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r>
          </w:p>
        </w:tc>
      </w:tr>
      <w:tr>
        <w:tc>
          <w:tcPr>
            <w:tcW w:type="dxa" w:w="6048"/>
            <w:vAlign w:val="top"/>
          </w:tcPr>
          <w:p>
            <w:pPr>
              <w:spacing w:after="0"/>
            </w:pPr>
            <w:r/>
            <w:r>
              <w:rPr>
                <w:rFonts w:ascii="Arial" w:hAnsi="Arial" w:eastAsia="Arial"/>
                <w:b w:val="0"/>
                <w:sz w:val="18"/>
              </w:rPr>
              <w:t>Maximum investment insurance premium limit</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40,000</w:t>
            </w:r>
          </w:p>
        </w:tc>
      </w:tr>
      <w:tr>
        <w:tc>
          <w:tcPr>
            <w:tcW w:type="dxa" w:w="6048"/>
            <w:vAlign w:val="top"/>
          </w:tcPr>
          <w:p>
            <w:pPr>
              <w:spacing w:after="0"/>
            </w:pPr>
            <w:r/>
            <w:r>
              <w:rPr>
                <w:rFonts w:ascii="Arial" w:hAnsi="Arial" w:eastAsia="Arial"/>
                <w:b w:val="0"/>
                <w:sz w:val="18"/>
              </w:rPr>
              <w:t>Net taxable income</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640,000</w:t>
            </w:r>
          </w:p>
        </w:tc>
      </w:tr>
      <w:tr>
        <w:tc>
          <w:tcPr>
            <w:tcW w:type="dxa" w:w="6048"/>
            <w:vAlign w:val="top"/>
          </w:tcPr>
          <w:p>
            <w:pPr>
              <w:spacing w:after="0"/>
            </w:pPr>
            <w:r/>
            <w:r>
              <w:rPr>
                <w:rFonts w:ascii="Arial" w:hAnsi="Arial" w:eastAsia="Arial"/>
                <w:b w:val="0"/>
                <w:sz w:val="18"/>
              </w:rPr>
              <w:t>First slab - pension income (450,000 - 150,000 = 300,000) up to Rs. 600,000</w:t>
            </w:r>
          </w:p>
        </w:tc>
        <w:tc>
          <w:tcPr>
            <w:tcW w:type="dxa" w:w="1440"/>
            <w:vAlign w:val="top"/>
          </w:tcPr>
          <w:p>
            <w:pPr>
              <w:spacing w:after="0"/>
            </w:pPr>
            <w:r/>
            <w:r>
              <w:rPr>
                <w:rFonts w:ascii="Arial" w:hAnsi="Arial" w:eastAsia="Arial"/>
                <w:b w:val="0"/>
                <w:sz w:val="18"/>
              </w:rPr>
              <w:t>1%</w:t>
            </w:r>
          </w:p>
        </w:tc>
        <w:tc>
          <w:tcPr>
            <w:tcW w:type="dxa" w:w="1872"/>
            <w:vAlign w:val="top"/>
          </w:tcPr>
          <w:p>
            <w:pPr>
              <w:spacing w:after="0"/>
            </w:pPr>
            <w:r/>
            <w:r>
              <w:rPr>
                <w:rFonts w:ascii="Arial" w:hAnsi="Arial" w:eastAsia="Arial"/>
                <w:b w:val="0"/>
                <w:sz w:val="18"/>
              </w:rPr>
              <w:t>3,000</w:t>
            </w:r>
          </w:p>
        </w:tc>
      </w:tr>
      <w:tr>
        <w:tc>
          <w:tcPr>
            <w:tcW w:type="dxa" w:w="6048"/>
            <w:vAlign w:val="top"/>
          </w:tcPr>
          <w:p>
            <w:pPr>
              <w:spacing w:after="0"/>
            </w:pPr>
            <w:r/>
            <w:r>
              <w:rPr>
                <w:rFonts w:ascii="Arial" w:hAnsi="Arial" w:eastAsia="Arial"/>
                <w:b w:val="0"/>
                <w:sz w:val="18"/>
              </w:rPr>
              <w:t>Second slab - additional Rs. 200,000 (on Rs. 40,000)</w:t>
            </w:r>
          </w:p>
        </w:tc>
        <w:tc>
          <w:tcPr>
            <w:tcW w:type="dxa" w:w="1440"/>
            <w:vAlign w:val="top"/>
          </w:tcPr>
          <w:p>
            <w:pPr>
              <w:spacing w:after="0"/>
            </w:pPr>
            <w:r/>
            <w:r>
              <w:rPr>
                <w:rFonts w:ascii="Arial" w:hAnsi="Arial" w:eastAsia="Arial"/>
                <w:b w:val="0"/>
                <w:sz w:val="18"/>
              </w:rPr>
              <w:t>10%</w:t>
            </w:r>
          </w:p>
        </w:tc>
        <w:tc>
          <w:tcPr>
            <w:tcW w:type="dxa" w:w="1872"/>
            <w:vAlign w:val="top"/>
          </w:tcPr>
          <w:p>
            <w:pPr>
              <w:spacing w:after="0"/>
            </w:pPr>
            <w:r/>
            <w:r>
              <w:rPr>
                <w:rFonts w:ascii="Arial" w:hAnsi="Arial" w:eastAsia="Arial"/>
                <w:b w:val="0"/>
                <w:sz w:val="18"/>
              </w:rPr>
              <w:t>4,000</w:t>
            </w:r>
          </w:p>
        </w:tc>
      </w:tr>
      <w:tr>
        <w:tc>
          <w:tcPr>
            <w:tcW w:type="dxa" w:w="6048"/>
            <w:vAlign w:val="top"/>
          </w:tcPr>
          <w:p>
            <w:pPr>
              <w:spacing w:after="0"/>
            </w:pPr>
            <w:r/>
            <w:r>
              <w:rPr>
                <w:rFonts w:ascii="Arial" w:hAnsi="Arial" w:eastAsia="Arial"/>
                <w:b w:val="0"/>
                <w:sz w:val="18"/>
              </w:rPr>
              <w:t>Total tax</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7,000</w:t>
            </w:r>
          </w:p>
        </w:tc>
      </w:tr>
    </w:tbl>
    <w:p/>
    <w:p>
      <w:pPr>
        <w:spacing w:after="80" w:line="252" w:lineRule="auto"/>
      </w:pPr>
      <w:r>
        <w:rPr>
          <w:rFonts w:ascii="Arial" w:hAnsi="Arial" w:eastAsia="Arial"/>
          <w:b w:val="0"/>
          <w:i w:val="0"/>
          <w:sz w:val="20"/>
        </w:rPr>
        <w:t>(16) Notwithstanding anything contained elsewhere in this section, where a resident natural person has procured health insurance from a resident insurance company, tax under this section shall be computed only on the balance remaining after deducting from taxable income the lower of the annual premium paid for that insurance and twenty thousand rupees.</w:t>
      </w:r>
    </w:p>
    <w:p>
      <w:pPr>
        <w:spacing w:after="80" w:line="252" w:lineRule="auto"/>
      </w:pPr>
      <w:r>
        <w:rPr>
          <w:rFonts w:ascii="Arial" w:hAnsi="Arial" w:eastAsia="Arial"/>
          <w:b/>
          <w:i w:val="0"/>
          <w:sz w:val="20"/>
        </w:rPr>
        <w:t>Example 11.4.7:</w:t>
      </w:r>
    </w:p>
    <w:p>
      <w:pPr>
        <w:spacing w:after="80" w:line="252" w:lineRule="auto"/>
      </w:pPr>
      <w:r>
        <w:rPr>
          <w:rFonts w:ascii="Arial" w:hAnsi="Arial" w:eastAsia="Arial"/>
          <w:b w:val="0"/>
          <w:i w:val="0"/>
          <w:sz w:val="20"/>
        </w:rPr>
        <w:t>Assume that Shyam Mahato mentioned in Example 11.4.4 has taken health insurance and has also paid Rs. 25,000 as insurance premium in that year. His taxable income and tax for the year are as follows:</w:t>
      </w:r>
    </w:p>
    <w:tbl>
      <w:tblPr>
        <w:tblStyle w:val="TableGrid"/>
        <w:tblW w:type="auto" w:w="0"/>
        <w:jc w:val="center"/>
        <w:tblLayout w:type="autofit"/>
        <w:tblLook w:firstColumn="1" w:firstRow="1" w:lastColumn="0" w:lastRow="0" w:noHBand="0" w:noVBand="1" w:val="04A0"/>
      </w:tblPr>
      <w:tblGrid>
        <w:gridCol w:w="3408"/>
        <w:gridCol w:w="3408"/>
        <w:gridCol w:w="3408"/>
      </w:tblGrid>
      <w:tr>
        <w:tc>
          <w:tcPr>
            <w:tcW w:type="dxa" w:w="6048"/>
            <w:vAlign w:val="top"/>
            <w:shd w:fill="D9EAF7"/>
          </w:tcPr>
          <w:p>
            <w:pPr>
              <w:spacing w:after="0"/>
            </w:pPr>
            <w:r/>
            <w:r>
              <w:rPr>
                <w:rFonts w:ascii="Arial" w:hAnsi="Arial" w:eastAsia="Arial"/>
                <w:b/>
                <w:sz w:val="18"/>
              </w:rPr>
              <w:t>Particulars</w:t>
            </w:r>
          </w:p>
        </w:tc>
        <w:tc>
          <w:tcPr>
            <w:tcW w:type="dxa" w:w="1440"/>
            <w:vAlign w:val="top"/>
            <w:shd w:fill="D9EAF7"/>
          </w:tcPr>
          <w:p>
            <w:pPr>
              <w:spacing w:after="0"/>
            </w:pPr>
            <w:r/>
            <w:r>
              <w:rPr>
                <w:rFonts w:ascii="Arial" w:hAnsi="Arial" w:eastAsia="Arial"/>
                <w:b/>
                <w:sz w:val="18"/>
              </w:rPr>
              <w:t>Tax rate</w:t>
            </w:r>
          </w:p>
        </w:tc>
        <w:tc>
          <w:tcPr>
            <w:tcW w:type="dxa" w:w="1872"/>
            <w:vAlign w:val="top"/>
            <w:shd w:fill="D9EAF7"/>
          </w:tcPr>
          <w:p>
            <w:pPr>
              <w:spacing w:after="0"/>
            </w:pPr>
            <w:r/>
            <w:r>
              <w:rPr>
                <w:rFonts w:ascii="Arial" w:hAnsi="Arial" w:eastAsia="Arial"/>
                <w:b/>
                <w:sz w:val="18"/>
              </w:rPr>
              <w:t>Amount / Tax (Rs.)</w:t>
            </w:r>
          </w:p>
        </w:tc>
      </w:tr>
      <w:tr>
        <w:tc>
          <w:tcPr>
            <w:tcW w:type="dxa" w:w="6048"/>
            <w:vAlign w:val="top"/>
          </w:tcPr>
          <w:p>
            <w:pPr>
              <w:spacing w:after="0"/>
            </w:pPr>
            <w:r/>
            <w:r>
              <w:rPr>
                <w:rFonts w:ascii="Arial" w:hAnsi="Arial" w:eastAsia="Arial"/>
                <w:b w:val="0"/>
                <w:sz w:val="18"/>
              </w:rPr>
              <w:t>Salary and allowances</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600,000</w:t>
            </w:r>
          </w:p>
        </w:tc>
      </w:tr>
      <w:tr>
        <w:tc>
          <w:tcPr>
            <w:tcW w:type="dxa" w:w="6048"/>
            <w:vAlign w:val="top"/>
          </w:tcPr>
          <w:p>
            <w:pPr>
              <w:spacing w:after="0"/>
            </w:pPr>
            <w:r/>
            <w:r>
              <w:rPr>
                <w:rFonts w:ascii="Arial" w:hAnsi="Arial" w:eastAsia="Arial"/>
                <w:b w:val="0"/>
                <w:sz w:val="18"/>
              </w:rPr>
              <w:t>Dashain expense</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40,000</w:t>
            </w:r>
          </w:p>
        </w:tc>
      </w:tr>
      <w:tr>
        <w:tc>
          <w:tcPr>
            <w:tcW w:type="dxa" w:w="6048"/>
            <w:vAlign w:val="top"/>
          </w:tcPr>
          <w:p>
            <w:pPr>
              <w:spacing w:after="0"/>
            </w:pPr>
            <w:r/>
            <w:r>
              <w:rPr>
                <w:rFonts w:ascii="Arial" w:hAnsi="Arial" w:eastAsia="Arial"/>
                <w:b w:val="0"/>
                <w:sz w:val="18"/>
              </w:rPr>
              <w:t>Bonus</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100,000</w:t>
            </w:r>
          </w:p>
        </w:tc>
      </w:tr>
      <w:tr>
        <w:tc>
          <w:tcPr>
            <w:tcW w:type="dxa" w:w="6048"/>
            <w:vAlign w:val="top"/>
          </w:tcPr>
          <w:p>
            <w:pPr>
              <w:spacing w:after="0"/>
            </w:pPr>
            <w:r/>
            <w:r>
              <w:rPr>
                <w:rFonts w:ascii="Arial" w:hAnsi="Arial" w:eastAsia="Arial"/>
                <w:b w:val="0"/>
                <w:sz w:val="18"/>
              </w:rPr>
              <w:t>Addition to provident fund</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30,000</w:t>
            </w:r>
          </w:p>
        </w:tc>
      </w:tr>
      <w:tr>
        <w:tc>
          <w:tcPr>
            <w:tcW w:type="dxa" w:w="6048"/>
            <w:vAlign w:val="top"/>
          </w:tcPr>
          <w:p>
            <w:pPr>
              <w:spacing w:after="0"/>
            </w:pPr>
            <w:r/>
            <w:r>
              <w:rPr>
                <w:rFonts w:ascii="Arial" w:hAnsi="Arial" w:eastAsia="Arial"/>
                <w:b w:val="0"/>
                <w:sz w:val="18"/>
              </w:rPr>
              <w:t>Pension income</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450,000</w:t>
            </w:r>
          </w:p>
        </w:tc>
      </w:tr>
      <w:tr>
        <w:tc>
          <w:tcPr>
            <w:tcW w:type="dxa" w:w="6048"/>
            <w:vAlign w:val="top"/>
          </w:tcPr>
          <w:p>
            <w:pPr>
              <w:spacing w:after="0"/>
            </w:pPr>
            <w:r/>
            <w:r>
              <w:rPr>
                <w:rFonts w:ascii="Arial" w:hAnsi="Arial" w:eastAsia="Arial"/>
                <w:b w:val="0"/>
                <w:sz w:val="18"/>
              </w:rPr>
              <w:t>Assessable income</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1,220,000</w:t>
            </w:r>
          </w:p>
        </w:tc>
      </w:tr>
      <w:tr>
        <w:tc>
          <w:tcPr>
            <w:tcW w:type="dxa" w:w="6048"/>
            <w:vAlign w:val="top"/>
          </w:tcPr>
          <w:p>
            <w:pPr>
              <w:spacing w:after="0"/>
            </w:pPr>
            <w:r/>
            <w:r>
              <w:rPr>
                <w:rFonts w:ascii="Arial" w:hAnsi="Arial" w:eastAsia="Arial"/>
                <w:b w:val="0"/>
                <w:sz w:val="18"/>
              </w:rPr>
              <w:t>Less: investment in approved retirement fund</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60,000</w:t>
            </w:r>
          </w:p>
        </w:tc>
      </w:tr>
      <w:tr>
        <w:tc>
          <w:tcPr>
            <w:tcW w:type="dxa" w:w="6048"/>
            <w:vAlign w:val="top"/>
          </w:tcPr>
          <w:p>
            <w:pPr>
              <w:spacing w:after="0"/>
            </w:pPr>
            <w:r/>
            <w:r>
              <w:rPr>
                <w:rFonts w:ascii="Arial" w:hAnsi="Arial" w:eastAsia="Arial"/>
                <w:b w:val="0"/>
                <w:sz w:val="18"/>
              </w:rPr>
              <w:t>Taxable income</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1,160,000</w:t>
            </w:r>
          </w:p>
        </w:tc>
      </w:tr>
      <w:tr>
        <w:tc>
          <w:tcPr>
            <w:tcW w:type="dxa" w:w="6048"/>
            <w:vAlign w:val="top"/>
          </w:tcPr>
          <w:p>
            <w:pPr>
              <w:spacing w:after="0"/>
            </w:pPr>
            <w:r/>
            <w:r>
              <w:rPr>
                <w:rFonts w:ascii="Arial" w:hAnsi="Arial" w:eastAsia="Arial"/>
                <w:b w:val="0"/>
                <w:sz w:val="18"/>
              </w:rPr>
              <w:t>Less from taxable income: remote area facility for Category C area</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30,000</w:t>
            </w:r>
          </w:p>
        </w:tc>
      </w:tr>
      <w:tr>
        <w:tc>
          <w:tcPr>
            <w:tcW w:type="dxa" w:w="6048"/>
            <w:vAlign w:val="top"/>
          </w:tcPr>
          <w:p>
            <w:pPr>
              <w:spacing w:after="0"/>
            </w:pPr>
            <w:r/>
            <w:r>
              <w:rPr>
                <w:rFonts w:ascii="Arial" w:hAnsi="Arial" w:eastAsia="Arial"/>
                <w:b w:val="0"/>
                <w:sz w:val="18"/>
              </w:rPr>
              <w:t>Deduction for pension: 25% of Rs. 600,000</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150,000</w:t>
            </w:r>
          </w:p>
        </w:tc>
      </w:tr>
      <w:tr>
        <w:tc>
          <w:tcPr>
            <w:tcW w:type="dxa" w:w="6048"/>
            <w:vAlign w:val="top"/>
          </w:tcPr>
          <w:p>
            <w:pPr>
              <w:spacing w:after="0"/>
            </w:pPr>
            <w:r/>
            <w:r>
              <w:rPr>
                <w:rFonts w:ascii="Arial" w:hAnsi="Arial" w:eastAsia="Arial"/>
                <w:b w:val="0"/>
                <w:sz w:val="18"/>
              </w:rPr>
              <w:t>Disability facility income: 50% of first slab Rs. 600,000</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300,000</w:t>
            </w:r>
          </w:p>
        </w:tc>
      </w:tr>
      <w:tr>
        <w:tc>
          <w:tcPr>
            <w:tcW w:type="dxa" w:w="6048"/>
            <w:vAlign w:val="top"/>
          </w:tcPr>
          <w:p>
            <w:pPr>
              <w:spacing w:after="0"/>
            </w:pPr>
            <w:r/>
            <w:r>
              <w:rPr>
                <w:rFonts w:ascii="Arial" w:hAnsi="Arial" w:eastAsia="Arial"/>
                <w:b w:val="0"/>
                <w:sz w:val="18"/>
              </w:rPr>
              <w:t>Investment insurance premium paid: Rs. 45,000</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r>
          </w:p>
        </w:tc>
      </w:tr>
      <w:tr>
        <w:tc>
          <w:tcPr>
            <w:tcW w:type="dxa" w:w="6048"/>
            <w:vAlign w:val="top"/>
          </w:tcPr>
          <w:p>
            <w:pPr>
              <w:spacing w:after="0"/>
            </w:pPr>
            <w:r/>
            <w:r>
              <w:rPr>
                <w:rFonts w:ascii="Arial" w:hAnsi="Arial" w:eastAsia="Arial"/>
                <w:b w:val="0"/>
                <w:sz w:val="18"/>
              </w:rPr>
              <w:t>Maximum investment insurance premium limit</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40,000</w:t>
            </w:r>
          </w:p>
        </w:tc>
      </w:tr>
      <w:tr>
        <w:tc>
          <w:tcPr>
            <w:tcW w:type="dxa" w:w="6048"/>
            <w:vAlign w:val="top"/>
          </w:tcPr>
          <w:p>
            <w:pPr>
              <w:spacing w:after="0"/>
            </w:pPr>
            <w:r/>
            <w:r>
              <w:rPr>
                <w:rFonts w:ascii="Arial" w:hAnsi="Arial" w:eastAsia="Arial"/>
                <w:b w:val="0"/>
                <w:sz w:val="18"/>
              </w:rPr>
              <w:t>Health insurance premium paid: Rs. 25,000</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r>
          </w:p>
        </w:tc>
      </w:tr>
      <w:tr>
        <w:tc>
          <w:tcPr>
            <w:tcW w:type="dxa" w:w="6048"/>
            <w:vAlign w:val="top"/>
          </w:tcPr>
          <w:p>
            <w:pPr>
              <w:spacing w:after="0"/>
            </w:pPr>
            <w:r/>
            <w:r>
              <w:rPr>
                <w:rFonts w:ascii="Arial" w:hAnsi="Arial" w:eastAsia="Arial"/>
                <w:b w:val="0"/>
                <w:sz w:val="18"/>
              </w:rPr>
              <w:t>Maximum health insurance limit</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20,000</w:t>
            </w:r>
          </w:p>
        </w:tc>
      </w:tr>
      <w:tr>
        <w:tc>
          <w:tcPr>
            <w:tcW w:type="dxa" w:w="6048"/>
            <w:vAlign w:val="top"/>
          </w:tcPr>
          <w:p>
            <w:pPr>
              <w:spacing w:after="0"/>
            </w:pPr>
            <w:r/>
            <w:r>
              <w:rPr>
                <w:rFonts w:ascii="Arial" w:hAnsi="Arial" w:eastAsia="Arial"/>
                <w:b w:val="0"/>
                <w:sz w:val="18"/>
              </w:rPr>
              <w:t>Net taxable income</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620,000</w:t>
            </w:r>
          </w:p>
        </w:tc>
      </w:tr>
      <w:tr>
        <w:tc>
          <w:tcPr>
            <w:tcW w:type="dxa" w:w="6048"/>
            <w:vAlign w:val="top"/>
          </w:tcPr>
          <w:p>
            <w:pPr>
              <w:spacing w:after="0"/>
            </w:pPr>
            <w:r/>
            <w:r>
              <w:rPr>
                <w:rFonts w:ascii="Arial" w:hAnsi="Arial" w:eastAsia="Arial"/>
                <w:b w:val="0"/>
                <w:sz w:val="18"/>
              </w:rPr>
              <w:t>First slab - pension income (450,000 - 150,000 = 300,000) up to Rs. 600,000</w:t>
            </w:r>
          </w:p>
        </w:tc>
        <w:tc>
          <w:tcPr>
            <w:tcW w:type="dxa" w:w="1440"/>
            <w:vAlign w:val="top"/>
          </w:tcPr>
          <w:p>
            <w:pPr>
              <w:spacing w:after="0"/>
            </w:pPr>
            <w:r/>
            <w:r>
              <w:rPr>
                <w:rFonts w:ascii="Arial" w:hAnsi="Arial" w:eastAsia="Arial"/>
                <w:b w:val="0"/>
                <w:sz w:val="18"/>
              </w:rPr>
              <w:t>1%</w:t>
            </w:r>
          </w:p>
        </w:tc>
        <w:tc>
          <w:tcPr>
            <w:tcW w:type="dxa" w:w="1872"/>
            <w:vAlign w:val="top"/>
          </w:tcPr>
          <w:p>
            <w:pPr>
              <w:spacing w:after="0"/>
            </w:pPr>
            <w:r/>
            <w:r>
              <w:rPr>
                <w:rFonts w:ascii="Arial" w:hAnsi="Arial" w:eastAsia="Arial"/>
                <w:b w:val="0"/>
                <w:sz w:val="18"/>
              </w:rPr>
              <w:t>3,000</w:t>
            </w:r>
          </w:p>
        </w:tc>
      </w:tr>
      <w:tr>
        <w:tc>
          <w:tcPr>
            <w:tcW w:type="dxa" w:w="6048"/>
            <w:vAlign w:val="top"/>
          </w:tcPr>
          <w:p>
            <w:pPr>
              <w:spacing w:after="0"/>
            </w:pPr>
            <w:r/>
            <w:r>
              <w:rPr>
                <w:rFonts w:ascii="Arial" w:hAnsi="Arial" w:eastAsia="Arial"/>
                <w:b w:val="0"/>
                <w:sz w:val="18"/>
              </w:rPr>
              <w:t>Second slab - additional Rs. 200,000 (on Rs. 20,000)</w:t>
            </w:r>
          </w:p>
        </w:tc>
        <w:tc>
          <w:tcPr>
            <w:tcW w:type="dxa" w:w="1440"/>
            <w:vAlign w:val="top"/>
          </w:tcPr>
          <w:p>
            <w:pPr>
              <w:spacing w:after="0"/>
            </w:pPr>
            <w:r/>
            <w:r>
              <w:rPr>
                <w:rFonts w:ascii="Arial" w:hAnsi="Arial" w:eastAsia="Arial"/>
                <w:b w:val="0"/>
                <w:sz w:val="18"/>
              </w:rPr>
              <w:t>10%</w:t>
            </w:r>
          </w:p>
        </w:tc>
        <w:tc>
          <w:tcPr>
            <w:tcW w:type="dxa" w:w="1872"/>
            <w:vAlign w:val="top"/>
          </w:tcPr>
          <w:p>
            <w:pPr>
              <w:spacing w:after="0"/>
            </w:pPr>
            <w:r/>
            <w:r>
              <w:rPr>
                <w:rFonts w:ascii="Arial" w:hAnsi="Arial" w:eastAsia="Arial"/>
                <w:b w:val="0"/>
                <w:sz w:val="18"/>
              </w:rPr>
              <w:t>2,000</w:t>
            </w:r>
          </w:p>
        </w:tc>
      </w:tr>
      <w:tr>
        <w:tc>
          <w:tcPr>
            <w:tcW w:type="dxa" w:w="6048"/>
            <w:vAlign w:val="top"/>
          </w:tcPr>
          <w:p>
            <w:pPr>
              <w:spacing w:after="0"/>
            </w:pPr>
            <w:r/>
            <w:r>
              <w:rPr>
                <w:rFonts w:ascii="Arial" w:hAnsi="Arial" w:eastAsia="Arial"/>
                <w:b w:val="0"/>
                <w:sz w:val="18"/>
              </w:rPr>
              <w:t>Total tax</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5,000</w:t>
            </w:r>
          </w:p>
        </w:tc>
      </w:tr>
    </w:tbl>
    <w:p/>
    <w:p>
      <w:pPr>
        <w:spacing w:after="80" w:line="252" w:lineRule="auto"/>
      </w:pPr>
      <w:r>
        <w:rPr>
          <w:rFonts w:ascii="Arial" w:hAnsi="Arial" w:eastAsia="Arial"/>
          <w:b w:val="0"/>
          <w:i w:val="0"/>
          <w:sz w:val="20"/>
        </w:rPr>
        <w:t>(16a) Notwithstanding anything contained elsewhere in this section, where a resident natural person has insured a private building owned by that person with a resident insurance company, tax under this section shall be computed only on the balance remaining after deducting from taxable income the lower of the annual premium paid for such insurance and five thousand rupees.</w:t>
      </w:r>
    </w:p>
    <w:p>
      <w:pPr>
        <w:spacing w:after="80" w:line="252" w:lineRule="auto"/>
      </w:pPr>
      <w:r>
        <w:rPr>
          <w:rFonts w:ascii="Arial" w:hAnsi="Arial" w:eastAsia="Arial"/>
          <w:b/>
          <w:i w:val="0"/>
          <w:sz w:val="20"/>
        </w:rPr>
        <w:t>Example 11.4.8:</w:t>
      </w:r>
    </w:p>
    <w:p>
      <w:pPr>
        <w:spacing w:after="80" w:line="252" w:lineRule="auto"/>
      </w:pPr>
      <w:r>
        <w:rPr>
          <w:rFonts w:ascii="Arial" w:hAnsi="Arial" w:eastAsia="Arial"/>
          <w:b w:val="0"/>
          <w:i w:val="0"/>
          <w:sz w:val="20"/>
        </w:rPr>
        <w:t>Assume that Shyam Mahato mentioned in Example 11.4.4 has also insured a private building owned by him and has paid Rs. 10,000 as insurance premium in that year. His taxable income and tax for the year are as follows:</w:t>
      </w:r>
    </w:p>
    <w:tbl>
      <w:tblPr>
        <w:tblStyle w:val="TableGrid"/>
        <w:tblW w:type="auto" w:w="0"/>
        <w:jc w:val="center"/>
        <w:tblLayout w:type="autofit"/>
        <w:tblLook w:firstColumn="1" w:firstRow="1" w:lastColumn="0" w:lastRow="0" w:noHBand="0" w:noVBand="1" w:val="04A0"/>
      </w:tblPr>
      <w:tblGrid>
        <w:gridCol w:w="3408"/>
        <w:gridCol w:w="3408"/>
        <w:gridCol w:w="3408"/>
      </w:tblGrid>
      <w:tr>
        <w:tc>
          <w:tcPr>
            <w:tcW w:type="dxa" w:w="6048"/>
            <w:vAlign w:val="top"/>
            <w:shd w:fill="D9EAF7"/>
          </w:tcPr>
          <w:p>
            <w:pPr>
              <w:spacing w:after="0"/>
            </w:pPr>
            <w:r/>
            <w:r>
              <w:rPr>
                <w:rFonts w:ascii="Arial" w:hAnsi="Arial" w:eastAsia="Arial"/>
                <w:b/>
                <w:sz w:val="18"/>
              </w:rPr>
              <w:t>Particulars</w:t>
            </w:r>
          </w:p>
        </w:tc>
        <w:tc>
          <w:tcPr>
            <w:tcW w:type="dxa" w:w="1440"/>
            <w:vAlign w:val="top"/>
            <w:shd w:fill="D9EAF7"/>
          </w:tcPr>
          <w:p>
            <w:pPr>
              <w:spacing w:after="0"/>
            </w:pPr>
            <w:r/>
            <w:r>
              <w:rPr>
                <w:rFonts w:ascii="Arial" w:hAnsi="Arial" w:eastAsia="Arial"/>
                <w:b/>
                <w:sz w:val="18"/>
              </w:rPr>
              <w:t>Tax rate</w:t>
            </w:r>
          </w:p>
        </w:tc>
        <w:tc>
          <w:tcPr>
            <w:tcW w:type="dxa" w:w="1872"/>
            <w:vAlign w:val="top"/>
            <w:shd w:fill="D9EAF7"/>
          </w:tcPr>
          <w:p>
            <w:pPr>
              <w:spacing w:after="0"/>
            </w:pPr>
            <w:r/>
            <w:r>
              <w:rPr>
                <w:rFonts w:ascii="Arial" w:hAnsi="Arial" w:eastAsia="Arial"/>
                <w:b/>
                <w:sz w:val="18"/>
              </w:rPr>
              <w:t>Amount / Tax (Rs.)</w:t>
            </w:r>
          </w:p>
        </w:tc>
      </w:tr>
      <w:tr>
        <w:tc>
          <w:tcPr>
            <w:tcW w:type="dxa" w:w="6048"/>
            <w:vAlign w:val="top"/>
          </w:tcPr>
          <w:p>
            <w:pPr>
              <w:spacing w:after="0"/>
            </w:pPr>
            <w:r/>
            <w:r>
              <w:rPr>
                <w:rFonts w:ascii="Arial" w:hAnsi="Arial" w:eastAsia="Arial"/>
                <w:b w:val="0"/>
                <w:sz w:val="18"/>
              </w:rPr>
              <w:t>Salary and allowances</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600,000</w:t>
            </w:r>
          </w:p>
        </w:tc>
      </w:tr>
      <w:tr>
        <w:tc>
          <w:tcPr>
            <w:tcW w:type="dxa" w:w="6048"/>
            <w:vAlign w:val="top"/>
          </w:tcPr>
          <w:p>
            <w:pPr>
              <w:spacing w:after="0"/>
            </w:pPr>
            <w:r/>
            <w:r>
              <w:rPr>
                <w:rFonts w:ascii="Arial" w:hAnsi="Arial" w:eastAsia="Arial"/>
                <w:b w:val="0"/>
                <w:sz w:val="18"/>
              </w:rPr>
              <w:t>Dashain expense</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40,000</w:t>
            </w:r>
          </w:p>
        </w:tc>
      </w:tr>
      <w:tr>
        <w:tc>
          <w:tcPr>
            <w:tcW w:type="dxa" w:w="6048"/>
            <w:vAlign w:val="top"/>
          </w:tcPr>
          <w:p>
            <w:pPr>
              <w:spacing w:after="0"/>
            </w:pPr>
            <w:r/>
            <w:r>
              <w:rPr>
                <w:rFonts w:ascii="Arial" w:hAnsi="Arial" w:eastAsia="Arial"/>
                <w:b w:val="0"/>
                <w:sz w:val="18"/>
              </w:rPr>
              <w:t>Bonus</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100,000</w:t>
            </w:r>
          </w:p>
        </w:tc>
      </w:tr>
      <w:tr>
        <w:tc>
          <w:tcPr>
            <w:tcW w:type="dxa" w:w="6048"/>
            <w:vAlign w:val="top"/>
          </w:tcPr>
          <w:p>
            <w:pPr>
              <w:spacing w:after="0"/>
            </w:pPr>
            <w:r/>
            <w:r>
              <w:rPr>
                <w:rFonts w:ascii="Arial" w:hAnsi="Arial" w:eastAsia="Arial"/>
                <w:b w:val="0"/>
                <w:sz w:val="18"/>
              </w:rPr>
              <w:t>Addition to provident fund</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30,000</w:t>
            </w:r>
          </w:p>
        </w:tc>
      </w:tr>
      <w:tr>
        <w:tc>
          <w:tcPr>
            <w:tcW w:type="dxa" w:w="6048"/>
            <w:vAlign w:val="top"/>
          </w:tcPr>
          <w:p>
            <w:pPr>
              <w:spacing w:after="0"/>
            </w:pPr>
            <w:r/>
            <w:r>
              <w:rPr>
                <w:rFonts w:ascii="Arial" w:hAnsi="Arial" w:eastAsia="Arial"/>
                <w:b w:val="0"/>
                <w:sz w:val="18"/>
              </w:rPr>
              <w:t>Pension income</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450,000</w:t>
            </w:r>
          </w:p>
        </w:tc>
      </w:tr>
      <w:tr>
        <w:tc>
          <w:tcPr>
            <w:tcW w:type="dxa" w:w="6048"/>
            <w:vAlign w:val="top"/>
          </w:tcPr>
          <w:p>
            <w:pPr>
              <w:spacing w:after="0"/>
            </w:pPr>
            <w:r/>
            <w:r>
              <w:rPr>
                <w:rFonts w:ascii="Arial" w:hAnsi="Arial" w:eastAsia="Arial"/>
                <w:b w:val="0"/>
                <w:sz w:val="18"/>
              </w:rPr>
              <w:t>Assessable income</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1,220,000</w:t>
            </w:r>
          </w:p>
        </w:tc>
      </w:tr>
      <w:tr>
        <w:tc>
          <w:tcPr>
            <w:tcW w:type="dxa" w:w="6048"/>
            <w:vAlign w:val="top"/>
          </w:tcPr>
          <w:p>
            <w:pPr>
              <w:spacing w:after="0"/>
            </w:pPr>
            <w:r/>
            <w:r>
              <w:rPr>
                <w:rFonts w:ascii="Arial" w:hAnsi="Arial" w:eastAsia="Arial"/>
                <w:b w:val="0"/>
                <w:sz w:val="18"/>
              </w:rPr>
              <w:t>Less: investment in approved retirement fund</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60,000</w:t>
            </w:r>
          </w:p>
        </w:tc>
      </w:tr>
      <w:tr>
        <w:tc>
          <w:tcPr>
            <w:tcW w:type="dxa" w:w="6048"/>
            <w:vAlign w:val="top"/>
          </w:tcPr>
          <w:p>
            <w:pPr>
              <w:spacing w:after="0"/>
            </w:pPr>
            <w:r/>
            <w:r>
              <w:rPr>
                <w:rFonts w:ascii="Arial" w:hAnsi="Arial" w:eastAsia="Arial"/>
                <w:b w:val="0"/>
                <w:sz w:val="18"/>
              </w:rPr>
              <w:t>Taxable income</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1,160,000</w:t>
            </w:r>
          </w:p>
        </w:tc>
      </w:tr>
      <w:tr>
        <w:tc>
          <w:tcPr>
            <w:tcW w:type="dxa" w:w="6048"/>
            <w:vAlign w:val="top"/>
          </w:tcPr>
          <w:p>
            <w:pPr>
              <w:spacing w:after="0"/>
            </w:pPr>
            <w:r/>
            <w:r>
              <w:rPr>
                <w:rFonts w:ascii="Arial" w:hAnsi="Arial" w:eastAsia="Arial"/>
                <w:b w:val="0"/>
                <w:sz w:val="18"/>
              </w:rPr>
              <w:t>Less from taxable income: remote area facility for Category C area</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30,000</w:t>
            </w:r>
          </w:p>
        </w:tc>
      </w:tr>
      <w:tr>
        <w:tc>
          <w:tcPr>
            <w:tcW w:type="dxa" w:w="6048"/>
            <w:vAlign w:val="top"/>
          </w:tcPr>
          <w:p>
            <w:pPr>
              <w:spacing w:after="0"/>
            </w:pPr>
            <w:r/>
            <w:r>
              <w:rPr>
                <w:rFonts w:ascii="Arial" w:hAnsi="Arial" w:eastAsia="Arial"/>
                <w:b w:val="0"/>
                <w:sz w:val="18"/>
              </w:rPr>
              <w:t>Deduction for pension: 25% of Rs. 600,000</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150,000</w:t>
            </w:r>
          </w:p>
        </w:tc>
      </w:tr>
      <w:tr>
        <w:tc>
          <w:tcPr>
            <w:tcW w:type="dxa" w:w="6048"/>
            <w:vAlign w:val="top"/>
          </w:tcPr>
          <w:p>
            <w:pPr>
              <w:spacing w:after="0"/>
            </w:pPr>
            <w:r/>
            <w:r>
              <w:rPr>
                <w:rFonts w:ascii="Arial" w:hAnsi="Arial" w:eastAsia="Arial"/>
                <w:b w:val="0"/>
                <w:sz w:val="18"/>
              </w:rPr>
              <w:t>Disability facility income: 50% of first slab Rs. 600,000</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300,000</w:t>
            </w:r>
          </w:p>
        </w:tc>
      </w:tr>
      <w:tr>
        <w:tc>
          <w:tcPr>
            <w:tcW w:type="dxa" w:w="6048"/>
            <w:vAlign w:val="top"/>
          </w:tcPr>
          <w:p>
            <w:pPr>
              <w:spacing w:after="0"/>
            </w:pPr>
            <w:r/>
            <w:r>
              <w:rPr>
                <w:rFonts w:ascii="Arial" w:hAnsi="Arial" w:eastAsia="Arial"/>
                <w:b w:val="0"/>
                <w:sz w:val="18"/>
              </w:rPr>
              <w:t>Investment insurance premium paid: Rs. 45,000</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r>
          </w:p>
        </w:tc>
      </w:tr>
      <w:tr>
        <w:tc>
          <w:tcPr>
            <w:tcW w:type="dxa" w:w="6048"/>
            <w:vAlign w:val="top"/>
          </w:tcPr>
          <w:p>
            <w:pPr>
              <w:spacing w:after="0"/>
            </w:pPr>
            <w:r/>
            <w:r>
              <w:rPr>
                <w:rFonts w:ascii="Arial" w:hAnsi="Arial" w:eastAsia="Arial"/>
                <w:b w:val="0"/>
                <w:sz w:val="18"/>
              </w:rPr>
              <w:t>Maximum investment insurance premium limit</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40,000</w:t>
            </w:r>
          </w:p>
        </w:tc>
      </w:tr>
      <w:tr>
        <w:tc>
          <w:tcPr>
            <w:tcW w:type="dxa" w:w="6048"/>
            <w:vAlign w:val="top"/>
          </w:tcPr>
          <w:p>
            <w:pPr>
              <w:spacing w:after="0"/>
            </w:pPr>
            <w:r/>
            <w:r>
              <w:rPr>
                <w:rFonts w:ascii="Arial" w:hAnsi="Arial" w:eastAsia="Arial"/>
                <w:b w:val="0"/>
                <w:sz w:val="18"/>
              </w:rPr>
              <w:t>Health insurance premium paid: Rs. 30,000</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r>
          </w:p>
        </w:tc>
      </w:tr>
      <w:tr>
        <w:tc>
          <w:tcPr>
            <w:tcW w:type="dxa" w:w="6048"/>
            <w:vAlign w:val="top"/>
          </w:tcPr>
          <w:p>
            <w:pPr>
              <w:spacing w:after="0"/>
            </w:pPr>
            <w:r/>
            <w:r>
              <w:rPr>
                <w:rFonts w:ascii="Arial" w:hAnsi="Arial" w:eastAsia="Arial"/>
                <w:b w:val="0"/>
                <w:sz w:val="18"/>
              </w:rPr>
              <w:t>Maximum health insurance limit</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20,000</w:t>
            </w:r>
          </w:p>
        </w:tc>
      </w:tr>
      <w:tr>
        <w:tc>
          <w:tcPr>
            <w:tcW w:type="dxa" w:w="6048"/>
            <w:vAlign w:val="top"/>
          </w:tcPr>
          <w:p>
            <w:pPr>
              <w:spacing w:after="0"/>
            </w:pPr>
            <w:r/>
            <w:r>
              <w:rPr>
                <w:rFonts w:ascii="Arial" w:hAnsi="Arial" w:eastAsia="Arial"/>
                <w:b w:val="0"/>
                <w:sz w:val="18"/>
              </w:rPr>
              <w:t>Insurance premium paid for private building owned by the person: Rs. 10,000</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r>
          </w:p>
        </w:tc>
      </w:tr>
      <w:tr>
        <w:tc>
          <w:tcPr>
            <w:tcW w:type="dxa" w:w="6048"/>
            <w:vAlign w:val="top"/>
          </w:tcPr>
          <w:p>
            <w:pPr>
              <w:spacing w:after="0"/>
            </w:pPr>
            <w:r/>
            <w:r>
              <w:rPr>
                <w:rFonts w:ascii="Arial" w:hAnsi="Arial" w:eastAsia="Arial"/>
                <w:b w:val="0"/>
                <w:sz w:val="18"/>
              </w:rPr>
              <w:t>Premium limit for private building insurance owned by the person</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5,000</w:t>
            </w:r>
          </w:p>
        </w:tc>
      </w:tr>
      <w:tr>
        <w:tc>
          <w:tcPr>
            <w:tcW w:type="dxa" w:w="6048"/>
            <w:vAlign w:val="top"/>
          </w:tcPr>
          <w:p>
            <w:pPr>
              <w:spacing w:after="0"/>
            </w:pPr>
            <w:r/>
            <w:r>
              <w:rPr>
                <w:rFonts w:ascii="Arial" w:hAnsi="Arial" w:eastAsia="Arial"/>
                <w:b w:val="0"/>
                <w:sz w:val="18"/>
              </w:rPr>
              <w:t>Net taxable income</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615,000</w:t>
            </w:r>
          </w:p>
        </w:tc>
      </w:tr>
      <w:tr>
        <w:tc>
          <w:tcPr>
            <w:tcW w:type="dxa" w:w="6048"/>
            <w:vAlign w:val="top"/>
          </w:tcPr>
          <w:p>
            <w:pPr>
              <w:spacing w:after="0"/>
            </w:pPr>
            <w:r/>
            <w:r>
              <w:rPr>
                <w:rFonts w:ascii="Arial" w:hAnsi="Arial" w:eastAsia="Arial"/>
                <w:b w:val="0"/>
                <w:sz w:val="18"/>
              </w:rPr>
              <w:t>First slab - pension income (450,000 - 150,000 = 300,000) up to Rs. 600,000</w:t>
            </w:r>
          </w:p>
        </w:tc>
        <w:tc>
          <w:tcPr>
            <w:tcW w:type="dxa" w:w="1440"/>
            <w:vAlign w:val="top"/>
          </w:tcPr>
          <w:p>
            <w:pPr>
              <w:spacing w:after="0"/>
            </w:pPr>
            <w:r/>
            <w:r>
              <w:rPr>
                <w:rFonts w:ascii="Arial" w:hAnsi="Arial" w:eastAsia="Arial"/>
                <w:b w:val="0"/>
                <w:sz w:val="18"/>
              </w:rPr>
              <w:t>1%</w:t>
            </w:r>
          </w:p>
        </w:tc>
        <w:tc>
          <w:tcPr>
            <w:tcW w:type="dxa" w:w="1872"/>
            <w:vAlign w:val="top"/>
          </w:tcPr>
          <w:p>
            <w:pPr>
              <w:spacing w:after="0"/>
            </w:pPr>
            <w:r/>
            <w:r>
              <w:rPr>
                <w:rFonts w:ascii="Arial" w:hAnsi="Arial" w:eastAsia="Arial"/>
                <w:b w:val="0"/>
                <w:sz w:val="18"/>
              </w:rPr>
              <w:t>3,000</w:t>
            </w:r>
          </w:p>
        </w:tc>
      </w:tr>
      <w:tr>
        <w:tc>
          <w:tcPr>
            <w:tcW w:type="dxa" w:w="6048"/>
            <w:vAlign w:val="top"/>
          </w:tcPr>
          <w:p>
            <w:pPr>
              <w:spacing w:after="0"/>
            </w:pPr>
            <w:r/>
            <w:r>
              <w:rPr>
                <w:rFonts w:ascii="Arial" w:hAnsi="Arial" w:eastAsia="Arial"/>
                <w:b w:val="0"/>
                <w:sz w:val="18"/>
              </w:rPr>
              <w:t>Second slab - additional Rs. 200,000 (on Rs. 15,000)</w:t>
            </w:r>
          </w:p>
        </w:tc>
        <w:tc>
          <w:tcPr>
            <w:tcW w:type="dxa" w:w="1440"/>
            <w:vAlign w:val="top"/>
          </w:tcPr>
          <w:p>
            <w:pPr>
              <w:spacing w:after="0"/>
            </w:pPr>
            <w:r/>
            <w:r>
              <w:rPr>
                <w:rFonts w:ascii="Arial" w:hAnsi="Arial" w:eastAsia="Arial"/>
                <w:b w:val="0"/>
                <w:sz w:val="18"/>
              </w:rPr>
              <w:t>10%</w:t>
            </w:r>
          </w:p>
        </w:tc>
        <w:tc>
          <w:tcPr>
            <w:tcW w:type="dxa" w:w="1872"/>
            <w:vAlign w:val="top"/>
          </w:tcPr>
          <w:p>
            <w:pPr>
              <w:spacing w:after="0"/>
            </w:pPr>
            <w:r/>
            <w:r>
              <w:rPr>
                <w:rFonts w:ascii="Arial" w:hAnsi="Arial" w:eastAsia="Arial"/>
                <w:b w:val="0"/>
                <w:sz w:val="18"/>
              </w:rPr>
              <w:t>1,500</w:t>
            </w:r>
          </w:p>
        </w:tc>
      </w:tr>
      <w:tr>
        <w:tc>
          <w:tcPr>
            <w:tcW w:type="dxa" w:w="6048"/>
            <w:vAlign w:val="top"/>
          </w:tcPr>
          <w:p>
            <w:pPr>
              <w:spacing w:after="0"/>
            </w:pPr>
            <w:r/>
            <w:r>
              <w:rPr>
                <w:rFonts w:ascii="Arial" w:hAnsi="Arial" w:eastAsia="Arial"/>
                <w:b w:val="0"/>
                <w:sz w:val="18"/>
              </w:rPr>
              <w:t>Total tax</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4,500</w:t>
            </w:r>
          </w:p>
        </w:tc>
      </w:tr>
    </w:tbl>
    <w:p/>
    <w:p>
      <w:pPr>
        <w:pStyle w:val="Heading2"/>
      </w:pPr>
      <w:r>
        <w:t>11.5 Tax Concession</w:t>
      </w:r>
    </w:p>
    <w:p>
      <w:pPr>
        <w:pStyle w:val="Heading3"/>
      </w:pPr>
      <w:r>
        <w:t>11.5.1 Tax concession on income from special industry and export</w:t>
      </w:r>
    </w:p>
    <w:p>
      <w:pPr>
        <w:spacing w:after="80" w:line="252" w:lineRule="auto"/>
      </w:pPr>
      <w:r>
        <w:rPr>
          <w:rFonts w:ascii="Arial" w:hAnsi="Arial" w:eastAsia="Arial"/>
          <w:b w:val="0"/>
          <w:i w:val="0"/>
          <w:sz w:val="20"/>
        </w:rPr>
        <w:t>Subsections (2b) and (3e) of Section 11 of the Act contain the following provisions relating to tax concessions on income from special industry and export.</w:t>
      </w:r>
    </w:p>
    <w:p>
      <w:pPr>
        <w:spacing w:after="80" w:line="252" w:lineRule="auto"/>
      </w:pPr>
      <w:r>
        <w:rPr>
          <w:rFonts w:ascii="Arial" w:hAnsi="Arial" w:eastAsia="Arial"/>
          <w:b w:val="0"/>
          <w:i w:val="0"/>
          <w:sz w:val="20"/>
        </w:rPr>
        <w:t>11(2b) Where, in an income year, income is derived from a special industry that has operated fully throughout the year, tax concession shall be allowed as follows:</w:t>
      </w:r>
    </w:p>
    <w:p>
      <w:pPr>
        <w:spacing w:after="80" w:line="252" w:lineRule="auto"/>
      </w:pPr>
      <w:r>
        <w:rPr>
          <w:rFonts w:ascii="Arial" w:hAnsi="Arial" w:eastAsia="Arial"/>
          <w:b w:val="0"/>
          <w:i w:val="0"/>
          <w:sz w:val="20"/>
        </w:rPr>
        <w:t>(a) where tax at the rate of thirty percent is levied on the income of a resident natural person, by one-third of such tax.</w:t>
      </w:r>
    </w:p>
    <w:p>
      <w:pPr>
        <w:spacing w:after="80" w:line="252" w:lineRule="auto"/>
      </w:pPr>
      <w:r>
        <w:rPr>
          <w:rFonts w:ascii="Arial" w:hAnsi="Arial" w:eastAsia="Arial"/>
          <w:b w:val="0"/>
          <w:i w:val="0"/>
          <w:sz w:val="20"/>
        </w:rPr>
        <w:t>The above provision is clarified in the example below.</w:t>
      </w:r>
    </w:p>
    <w:p>
      <w:pPr>
        <w:spacing w:after="80" w:line="252" w:lineRule="auto"/>
      </w:pPr>
      <w:r>
        <w:rPr>
          <w:rFonts w:ascii="Arial" w:hAnsi="Arial" w:eastAsia="Arial"/>
          <w:b/>
          <w:i w:val="0"/>
          <w:sz w:val="20"/>
        </w:rPr>
        <w:t>Example 11.5.1:</w:t>
      </w:r>
    </w:p>
    <w:p>
      <w:pPr>
        <w:spacing w:after="80" w:line="252" w:lineRule="auto"/>
      </w:pPr>
      <w:r>
        <w:rPr>
          <w:rFonts w:ascii="Arial" w:hAnsi="Arial" w:eastAsia="Arial"/>
          <w:b w:val="0"/>
          <w:i w:val="0"/>
          <w:sz w:val="20"/>
        </w:rPr>
        <w:t>Assume that Ms. Shashikala Rai operates an industry in Achham District that produces juice from fruits. In FY 2081/82, the turnover of that industry is Rs. 22,500,000 and the deductible amount is Rs. 21,000,000. For purposes of computing taxable income for that year, she elects to be treated as a single natural person. Her taxable income and tax for the year are as follows:</w:t>
      </w:r>
    </w:p>
    <w:tbl>
      <w:tblPr>
        <w:tblStyle w:val="TableGrid"/>
        <w:tblW w:type="auto" w:w="0"/>
        <w:jc w:val="center"/>
        <w:tblLayout w:type="autofit"/>
        <w:tblLook w:firstColumn="1" w:firstRow="1" w:lastColumn="0" w:lastRow="0" w:noHBand="0" w:noVBand="1" w:val="04A0"/>
      </w:tblPr>
      <w:tblGrid>
        <w:gridCol w:w="3408"/>
        <w:gridCol w:w="3408"/>
        <w:gridCol w:w="3408"/>
      </w:tblGrid>
      <w:tr>
        <w:tc>
          <w:tcPr>
            <w:tcW w:type="dxa" w:w="6048"/>
            <w:vAlign w:val="top"/>
            <w:shd w:fill="D9EAF7"/>
          </w:tcPr>
          <w:p>
            <w:pPr>
              <w:spacing w:after="0"/>
            </w:pPr>
            <w:r/>
            <w:r>
              <w:rPr>
                <w:rFonts w:ascii="Arial" w:hAnsi="Arial" w:eastAsia="Arial"/>
                <w:b/>
                <w:sz w:val="18"/>
              </w:rPr>
              <w:t>Particulars</w:t>
            </w:r>
          </w:p>
        </w:tc>
        <w:tc>
          <w:tcPr>
            <w:tcW w:type="dxa" w:w="1440"/>
            <w:vAlign w:val="top"/>
            <w:shd w:fill="D9EAF7"/>
          </w:tcPr>
          <w:p>
            <w:pPr>
              <w:spacing w:after="0"/>
            </w:pPr>
            <w:r/>
            <w:r>
              <w:rPr>
                <w:rFonts w:ascii="Arial" w:hAnsi="Arial" w:eastAsia="Arial"/>
                <w:b/>
                <w:sz w:val="18"/>
              </w:rPr>
              <w:t>Tax rate</w:t>
            </w:r>
          </w:p>
        </w:tc>
        <w:tc>
          <w:tcPr>
            <w:tcW w:type="dxa" w:w="1872"/>
            <w:vAlign w:val="top"/>
            <w:shd w:fill="D9EAF7"/>
          </w:tcPr>
          <w:p>
            <w:pPr>
              <w:spacing w:after="0"/>
            </w:pPr>
            <w:r/>
            <w:r>
              <w:rPr>
                <w:rFonts w:ascii="Arial" w:hAnsi="Arial" w:eastAsia="Arial"/>
                <w:b/>
                <w:sz w:val="18"/>
              </w:rPr>
              <w:t>Amount / Tax (Rs.)</w:t>
            </w:r>
          </w:p>
        </w:tc>
      </w:tr>
      <w:tr>
        <w:tc>
          <w:tcPr>
            <w:tcW w:type="dxa" w:w="6048"/>
            <w:vAlign w:val="top"/>
          </w:tcPr>
          <w:p>
            <w:pPr>
              <w:spacing w:after="0"/>
            </w:pPr>
            <w:r/>
            <w:r>
              <w:rPr>
                <w:rFonts w:ascii="Arial" w:hAnsi="Arial" w:eastAsia="Arial"/>
                <w:b w:val="0"/>
                <w:sz w:val="18"/>
              </w:rPr>
              <w:t>Turnover (amounts included in income)</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22,500,000</w:t>
            </w:r>
          </w:p>
        </w:tc>
      </w:tr>
      <w:tr>
        <w:tc>
          <w:tcPr>
            <w:tcW w:type="dxa" w:w="6048"/>
            <w:vAlign w:val="top"/>
          </w:tcPr>
          <w:p>
            <w:pPr>
              <w:spacing w:after="0"/>
            </w:pPr>
            <w:r/>
            <w:r>
              <w:rPr>
                <w:rFonts w:ascii="Arial" w:hAnsi="Arial" w:eastAsia="Arial"/>
                <w:b w:val="0"/>
                <w:sz w:val="18"/>
              </w:rPr>
              <w:t>Less: deductible amounts</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21,000,000</w:t>
            </w:r>
          </w:p>
        </w:tc>
      </w:tr>
      <w:tr>
        <w:tc>
          <w:tcPr>
            <w:tcW w:type="dxa" w:w="6048"/>
            <w:vAlign w:val="top"/>
          </w:tcPr>
          <w:p>
            <w:pPr>
              <w:spacing w:after="0"/>
            </w:pPr>
            <w:r/>
            <w:r>
              <w:rPr>
                <w:rFonts w:ascii="Arial" w:hAnsi="Arial" w:eastAsia="Arial"/>
                <w:b w:val="0"/>
                <w:sz w:val="18"/>
              </w:rPr>
              <w:t>Assessable income</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1,500,000</w:t>
            </w:r>
          </w:p>
        </w:tc>
      </w:tr>
      <w:tr>
        <w:tc>
          <w:tcPr>
            <w:tcW w:type="dxa" w:w="6048"/>
            <w:vAlign w:val="top"/>
          </w:tcPr>
          <w:p>
            <w:pPr>
              <w:spacing w:after="0"/>
            </w:pPr>
            <w:r/>
            <w:r>
              <w:rPr>
                <w:rFonts w:ascii="Arial" w:hAnsi="Arial" w:eastAsia="Arial"/>
                <w:b w:val="0"/>
                <w:sz w:val="18"/>
              </w:rPr>
              <w:t>Less: retirement contribution and donation</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0</w:t>
            </w:r>
          </w:p>
        </w:tc>
      </w:tr>
      <w:tr>
        <w:tc>
          <w:tcPr>
            <w:tcW w:type="dxa" w:w="6048"/>
            <w:vAlign w:val="top"/>
          </w:tcPr>
          <w:p>
            <w:pPr>
              <w:spacing w:after="0"/>
            </w:pPr>
            <w:r/>
            <w:r>
              <w:rPr>
                <w:rFonts w:ascii="Arial" w:hAnsi="Arial" w:eastAsia="Arial"/>
                <w:b w:val="0"/>
                <w:sz w:val="18"/>
              </w:rPr>
              <w:t>Taxable income</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1,500,000</w:t>
            </w:r>
          </w:p>
        </w:tc>
      </w:tr>
      <w:tr>
        <w:tc>
          <w:tcPr>
            <w:tcW w:type="dxa" w:w="6048"/>
            <w:vAlign w:val="top"/>
          </w:tcPr>
          <w:p>
            <w:pPr>
              <w:spacing w:after="0"/>
            </w:pPr>
            <w:r/>
            <w:r>
              <w:rPr>
                <w:rFonts w:ascii="Arial" w:hAnsi="Arial" w:eastAsia="Arial"/>
                <w:b w:val="0"/>
                <w:sz w:val="18"/>
              </w:rPr>
              <w:t>Less from taxable income: remote area facility for Category C area</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30,000</w:t>
            </w:r>
          </w:p>
        </w:tc>
      </w:tr>
      <w:tr>
        <w:tc>
          <w:tcPr>
            <w:tcW w:type="dxa" w:w="6048"/>
            <w:vAlign w:val="top"/>
          </w:tcPr>
          <w:p>
            <w:pPr>
              <w:spacing w:after="0"/>
            </w:pPr>
            <w:r/>
            <w:r>
              <w:rPr>
                <w:rFonts w:ascii="Arial" w:hAnsi="Arial" w:eastAsia="Arial"/>
                <w:b w:val="0"/>
                <w:sz w:val="18"/>
              </w:rPr>
              <w:t>Remaining taxable income</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1,470,000</w:t>
            </w:r>
          </w:p>
        </w:tc>
      </w:tr>
      <w:tr>
        <w:tc>
          <w:tcPr>
            <w:tcW w:type="dxa" w:w="6048"/>
            <w:vAlign w:val="top"/>
          </w:tcPr>
          <w:p>
            <w:pPr>
              <w:spacing w:after="0"/>
            </w:pPr>
            <w:r/>
            <w:r>
              <w:rPr>
                <w:rFonts w:ascii="Arial" w:hAnsi="Arial" w:eastAsia="Arial"/>
                <w:b w:val="0"/>
                <w:sz w:val="18"/>
              </w:rPr>
              <w:t>Tax computation</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r>
          </w:p>
        </w:tc>
      </w:tr>
      <w:tr>
        <w:tc>
          <w:tcPr>
            <w:tcW w:type="dxa" w:w="6048"/>
            <w:vAlign w:val="top"/>
          </w:tcPr>
          <w:p>
            <w:pPr>
              <w:spacing w:after="0"/>
            </w:pPr>
            <w:r/>
            <w:r>
              <w:rPr>
                <w:rFonts w:ascii="Arial" w:hAnsi="Arial" w:eastAsia="Arial"/>
                <w:b w:val="0"/>
                <w:sz w:val="18"/>
              </w:rPr>
              <w:t>First slab up to Rs. 500,000 - for taxpayer registered as sole proprietorship firm, no tax applies on natural person income</w:t>
            </w:r>
          </w:p>
        </w:tc>
        <w:tc>
          <w:tcPr>
            <w:tcW w:type="dxa" w:w="1440"/>
            <w:vAlign w:val="top"/>
          </w:tcPr>
          <w:p>
            <w:pPr>
              <w:spacing w:after="0"/>
            </w:pPr>
            <w:r/>
            <w:r>
              <w:rPr>
                <w:rFonts w:ascii="Arial" w:hAnsi="Arial" w:eastAsia="Arial"/>
                <w:b w:val="0"/>
                <w:sz w:val="18"/>
              </w:rPr>
              <w:t>1%</w:t>
            </w:r>
          </w:p>
        </w:tc>
        <w:tc>
          <w:tcPr>
            <w:tcW w:type="dxa" w:w="1872"/>
            <w:vAlign w:val="top"/>
          </w:tcPr>
          <w:p>
            <w:pPr>
              <w:spacing w:after="0"/>
            </w:pPr>
            <w:r/>
            <w:r>
              <w:rPr>
                <w:rFonts w:ascii="Arial" w:hAnsi="Arial" w:eastAsia="Arial"/>
                <w:b w:val="0"/>
                <w:sz w:val="18"/>
              </w:rPr>
              <w:t>0</w:t>
            </w:r>
          </w:p>
        </w:tc>
      </w:tr>
      <w:tr>
        <w:tc>
          <w:tcPr>
            <w:tcW w:type="dxa" w:w="6048"/>
            <w:vAlign w:val="top"/>
          </w:tcPr>
          <w:p>
            <w:pPr>
              <w:spacing w:after="0"/>
            </w:pPr>
            <w:r/>
            <w:r>
              <w:rPr>
                <w:rFonts w:ascii="Arial" w:hAnsi="Arial" w:eastAsia="Arial"/>
                <w:b w:val="0"/>
                <w:sz w:val="18"/>
              </w:rPr>
              <w:t>Second slab - additional Rs. 200,000</w:t>
            </w:r>
          </w:p>
        </w:tc>
        <w:tc>
          <w:tcPr>
            <w:tcW w:type="dxa" w:w="1440"/>
            <w:vAlign w:val="top"/>
          </w:tcPr>
          <w:p>
            <w:pPr>
              <w:spacing w:after="0"/>
            </w:pPr>
            <w:r/>
            <w:r>
              <w:rPr>
                <w:rFonts w:ascii="Arial" w:hAnsi="Arial" w:eastAsia="Arial"/>
                <w:b w:val="0"/>
                <w:sz w:val="18"/>
              </w:rPr>
              <w:t>10%</w:t>
            </w:r>
          </w:p>
        </w:tc>
        <w:tc>
          <w:tcPr>
            <w:tcW w:type="dxa" w:w="1872"/>
            <w:vAlign w:val="top"/>
          </w:tcPr>
          <w:p>
            <w:pPr>
              <w:spacing w:after="0"/>
            </w:pPr>
            <w:r/>
            <w:r>
              <w:rPr>
                <w:rFonts w:ascii="Arial" w:hAnsi="Arial" w:eastAsia="Arial"/>
                <w:b w:val="0"/>
                <w:sz w:val="18"/>
              </w:rPr>
              <w:t>20,000</w:t>
            </w:r>
          </w:p>
        </w:tc>
      </w:tr>
      <w:tr>
        <w:tc>
          <w:tcPr>
            <w:tcW w:type="dxa" w:w="6048"/>
            <w:vAlign w:val="top"/>
          </w:tcPr>
          <w:p>
            <w:pPr>
              <w:spacing w:after="0"/>
            </w:pPr>
            <w:r/>
            <w:r>
              <w:rPr>
                <w:rFonts w:ascii="Arial" w:hAnsi="Arial" w:eastAsia="Arial"/>
                <w:b w:val="0"/>
                <w:sz w:val="18"/>
              </w:rPr>
              <w:t>Third slab - additional Rs. 300,000</w:t>
            </w:r>
          </w:p>
        </w:tc>
        <w:tc>
          <w:tcPr>
            <w:tcW w:type="dxa" w:w="1440"/>
            <w:vAlign w:val="top"/>
          </w:tcPr>
          <w:p>
            <w:pPr>
              <w:spacing w:after="0"/>
            </w:pPr>
            <w:r/>
            <w:r>
              <w:rPr>
                <w:rFonts w:ascii="Arial" w:hAnsi="Arial" w:eastAsia="Arial"/>
                <w:b w:val="0"/>
                <w:sz w:val="18"/>
              </w:rPr>
              <w:t>20%</w:t>
            </w:r>
          </w:p>
        </w:tc>
        <w:tc>
          <w:tcPr>
            <w:tcW w:type="dxa" w:w="1872"/>
            <w:vAlign w:val="top"/>
          </w:tcPr>
          <w:p>
            <w:pPr>
              <w:spacing w:after="0"/>
            </w:pPr>
            <w:r/>
            <w:r>
              <w:rPr>
                <w:rFonts w:ascii="Arial" w:hAnsi="Arial" w:eastAsia="Arial"/>
                <w:b w:val="0"/>
                <w:sz w:val="18"/>
              </w:rPr>
              <w:t>60,000</w:t>
            </w:r>
          </w:p>
        </w:tc>
      </w:tr>
      <w:tr>
        <w:tc>
          <w:tcPr>
            <w:tcW w:type="dxa" w:w="6048"/>
            <w:vAlign w:val="top"/>
          </w:tcPr>
          <w:p>
            <w:pPr>
              <w:spacing w:after="0"/>
            </w:pPr>
            <w:r/>
            <w:r>
              <w:rPr>
                <w:rFonts w:ascii="Arial" w:hAnsi="Arial" w:eastAsia="Arial"/>
                <w:b w:val="0"/>
                <w:sz w:val="18"/>
              </w:rPr>
              <w:t>Fourth slab - additional Rs. 1,000,000 (30% - 10% = 20%) on Rs. 470,000</w:t>
            </w:r>
          </w:p>
        </w:tc>
        <w:tc>
          <w:tcPr>
            <w:tcW w:type="dxa" w:w="1440"/>
            <w:vAlign w:val="top"/>
          </w:tcPr>
          <w:p>
            <w:pPr>
              <w:spacing w:after="0"/>
            </w:pPr>
            <w:r/>
            <w:r>
              <w:rPr>
                <w:rFonts w:ascii="Arial" w:hAnsi="Arial" w:eastAsia="Arial"/>
                <w:b w:val="0"/>
                <w:sz w:val="18"/>
              </w:rPr>
              <w:t>20%</w:t>
            </w:r>
          </w:p>
        </w:tc>
        <w:tc>
          <w:tcPr>
            <w:tcW w:type="dxa" w:w="1872"/>
            <w:vAlign w:val="top"/>
          </w:tcPr>
          <w:p>
            <w:pPr>
              <w:spacing w:after="0"/>
            </w:pPr>
            <w:r/>
            <w:r>
              <w:rPr>
                <w:rFonts w:ascii="Arial" w:hAnsi="Arial" w:eastAsia="Arial"/>
                <w:b w:val="0"/>
                <w:sz w:val="18"/>
              </w:rPr>
              <w:t>94,000</w:t>
            </w:r>
          </w:p>
        </w:tc>
      </w:tr>
      <w:tr>
        <w:tc>
          <w:tcPr>
            <w:tcW w:type="dxa" w:w="6048"/>
            <w:vAlign w:val="top"/>
          </w:tcPr>
          <w:p>
            <w:pPr>
              <w:spacing w:after="0"/>
            </w:pPr>
            <w:r/>
            <w:r>
              <w:rPr>
                <w:rFonts w:ascii="Arial" w:hAnsi="Arial" w:eastAsia="Arial"/>
                <w:b w:val="0"/>
                <w:sz w:val="18"/>
              </w:rPr>
              <w:t>Total tax payable</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174,000</w:t>
            </w:r>
          </w:p>
        </w:tc>
      </w:tr>
    </w:tbl>
    <w:p/>
    <w:p>
      <w:pPr>
        <w:spacing w:after="80" w:line="252" w:lineRule="auto"/>
      </w:pPr>
      <w:r>
        <w:rPr>
          <w:rFonts w:ascii="Arial" w:hAnsi="Arial" w:eastAsia="Arial"/>
          <w:b w:val="0"/>
          <w:i w:val="0"/>
          <w:sz w:val="20"/>
        </w:rPr>
        <w:t>Section 11(3e): In an income year, tax concession on income from export from a source in Nepal shall be allowed as follows:</w:t>
      </w:r>
    </w:p>
    <w:p>
      <w:pPr>
        <w:spacing w:after="80" w:line="252" w:lineRule="auto"/>
      </w:pPr>
      <w:r>
        <w:rPr>
          <w:rFonts w:ascii="Arial" w:hAnsi="Arial" w:eastAsia="Arial"/>
          <w:b w:val="0"/>
          <w:i w:val="0"/>
          <w:sz w:val="20"/>
        </w:rPr>
        <w:t>(a) where tax at the rate of twenty percent is payable on the income of a resident natural person, twenty-five percent of such tax; and where tax at the rate of thirty percent is payable, fifty percent of such tax.</w:t>
      </w:r>
    </w:p>
    <w:p>
      <w:pPr>
        <w:spacing w:after="80" w:line="252" w:lineRule="auto"/>
      </w:pPr>
      <w:r>
        <w:rPr>
          <w:rFonts w:ascii="Arial" w:hAnsi="Arial" w:eastAsia="Arial"/>
          <w:b w:val="0"/>
          <w:i w:val="0"/>
          <w:sz w:val="20"/>
        </w:rPr>
        <w:t>The above provision is clarified in the example below.</w:t>
      </w:r>
    </w:p>
    <w:p>
      <w:pPr>
        <w:spacing w:after="80" w:line="252" w:lineRule="auto"/>
      </w:pPr>
      <w:r>
        <w:rPr>
          <w:rFonts w:ascii="Arial" w:hAnsi="Arial" w:eastAsia="Arial"/>
          <w:b/>
          <w:i w:val="0"/>
          <w:sz w:val="20"/>
        </w:rPr>
        <w:t>Example 11.5.2:</w:t>
      </w:r>
    </w:p>
    <w:p>
      <w:pPr>
        <w:spacing w:after="80" w:line="252" w:lineRule="auto"/>
      </w:pPr>
      <w:r>
        <w:rPr>
          <w:rFonts w:ascii="Arial" w:hAnsi="Arial" w:eastAsia="Arial"/>
          <w:b w:val="0"/>
          <w:i w:val="0"/>
          <w:sz w:val="20"/>
        </w:rPr>
        <w:t>Assume that the transaction income mentioned in Example 11.5.1 is income from export. In that case, the taxable income and tax for the year shall be as follows:</w:t>
      </w:r>
    </w:p>
    <w:tbl>
      <w:tblPr>
        <w:tblStyle w:val="TableGrid"/>
        <w:tblW w:type="auto" w:w="0"/>
        <w:jc w:val="center"/>
        <w:tblLayout w:type="autofit"/>
        <w:tblLook w:firstColumn="1" w:firstRow="1" w:lastColumn="0" w:lastRow="0" w:noHBand="0" w:noVBand="1" w:val="04A0"/>
      </w:tblPr>
      <w:tblGrid>
        <w:gridCol w:w="3408"/>
        <w:gridCol w:w="3408"/>
        <w:gridCol w:w="3408"/>
      </w:tblGrid>
      <w:tr>
        <w:tc>
          <w:tcPr>
            <w:tcW w:type="dxa" w:w="6048"/>
            <w:vAlign w:val="top"/>
            <w:shd w:fill="D9EAF7"/>
          </w:tcPr>
          <w:p>
            <w:pPr>
              <w:spacing w:after="0"/>
            </w:pPr>
            <w:r/>
            <w:r>
              <w:rPr>
                <w:rFonts w:ascii="Arial" w:hAnsi="Arial" w:eastAsia="Arial"/>
                <w:b/>
                <w:sz w:val="18"/>
              </w:rPr>
              <w:t>Particulars</w:t>
            </w:r>
          </w:p>
        </w:tc>
        <w:tc>
          <w:tcPr>
            <w:tcW w:type="dxa" w:w="1440"/>
            <w:vAlign w:val="top"/>
            <w:shd w:fill="D9EAF7"/>
          </w:tcPr>
          <w:p>
            <w:pPr>
              <w:spacing w:after="0"/>
            </w:pPr>
            <w:r/>
            <w:r>
              <w:rPr>
                <w:rFonts w:ascii="Arial" w:hAnsi="Arial" w:eastAsia="Arial"/>
                <w:b/>
                <w:sz w:val="18"/>
              </w:rPr>
              <w:t>Tax rate</w:t>
            </w:r>
          </w:p>
        </w:tc>
        <w:tc>
          <w:tcPr>
            <w:tcW w:type="dxa" w:w="1872"/>
            <w:vAlign w:val="top"/>
            <w:shd w:fill="D9EAF7"/>
          </w:tcPr>
          <w:p>
            <w:pPr>
              <w:spacing w:after="0"/>
            </w:pPr>
            <w:r/>
            <w:r>
              <w:rPr>
                <w:rFonts w:ascii="Arial" w:hAnsi="Arial" w:eastAsia="Arial"/>
                <w:b/>
                <w:sz w:val="18"/>
              </w:rPr>
              <w:t>Amount / Tax (Rs.)</w:t>
            </w:r>
          </w:p>
        </w:tc>
      </w:tr>
      <w:tr>
        <w:tc>
          <w:tcPr>
            <w:tcW w:type="dxa" w:w="6048"/>
            <w:vAlign w:val="top"/>
          </w:tcPr>
          <w:p>
            <w:pPr>
              <w:spacing w:after="0"/>
            </w:pPr>
            <w:r/>
            <w:r>
              <w:rPr>
                <w:rFonts w:ascii="Arial" w:hAnsi="Arial" w:eastAsia="Arial"/>
                <w:b w:val="0"/>
                <w:sz w:val="18"/>
              </w:rPr>
              <w:t>Turnover (amounts included in income)</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22,500,000</w:t>
            </w:r>
          </w:p>
        </w:tc>
      </w:tr>
      <w:tr>
        <w:tc>
          <w:tcPr>
            <w:tcW w:type="dxa" w:w="6048"/>
            <w:vAlign w:val="top"/>
          </w:tcPr>
          <w:p>
            <w:pPr>
              <w:spacing w:after="0"/>
            </w:pPr>
            <w:r/>
            <w:r>
              <w:rPr>
                <w:rFonts w:ascii="Arial" w:hAnsi="Arial" w:eastAsia="Arial"/>
                <w:b w:val="0"/>
                <w:sz w:val="18"/>
              </w:rPr>
              <w:t>Less: deductible amounts</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21,000,000</w:t>
            </w:r>
          </w:p>
        </w:tc>
      </w:tr>
      <w:tr>
        <w:tc>
          <w:tcPr>
            <w:tcW w:type="dxa" w:w="6048"/>
            <w:vAlign w:val="top"/>
          </w:tcPr>
          <w:p>
            <w:pPr>
              <w:spacing w:after="0"/>
            </w:pPr>
            <w:r/>
            <w:r>
              <w:rPr>
                <w:rFonts w:ascii="Arial" w:hAnsi="Arial" w:eastAsia="Arial"/>
                <w:b w:val="0"/>
                <w:sz w:val="18"/>
              </w:rPr>
              <w:t>Assessable income</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1,500,000</w:t>
            </w:r>
          </w:p>
        </w:tc>
      </w:tr>
      <w:tr>
        <w:tc>
          <w:tcPr>
            <w:tcW w:type="dxa" w:w="6048"/>
            <w:vAlign w:val="top"/>
          </w:tcPr>
          <w:p>
            <w:pPr>
              <w:spacing w:after="0"/>
            </w:pPr>
            <w:r/>
            <w:r>
              <w:rPr>
                <w:rFonts w:ascii="Arial" w:hAnsi="Arial" w:eastAsia="Arial"/>
                <w:b w:val="0"/>
                <w:sz w:val="18"/>
              </w:rPr>
              <w:t>Less: retirement contribution and donation</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0</w:t>
            </w:r>
          </w:p>
        </w:tc>
      </w:tr>
      <w:tr>
        <w:tc>
          <w:tcPr>
            <w:tcW w:type="dxa" w:w="6048"/>
            <w:vAlign w:val="top"/>
          </w:tcPr>
          <w:p>
            <w:pPr>
              <w:spacing w:after="0"/>
            </w:pPr>
            <w:r/>
            <w:r>
              <w:rPr>
                <w:rFonts w:ascii="Arial" w:hAnsi="Arial" w:eastAsia="Arial"/>
                <w:b w:val="0"/>
                <w:sz w:val="18"/>
              </w:rPr>
              <w:t>Taxable income</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1,500,000</w:t>
            </w:r>
          </w:p>
        </w:tc>
      </w:tr>
      <w:tr>
        <w:tc>
          <w:tcPr>
            <w:tcW w:type="dxa" w:w="6048"/>
            <w:vAlign w:val="top"/>
          </w:tcPr>
          <w:p>
            <w:pPr>
              <w:spacing w:after="0"/>
            </w:pPr>
            <w:r/>
            <w:r>
              <w:rPr>
                <w:rFonts w:ascii="Arial" w:hAnsi="Arial" w:eastAsia="Arial"/>
                <w:b w:val="0"/>
                <w:sz w:val="18"/>
              </w:rPr>
              <w:t>Less from taxable income: remote area facility for Category C area</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30,000</w:t>
            </w:r>
          </w:p>
        </w:tc>
      </w:tr>
      <w:tr>
        <w:tc>
          <w:tcPr>
            <w:tcW w:type="dxa" w:w="6048"/>
            <w:vAlign w:val="top"/>
          </w:tcPr>
          <w:p>
            <w:pPr>
              <w:spacing w:after="0"/>
            </w:pPr>
            <w:r/>
            <w:r>
              <w:rPr>
                <w:rFonts w:ascii="Arial" w:hAnsi="Arial" w:eastAsia="Arial"/>
                <w:b w:val="0"/>
                <w:sz w:val="18"/>
              </w:rPr>
              <w:t>Remaining taxable income</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1,470,000</w:t>
            </w:r>
          </w:p>
        </w:tc>
      </w:tr>
      <w:tr>
        <w:tc>
          <w:tcPr>
            <w:tcW w:type="dxa" w:w="6048"/>
            <w:vAlign w:val="top"/>
          </w:tcPr>
          <w:p>
            <w:pPr>
              <w:spacing w:after="0"/>
            </w:pPr>
            <w:r/>
            <w:r>
              <w:rPr>
                <w:rFonts w:ascii="Arial" w:hAnsi="Arial" w:eastAsia="Arial"/>
                <w:b w:val="0"/>
                <w:sz w:val="18"/>
              </w:rPr>
              <w:t>Tax computation</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r>
          </w:p>
        </w:tc>
      </w:tr>
      <w:tr>
        <w:tc>
          <w:tcPr>
            <w:tcW w:type="dxa" w:w="6048"/>
            <w:vAlign w:val="top"/>
          </w:tcPr>
          <w:p>
            <w:pPr>
              <w:spacing w:after="0"/>
            </w:pPr>
            <w:r/>
            <w:r>
              <w:rPr>
                <w:rFonts w:ascii="Arial" w:hAnsi="Arial" w:eastAsia="Arial"/>
                <w:b w:val="0"/>
                <w:sz w:val="18"/>
              </w:rPr>
              <w:t>First slab up to Rs. 500,000 - for taxpayer registered as sole proprietorship firm, no tax applies on natural person income</w:t>
            </w:r>
          </w:p>
        </w:tc>
        <w:tc>
          <w:tcPr>
            <w:tcW w:type="dxa" w:w="1440"/>
            <w:vAlign w:val="top"/>
          </w:tcPr>
          <w:p>
            <w:pPr>
              <w:spacing w:after="0"/>
            </w:pPr>
            <w:r/>
            <w:r>
              <w:rPr>
                <w:rFonts w:ascii="Arial" w:hAnsi="Arial" w:eastAsia="Arial"/>
                <w:b w:val="0"/>
                <w:sz w:val="18"/>
              </w:rPr>
              <w:t>1%</w:t>
            </w:r>
          </w:p>
        </w:tc>
        <w:tc>
          <w:tcPr>
            <w:tcW w:type="dxa" w:w="1872"/>
            <w:vAlign w:val="top"/>
          </w:tcPr>
          <w:p>
            <w:pPr>
              <w:spacing w:after="0"/>
            </w:pPr>
            <w:r/>
            <w:r>
              <w:rPr>
                <w:rFonts w:ascii="Arial" w:hAnsi="Arial" w:eastAsia="Arial"/>
                <w:b w:val="0"/>
                <w:sz w:val="18"/>
              </w:rPr>
              <w:t>0</w:t>
            </w:r>
          </w:p>
        </w:tc>
      </w:tr>
      <w:tr>
        <w:tc>
          <w:tcPr>
            <w:tcW w:type="dxa" w:w="6048"/>
            <w:vAlign w:val="top"/>
          </w:tcPr>
          <w:p>
            <w:pPr>
              <w:spacing w:after="0"/>
            </w:pPr>
            <w:r/>
            <w:r>
              <w:rPr>
                <w:rFonts w:ascii="Arial" w:hAnsi="Arial" w:eastAsia="Arial"/>
                <w:b w:val="0"/>
                <w:sz w:val="18"/>
              </w:rPr>
              <w:t>Second slab - additional Rs. 200,000</w:t>
            </w:r>
          </w:p>
        </w:tc>
        <w:tc>
          <w:tcPr>
            <w:tcW w:type="dxa" w:w="1440"/>
            <w:vAlign w:val="top"/>
          </w:tcPr>
          <w:p>
            <w:pPr>
              <w:spacing w:after="0"/>
            </w:pPr>
            <w:r/>
            <w:r>
              <w:rPr>
                <w:rFonts w:ascii="Arial" w:hAnsi="Arial" w:eastAsia="Arial"/>
                <w:b w:val="0"/>
                <w:sz w:val="18"/>
              </w:rPr>
              <w:t>10%</w:t>
            </w:r>
          </w:p>
        </w:tc>
        <w:tc>
          <w:tcPr>
            <w:tcW w:type="dxa" w:w="1872"/>
            <w:vAlign w:val="top"/>
          </w:tcPr>
          <w:p>
            <w:pPr>
              <w:spacing w:after="0"/>
            </w:pPr>
            <w:r/>
            <w:r>
              <w:rPr>
                <w:rFonts w:ascii="Arial" w:hAnsi="Arial" w:eastAsia="Arial"/>
                <w:b w:val="0"/>
                <w:sz w:val="18"/>
              </w:rPr>
              <w:t>20,000</w:t>
            </w:r>
          </w:p>
        </w:tc>
      </w:tr>
      <w:tr>
        <w:tc>
          <w:tcPr>
            <w:tcW w:type="dxa" w:w="6048"/>
            <w:vAlign w:val="top"/>
          </w:tcPr>
          <w:p>
            <w:pPr>
              <w:spacing w:after="0"/>
            </w:pPr>
            <w:r/>
            <w:r>
              <w:rPr>
                <w:rFonts w:ascii="Arial" w:hAnsi="Arial" w:eastAsia="Arial"/>
                <w:b w:val="0"/>
                <w:sz w:val="18"/>
              </w:rPr>
              <w:t>Third slab - additional Rs. 300,000 (20% - 5% = 15%)</w:t>
            </w:r>
          </w:p>
        </w:tc>
        <w:tc>
          <w:tcPr>
            <w:tcW w:type="dxa" w:w="1440"/>
            <w:vAlign w:val="top"/>
          </w:tcPr>
          <w:p>
            <w:pPr>
              <w:spacing w:after="0"/>
            </w:pPr>
            <w:r/>
            <w:r>
              <w:rPr>
                <w:rFonts w:ascii="Arial" w:hAnsi="Arial" w:eastAsia="Arial"/>
                <w:b w:val="0"/>
                <w:sz w:val="18"/>
              </w:rPr>
              <w:t>15%</w:t>
            </w:r>
          </w:p>
        </w:tc>
        <w:tc>
          <w:tcPr>
            <w:tcW w:type="dxa" w:w="1872"/>
            <w:vAlign w:val="top"/>
          </w:tcPr>
          <w:p>
            <w:pPr>
              <w:spacing w:after="0"/>
            </w:pPr>
            <w:r/>
            <w:r>
              <w:rPr>
                <w:rFonts w:ascii="Arial" w:hAnsi="Arial" w:eastAsia="Arial"/>
                <w:b w:val="0"/>
                <w:sz w:val="18"/>
              </w:rPr>
              <w:t>45,000</w:t>
            </w:r>
          </w:p>
        </w:tc>
      </w:tr>
      <w:tr>
        <w:tc>
          <w:tcPr>
            <w:tcW w:type="dxa" w:w="6048"/>
            <w:vAlign w:val="top"/>
          </w:tcPr>
          <w:p>
            <w:pPr>
              <w:spacing w:after="0"/>
            </w:pPr>
            <w:r/>
            <w:r>
              <w:rPr>
                <w:rFonts w:ascii="Arial" w:hAnsi="Arial" w:eastAsia="Arial"/>
                <w:b w:val="0"/>
                <w:sz w:val="18"/>
              </w:rPr>
              <w:t>Fourth slab - additional Rs. 1,000,000 (30% - 15% = 15%) on Rs. 470,000</w:t>
            </w:r>
          </w:p>
        </w:tc>
        <w:tc>
          <w:tcPr>
            <w:tcW w:type="dxa" w:w="1440"/>
            <w:vAlign w:val="top"/>
          </w:tcPr>
          <w:p>
            <w:pPr>
              <w:spacing w:after="0"/>
            </w:pPr>
            <w:r/>
            <w:r>
              <w:rPr>
                <w:rFonts w:ascii="Arial" w:hAnsi="Arial" w:eastAsia="Arial"/>
                <w:b w:val="0"/>
                <w:sz w:val="18"/>
              </w:rPr>
              <w:t>15%</w:t>
            </w:r>
          </w:p>
        </w:tc>
        <w:tc>
          <w:tcPr>
            <w:tcW w:type="dxa" w:w="1872"/>
            <w:vAlign w:val="top"/>
          </w:tcPr>
          <w:p>
            <w:pPr>
              <w:spacing w:after="0"/>
            </w:pPr>
            <w:r/>
            <w:r>
              <w:rPr>
                <w:rFonts w:ascii="Arial" w:hAnsi="Arial" w:eastAsia="Arial"/>
                <w:b w:val="0"/>
                <w:sz w:val="18"/>
              </w:rPr>
              <w:t>70,500</w:t>
            </w:r>
          </w:p>
        </w:tc>
      </w:tr>
      <w:tr>
        <w:tc>
          <w:tcPr>
            <w:tcW w:type="dxa" w:w="6048"/>
            <w:vAlign w:val="top"/>
          </w:tcPr>
          <w:p>
            <w:pPr>
              <w:spacing w:after="0"/>
            </w:pPr>
            <w:r/>
            <w:r>
              <w:rPr>
                <w:rFonts w:ascii="Arial" w:hAnsi="Arial" w:eastAsia="Arial"/>
                <w:b w:val="0"/>
                <w:sz w:val="18"/>
              </w:rPr>
              <w:t>Total tax payable</w:t>
            </w:r>
          </w:p>
        </w:tc>
        <w:tc>
          <w:tcPr>
            <w:tcW w:type="dxa" w:w="1440"/>
            <w:vAlign w:val="top"/>
          </w:tcPr>
          <w:p>
            <w:pPr>
              <w:spacing w:after="0"/>
            </w:pPr>
            <w:r/>
            <w:r>
              <w:rPr>
                <w:rFonts w:ascii="Arial" w:hAnsi="Arial" w:eastAsia="Arial"/>
                <w:b w:val="0"/>
                <w:sz w:val="18"/>
              </w:rPr>
            </w:r>
          </w:p>
        </w:tc>
        <w:tc>
          <w:tcPr>
            <w:tcW w:type="dxa" w:w="1872"/>
            <w:vAlign w:val="top"/>
          </w:tcPr>
          <w:p>
            <w:pPr>
              <w:spacing w:after="0"/>
            </w:pPr>
            <w:r/>
            <w:r>
              <w:rPr>
                <w:rFonts w:ascii="Arial" w:hAnsi="Arial" w:eastAsia="Arial"/>
                <w:b w:val="0"/>
                <w:sz w:val="18"/>
              </w:rPr>
              <w:t>135,500</w:t>
            </w:r>
          </w:p>
        </w:tc>
      </w:tr>
    </w:tbl>
    <w:p/>
    <w:p>
      <w:pPr>
        <w:spacing w:after="80" w:line="252" w:lineRule="auto"/>
      </w:pPr>
      <w:r>
        <w:rPr>
          <w:rFonts w:ascii="Arial" w:hAnsi="Arial" w:eastAsia="Arial"/>
          <w:b w:val="0"/>
          <w:i w:val="0"/>
          <w:sz w:val="20"/>
        </w:rPr>
        <w:t>Note: The tax rates applicable to natural persons are mentioned in Chapter 23, Computation of Tax, of this Directive.</w:t>
      </w:r>
    </w:p>
    <w:p>
      <w:r>
        <w:br w:type="page"/>
      </w:r>
    </w:p>
    <w:p>
      <w:pPr>
        <w:spacing w:after="80" w:line="252" w:lineRule="auto"/>
        <w:jc w:val="center"/>
      </w:pPr>
      <w:r>
        <w:rPr>
          <w:rFonts w:ascii="Arial" w:hAnsi="Arial" w:eastAsia="Arial"/>
          <w:b/>
          <w:i w:val="0"/>
          <w:sz w:val="20"/>
        </w:rPr>
        <w:t>Income Tax Directive, 2066 (with Fifth Amendment, 2081)</w:t>
      </w:r>
    </w:p>
    <w:p>
      <w:pPr>
        <w:spacing w:after="80" w:line="252" w:lineRule="auto"/>
        <w:jc w:val="center"/>
      </w:pPr>
      <w:r>
        <w:rPr>
          <w:rFonts w:ascii="Arial" w:hAnsi="Arial" w:eastAsia="Arial"/>
          <w:b/>
          <w:i w:val="0"/>
          <w:sz w:val="20"/>
        </w:rPr>
        <w:t>English Translation - Part 12</w:t>
      </w:r>
    </w:p>
    <w:p>
      <w:pPr>
        <w:spacing w:after="80" w:line="252" w:lineRule="auto"/>
        <w:jc w:val="center"/>
      </w:pPr>
      <w:r>
        <w:rPr>
          <w:rFonts w:ascii="Arial" w:hAnsi="Arial" w:eastAsia="Arial"/>
          <w:b/>
          <w:i w:val="0"/>
          <w:sz w:val="20"/>
        </w:rPr>
        <w:t>Chapter 12: Retirement Fund</w:t>
      </w:r>
    </w:p>
    <w:p>
      <w:pPr>
        <w:spacing w:after="80" w:line="252" w:lineRule="auto"/>
        <w:jc w:val="center"/>
      </w:pPr>
      <w:r>
        <w:rPr>
          <w:rFonts w:ascii="Arial" w:hAnsi="Arial" w:eastAsia="Arial"/>
          <w:b w:val="0"/>
          <w:i/>
          <w:sz w:val="20"/>
        </w:rPr>
        <w:t>Source pages: Directive pages 163-177</w:t>
      </w:r>
    </w:p>
    <w:p>
      <w:pPr>
        <w:spacing w:after="80" w:line="252" w:lineRule="auto"/>
      </w:pPr>
      <w:r>
        <w:rPr>
          <w:rFonts w:ascii="Arial" w:hAnsi="Arial" w:eastAsia="Arial"/>
          <w:b w:val="0"/>
          <w:i/>
          <w:sz w:val="20"/>
        </w:rPr>
        <w:t>Note: This translation preserves the meaning, sequence, section numbering, examples and tabular presentation of the Nepali directive as far as practicable in Word format. Statutory expressions such as retirement fund, approved retirement fund, retirement contribution, retirement payment, beneficiary, assessable income, taxable income and final withholding payment have been aligned with the official English terminology of the Income Tax Act, 2002 (2058) where applicable.</w:t>
      </w:r>
    </w:p>
    <w:p>
      <w:pPr>
        <w:pStyle w:val="Heading1"/>
      </w:pPr>
      <w:r>
        <w:t>Chapter 12</w:t>
      </w:r>
    </w:p>
    <w:p>
      <w:pPr>
        <w:pStyle w:val="Heading2"/>
      </w:pPr>
      <w:r>
        <w:t>Retirement Fund</w:t>
      </w:r>
    </w:p>
    <w:p>
      <w:pPr>
        <w:pStyle w:val="Heading2"/>
      </w:pPr>
      <w:r>
        <w:t>12.1 General</w:t>
      </w:r>
    </w:p>
    <w:p>
      <w:pPr>
        <w:spacing w:after="80" w:line="252" w:lineRule="auto"/>
      </w:pPr>
      <w:r>
        <w:rPr>
          <w:rFonts w:ascii="Arial" w:hAnsi="Arial" w:eastAsia="Arial"/>
          <w:b w:val="0"/>
          <w:i w:val="0"/>
          <w:sz w:val="20"/>
        </w:rPr>
        <w:t>Among the various types of investment, an investment made in a retirement fund is also one type of investment. Because the return obtained from it is a payment connected with social security, the law has made provision for tax concession as a special facility to encourage retirement savings.</w:t>
      </w:r>
    </w:p>
    <w:p>
      <w:pPr>
        <w:spacing w:after="80" w:line="252" w:lineRule="auto"/>
      </w:pPr>
      <w:r>
        <w:rPr>
          <w:rFonts w:ascii="Arial" w:hAnsi="Arial" w:eastAsia="Arial"/>
          <w:b w:val="0"/>
          <w:i w:val="0"/>
          <w:sz w:val="20"/>
        </w:rPr>
        <w:t>The Income Tax Act, 2031 had included in the concept of retirement fund only contributions made to the provident fund and, to a limited extent, to the Citizen Investment Trust. Under that Act, gratuity, pension, accumulated leave, medical treatment expenditure, Dashain expenses, amounts paid from provident fund and the retirement fund itself (the entity managing the retirement fund) were not subject to tax. Before the present Act came into force, the provision relating to retirement savings applied only in relation to remuneration income.</w:t>
      </w:r>
    </w:p>
    <w:p>
      <w:pPr>
        <w:spacing w:after="80" w:line="252" w:lineRule="auto"/>
      </w:pPr>
      <w:r>
        <w:rPr>
          <w:rFonts w:ascii="Arial" w:hAnsi="Arial" w:eastAsia="Arial"/>
          <w:b w:val="0"/>
          <w:i w:val="0"/>
          <w:sz w:val="20"/>
        </w:rPr>
        <w:t>The Income Tax Act, 2058 has made special provisions relating to retirement savings. Under this Act, the provisions relating to retirement savings apply not only to a person earning employment income but also to a natural person earning business income or investment income. Accordingly, a natural person may claim retirement contributions as a reduction while computing taxable income from employment, business or investment, subject to the Act and the Rules. The main objective of this chapter is to clarify the provisions relating to retirement fund, retirement payment and tax treatment of a retirement fund.</w:t>
      </w:r>
    </w:p>
    <w:p>
      <w:pPr>
        <w:pStyle w:val="Heading2"/>
      </w:pPr>
      <w:r>
        <w:t>12.2 Retirement Fund</w:t>
      </w:r>
    </w:p>
    <w:p>
      <w:pPr>
        <w:spacing w:after="80" w:line="252" w:lineRule="auto"/>
      </w:pPr>
      <w:r>
        <w:rPr>
          <w:rFonts w:ascii="Arial" w:hAnsi="Arial" w:eastAsia="Arial"/>
          <w:b w:val="0"/>
          <w:i w:val="0"/>
          <w:sz w:val="20"/>
        </w:rPr>
        <w:t>Under clause (d) of Section 2 of the Act, "retirement fund" means an entity established only with the objective of accepting retirement contribution amounts and investing those amounts for the purpose of providing retirement payments from the fund to a natural person who is a beneficiary of the entity or to the dependant of that person.</w:t>
      </w:r>
    </w:p>
    <w:p>
      <w:pPr>
        <w:spacing w:after="80" w:line="252" w:lineRule="auto"/>
      </w:pPr>
      <w:r>
        <w:rPr>
          <w:rFonts w:ascii="Arial" w:hAnsi="Arial" w:eastAsia="Arial"/>
          <w:b w:val="0"/>
          <w:i w:val="0"/>
          <w:sz w:val="20"/>
        </w:rPr>
        <w:t>An entity operated only for the purpose of administering a retirement fund is called a retirement fund. Such a retirement fund may perform only the following functions:</w:t>
      </w:r>
    </w:p>
    <w:p>
      <w:pPr>
        <w:spacing w:after="80" w:line="252" w:lineRule="auto"/>
      </w:pPr>
      <w:r>
        <w:rPr>
          <w:rFonts w:ascii="Arial" w:hAnsi="Arial" w:eastAsia="Arial"/>
          <w:b w:val="0"/>
          <w:i w:val="0"/>
          <w:sz w:val="20"/>
        </w:rPr>
        <w:t>(1) accepting retirement contributions where a natural person, or any other person on behalf of that natural person, deposits retirement contributions in the entity;</w:t>
      </w:r>
    </w:p>
    <w:p>
      <w:pPr>
        <w:spacing w:after="80" w:line="252" w:lineRule="auto"/>
      </w:pPr>
      <w:r>
        <w:rPr>
          <w:rFonts w:ascii="Arial" w:hAnsi="Arial" w:eastAsia="Arial"/>
          <w:b w:val="0"/>
          <w:i w:val="0"/>
          <w:sz w:val="20"/>
        </w:rPr>
        <w:t>(2) making retirement payment to the person who deposits the contribution, that is, the beneficiary, or to the dependant of that beneficiary after retirement, death or after the beneficiary attains the age of 58 years; and</w:t>
      </w:r>
    </w:p>
    <w:p>
      <w:pPr>
        <w:spacing w:after="80" w:line="252" w:lineRule="auto"/>
      </w:pPr>
      <w:r>
        <w:rPr>
          <w:rFonts w:ascii="Arial" w:hAnsi="Arial" w:eastAsia="Arial"/>
          <w:b w:val="0"/>
          <w:i w:val="0"/>
          <w:sz w:val="20"/>
        </w:rPr>
        <w:t>(3) investing the accumulated retirement contributions in approved investments.</w:t>
      </w:r>
    </w:p>
    <w:p>
      <w:pPr>
        <w:spacing w:after="80" w:line="252" w:lineRule="auto"/>
      </w:pPr>
      <w:r>
        <w:rPr>
          <w:rFonts w:ascii="Arial" w:hAnsi="Arial" w:eastAsia="Arial"/>
          <w:b w:val="0"/>
          <w:i w:val="0"/>
          <w:sz w:val="20"/>
        </w:rPr>
        <w:t>Examples of retirement funds include the Employees Provident Fund, Social Security Fund, Pension Fund, retirement funds operated by the Citizen Investment Trust, entities licensed by the Department to operate a retirement fund, and entities operating without obtaining such licence. Entities such as retirement funds operated by entities licensed by the Department, the Employees Provident Fund, Social Security Fund, Pension Fund and the Citizen Investment Trust are called approved retirement funds. Retirement funds operated without obtaining approval from the Department are called unapproved retirement funds. A natural person who is a beneficiary of an entity means a natural person who has a right to receive income or capital from that entity, for example, a natural person who deposits retirement contribution in the entity.</w:t>
      </w:r>
    </w:p>
    <w:p>
      <w:pPr>
        <w:pStyle w:val="Heading2"/>
      </w:pPr>
      <w:r>
        <w:t>12.3 Approval of Retirement Fund</w:t>
      </w:r>
    </w:p>
    <w:p>
      <w:pPr>
        <w:pStyle w:val="Heading3"/>
      </w:pPr>
      <w:r>
        <w:t>12.3.1 Approval under Section 63 of the Act</w:t>
      </w:r>
    </w:p>
    <w:p>
      <w:pPr>
        <w:spacing w:after="80" w:line="252" w:lineRule="auto"/>
      </w:pPr>
      <w:r>
        <w:rPr>
          <w:rFonts w:ascii="Arial" w:hAnsi="Arial" w:eastAsia="Arial"/>
          <w:b w:val="0"/>
          <w:i w:val="0"/>
          <w:sz w:val="20"/>
        </w:rPr>
        <w:t>Section 63 of the Act makes the following provisions regarding approval of a retirement fund:</w:t>
      </w:r>
    </w:p>
    <w:p>
      <w:pPr>
        <w:spacing w:after="80" w:line="252" w:lineRule="auto"/>
      </w:pPr>
      <w:r>
        <w:rPr>
          <w:rFonts w:ascii="Arial" w:hAnsi="Arial" w:eastAsia="Arial"/>
          <w:b w:val="0"/>
          <w:i w:val="0"/>
          <w:sz w:val="20"/>
        </w:rPr>
        <w:t>63(1) Where a resident person intending to operate a retirement fund makes an application to the Department for approval to operate the retirement fund, the Department shall grant approval as prescribed.</w:t>
      </w:r>
    </w:p>
    <w:p>
      <w:pPr>
        <w:spacing w:after="80" w:line="252" w:lineRule="auto"/>
      </w:pPr>
      <w:r>
        <w:rPr>
          <w:rFonts w:ascii="Arial" w:hAnsi="Arial" w:eastAsia="Arial"/>
          <w:b w:val="0"/>
          <w:i w:val="0"/>
          <w:sz w:val="20"/>
        </w:rPr>
        <w:t>Provided that, where the Citizen Investment Trust established under the Citizen Investment Trust Act, 2047, or the Social Security Fund established under the Contribution-based Social Security Fund Act, 2074 intends to operate a retirement fund, or where the Employees Provident Fund established under the Employees Provident Fund Act, 2019 or the Pension Fund established under the Pension Fund Act, 2075 operates a retirement fund, approval is not required for such fund.</w:t>
      </w:r>
    </w:p>
    <w:p>
      <w:pPr>
        <w:spacing w:after="80" w:line="252" w:lineRule="auto"/>
      </w:pPr>
      <w:r>
        <w:rPr>
          <w:rFonts w:ascii="Arial" w:hAnsi="Arial" w:eastAsia="Arial"/>
          <w:b w:val="0"/>
          <w:i w:val="0"/>
          <w:sz w:val="20"/>
        </w:rPr>
        <w:t>63(2) A natural person who is a beneficiary of an approved retirement fund may claim a reduction, while computing taxable income, for retirement contributions made to that fund in an income year.</w:t>
      </w:r>
    </w:p>
    <w:p>
      <w:pPr>
        <w:spacing w:after="80" w:line="252" w:lineRule="auto"/>
      </w:pPr>
      <w:r>
        <w:rPr>
          <w:rFonts w:ascii="Arial" w:hAnsi="Arial" w:eastAsia="Arial"/>
          <w:b w:val="0"/>
          <w:i w:val="0"/>
          <w:sz w:val="20"/>
        </w:rPr>
        <w:t>63(3) Notwithstanding anything contained in subsection (2), the amount claimed as a reduction by a person in any income year under that subsection shall not exceed the prescribed limit for retirement contributions.</w:t>
      </w:r>
    </w:p>
    <w:p>
      <w:pPr>
        <w:spacing w:after="80" w:line="252" w:lineRule="auto"/>
      </w:pPr>
      <w:r>
        <w:rPr>
          <w:rFonts w:ascii="Arial" w:hAnsi="Arial" w:eastAsia="Arial"/>
          <w:b w:val="0"/>
          <w:i w:val="0"/>
          <w:sz w:val="20"/>
        </w:rPr>
        <w:t>To become an approved retirement fund, retirement funds other than retirement funds operated by the Employees Provident Fund and Citizen Investment Trust referred to above, the Social Security Fund established under the Social Security Fund Act, 2074 and the Pension Fund established under the Pension Fund Act, 2075 must apply to the Department. The Department may grant approval on the application subject to Rule 20(2). Rule 20(2) specifies the necessary conditions for approval of a retirement fund as follows:</w:t>
      </w:r>
    </w:p>
    <w:p>
      <w:pPr>
        <w:pStyle w:val="Heading4"/>
      </w:pPr>
      <w:r>
        <w:t>Clause (a): Amounts deposited in or received by the retirement fund must be invested only in approved investments.</w:t>
      </w:r>
    </w:p>
    <w:p>
      <w:pPr>
        <w:spacing w:after="80" w:line="252" w:lineRule="auto"/>
      </w:pPr>
      <w:r>
        <w:rPr>
          <w:rFonts w:ascii="Arial" w:hAnsi="Arial" w:eastAsia="Arial"/>
          <w:b w:val="0"/>
          <w:i w:val="0"/>
          <w:sz w:val="20"/>
        </w:rPr>
        <w:t>A retirement fund must invest only in approved investments the amounts deposited by a beneficiary, by any other person on behalf of a beneficiary (for example, an employer), or by any other natural person for himself or herself. As per the explanation in Rule 20, approved investment means the following investments:</w:t>
      </w:r>
    </w:p>
    <w:p>
      <w:pPr>
        <w:spacing w:after="80" w:line="252" w:lineRule="auto"/>
      </w:pPr>
      <w:r>
        <w:rPr>
          <w:rFonts w:ascii="Arial" w:hAnsi="Arial" w:eastAsia="Arial"/>
          <w:b w:val="0"/>
          <w:i w:val="0"/>
          <w:sz w:val="20"/>
        </w:rPr>
        <w:t>(a) investment made in the Citizen Investment Trust established under the prevailing law;</w:t>
      </w:r>
    </w:p>
    <w:p>
      <w:pPr>
        <w:spacing w:after="80" w:line="252" w:lineRule="auto"/>
      </w:pPr>
      <w:r>
        <w:rPr>
          <w:rFonts w:ascii="Arial" w:hAnsi="Arial" w:eastAsia="Arial"/>
          <w:b w:val="0"/>
          <w:i w:val="0"/>
          <w:sz w:val="20"/>
        </w:rPr>
        <w:t>(b) investment made in bonds issued by the Government of Nepal;</w:t>
      </w:r>
    </w:p>
    <w:p>
      <w:pPr>
        <w:spacing w:after="80" w:line="252" w:lineRule="auto"/>
      </w:pPr>
      <w:r>
        <w:rPr>
          <w:rFonts w:ascii="Arial" w:hAnsi="Arial" w:eastAsia="Arial"/>
          <w:b w:val="0"/>
          <w:i w:val="0"/>
          <w:sz w:val="20"/>
        </w:rPr>
        <w:t>(c) investment made in banks operated under the prevailing law relating to banks;</w:t>
      </w:r>
    </w:p>
    <w:p>
      <w:pPr>
        <w:spacing w:after="80" w:line="252" w:lineRule="auto"/>
      </w:pPr>
      <w:r>
        <w:rPr>
          <w:rFonts w:ascii="Arial" w:hAnsi="Arial" w:eastAsia="Arial"/>
          <w:b w:val="0"/>
          <w:i w:val="0"/>
          <w:sz w:val="20"/>
        </w:rPr>
        <w:t>(d) investment made on the basis of co-financing with banks; and</w:t>
      </w:r>
    </w:p>
    <w:p>
      <w:pPr>
        <w:spacing w:after="80" w:line="252" w:lineRule="auto"/>
      </w:pPr>
      <w:r>
        <w:rPr>
          <w:rFonts w:ascii="Arial" w:hAnsi="Arial" w:eastAsia="Arial"/>
          <w:b w:val="0"/>
          <w:i w:val="0"/>
          <w:sz w:val="20"/>
        </w:rPr>
        <w:t>(e) investment made to beneficiaries other than the shareholders of the fund.</w:t>
      </w:r>
    </w:p>
    <w:p>
      <w:pPr>
        <w:spacing w:after="80" w:line="252" w:lineRule="auto"/>
      </w:pPr>
      <w:r>
        <w:rPr>
          <w:rFonts w:ascii="Arial" w:hAnsi="Arial" w:eastAsia="Arial"/>
          <w:b/>
          <w:i w:val="0"/>
          <w:sz w:val="20"/>
        </w:rPr>
        <w:t>Example 12.3.1:</w:t>
      </w:r>
    </w:p>
    <w:p>
      <w:pPr>
        <w:spacing w:after="80" w:line="252" w:lineRule="auto"/>
      </w:pPr>
      <w:r>
        <w:rPr>
          <w:rFonts w:ascii="Arial" w:hAnsi="Arial" w:eastAsia="Arial"/>
          <w:b w:val="0"/>
          <w:i w:val="0"/>
          <w:sz w:val="20"/>
        </w:rPr>
        <w:t>Assume that the Nepal Rastra Bank Employees Retirement Fund has been operating a retirement fund for the employees of Nepal Rastra Bank. Employees working in Nepal Rastra Bank have been making retirement contributions to the fund. The Department may grant approval to that entity subject to the condition that the fund invests the retirement contributions so received only in the approved sectors referred to in clauses (a) to (e) above.</w:t>
      </w:r>
    </w:p>
    <w:p>
      <w:pPr>
        <w:pStyle w:val="Heading4"/>
      </w:pPr>
      <w:r>
        <w:t>Clauses (a1) and (a2): Paid-up capital and minimum number of beneficiaries</w:t>
      </w:r>
    </w:p>
    <w:p>
      <w:pPr>
        <w:spacing w:after="80" w:line="252" w:lineRule="auto"/>
      </w:pPr>
      <w:r>
        <w:rPr>
          <w:rFonts w:ascii="Arial" w:hAnsi="Arial" w:eastAsia="Arial"/>
          <w:b w:val="0"/>
          <w:i w:val="0"/>
          <w:sz w:val="20"/>
        </w:rPr>
        <w:t>Clause (a1) requires paid-up capital of at least ten million rupees. Clause (a2) requires that the number of beneficiary workers or employees of the entity operating the retirement fund must be at least one thousand.</w:t>
      </w:r>
    </w:p>
    <w:p>
      <w:pPr>
        <w:spacing w:after="80" w:line="252" w:lineRule="auto"/>
      </w:pPr>
      <w:r>
        <w:rPr>
          <w:rFonts w:ascii="Arial" w:hAnsi="Arial" w:eastAsia="Arial"/>
          <w:b w:val="0"/>
          <w:i w:val="0"/>
          <w:sz w:val="20"/>
        </w:rPr>
        <w:t>A retirement fund that seeks approval from the Department as an approved retirement fund must have its own paid-up capital and such capital must be at least ten million rupees. A retirement fund applying for approval must have at least one thousand persons contributing to the retirement fund for operation as an approved retirement fund. Here, beneficiary workers or employees means employees, workers or any other natural persons who make contributions to the retirement fund.</w:t>
      </w:r>
    </w:p>
    <w:p>
      <w:pPr>
        <w:pStyle w:val="Heading4"/>
      </w:pPr>
      <w:r>
        <w:t>Clause (b): Independent management where employer contributions are accepted</w:t>
      </w:r>
    </w:p>
    <w:p>
      <w:pPr>
        <w:spacing w:after="80" w:line="252" w:lineRule="auto"/>
      </w:pPr>
      <w:r>
        <w:rPr>
          <w:rFonts w:ascii="Arial" w:hAnsi="Arial" w:eastAsia="Arial"/>
          <w:b w:val="0"/>
          <w:i w:val="0"/>
          <w:sz w:val="20"/>
        </w:rPr>
        <w:t>Where the retirement fund accepts retirement contributions from an employer on behalf of employees or workers, the management of such fund must be independent from the employer. However, this clause does not apply in the case of employees or workers of that same retirement fund.</w:t>
      </w:r>
    </w:p>
    <w:p>
      <w:pPr>
        <w:spacing w:after="80" w:line="252" w:lineRule="auto"/>
      </w:pPr>
      <w:r>
        <w:rPr>
          <w:rFonts w:ascii="Arial" w:hAnsi="Arial" w:eastAsia="Arial"/>
          <w:b w:val="0"/>
          <w:i w:val="0"/>
          <w:sz w:val="20"/>
        </w:rPr>
        <w:t>For example, retirement contributions of employees of the Government of Nepal are deposited in the Employees Provident Fund through the relevant office (employer). The management of the Employees Provident Fund is independent. Even though that fund also accepts retirement contributions of its own employees, the management of that fund is regarded as independent from the employer.</w:t>
      </w:r>
    </w:p>
    <w:p>
      <w:pPr>
        <w:spacing w:after="80" w:line="252" w:lineRule="auto"/>
      </w:pPr>
      <w:r>
        <w:rPr>
          <w:rFonts w:ascii="Arial" w:hAnsi="Arial" w:eastAsia="Arial"/>
          <w:b/>
          <w:i w:val="0"/>
          <w:sz w:val="20"/>
        </w:rPr>
        <w:t>Example 12.3.2:</w:t>
      </w:r>
    </w:p>
    <w:p>
      <w:pPr>
        <w:spacing w:after="80" w:line="252" w:lineRule="auto"/>
      </w:pPr>
      <w:r>
        <w:rPr>
          <w:rFonts w:ascii="Arial" w:hAnsi="Arial" w:eastAsia="Arial"/>
          <w:b w:val="0"/>
          <w:i w:val="0"/>
          <w:sz w:val="20"/>
        </w:rPr>
        <w:t>Assume that the Rastriya Banijya Bank Retirement Fund operates a retirement fund only for accepting retirement contributions of the employees of Rastriya Banijya Bank. The retirement fund has prepared a separate by-law for its operation and has formed a management committee to operate the fund. If the management committee includes representation of bank management and employees, the fund has no liability towards the bank, and the financial statements of the fund are separately audited by an approved auditor, the management of that fund shall be considered to be independent from the employer.</w:t>
      </w:r>
    </w:p>
    <w:p>
      <w:pPr>
        <w:pStyle w:val="Heading4"/>
      </w:pPr>
      <w:r>
        <w:t>Clause (c): Time limit for deposit of retirement contribution</w:t>
      </w:r>
    </w:p>
    <w:p>
      <w:pPr>
        <w:spacing w:after="80" w:line="252" w:lineRule="auto"/>
      </w:pPr>
      <w:r>
        <w:rPr>
          <w:rFonts w:ascii="Arial" w:hAnsi="Arial" w:eastAsia="Arial"/>
          <w:b w:val="0"/>
          <w:i w:val="0"/>
          <w:sz w:val="20"/>
        </w:rPr>
        <w:t>Where a retirement contribution amount is recorded as an expense in the month of Ashad, it must be deposited in the retirement fund within one month from the date of recording the expense. In respect of other months, it must be deposited in the retirement fund within fifteen days from the date of recording the expense.</w:t>
      </w:r>
    </w:p>
    <w:p>
      <w:pPr>
        <w:spacing w:after="80" w:line="252" w:lineRule="auto"/>
      </w:pPr>
      <w:r>
        <w:rPr>
          <w:rFonts w:ascii="Arial" w:hAnsi="Arial" w:eastAsia="Arial"/>
          <w:b/>
          <w:i w:val="0"/>
          <w:sz w:val="20"/>
        </w:rPr>
        <w:t>Example 12.3.3:</w:t>
      </w:r>
    </w:p>
    <w:p>
      <w:pPr>
        <w:spacing w:after="80" w:line="252" w:lineRule="auto"/>
      </w:pPr>
      <w:r>
        <w:rPr>
          <w:rFonts w:ascii="Arial" w:hAnsi="Arial" w:eastAsia="Arial"/>
          <w:b w:val="0"/>
          <w:i w:val="0"/>
          <w:sz w:val="20"/>
        </w:rPr>
        <w:t>Assume that Compass Nepal Ltd. Retirement Fund operates a retirement fund for the workers and employees of Compass Nepal Ltd. That retirement fund is an approved retirement fund of the Department. If Compass Nepal Ltd. records Rs. 100,000 as retirement contribution expense for its workers and employees in the profit and loss account in Ashad and records it as a liability payable, that amount must be deposited in the retirement fund within the month of Shrawan, that is, within one month. Similarly, the amount recorded as expense while distributing remuneration for the month of Jestha must be deposited in the retirement fund by the 15th day of Ashad.</w:t>
      </w:r>
    </w:p>
    <w:p>
      <w:pPr>
        <w:pStyle w:val="Heading4"/>
      </w:pPr>
      <w:r>
        <w:t>Clause (d): Circumstances in which retirement payment may be made</w:t>
      </w:r>
    </w:p>
    <w:p>
      <w:pPr>
        <w:spacing w:after="80" w:line="252" w:lineRule="auto"/>
      </w:pPr>
      <w:r>
        <w:rPr>
          <w:rFonts w:ascii="Arial" w:hAnsi="Arial" w:eastAsia="Arial"/>
          <w:b w:val="0"/>
          <w:i w:val="0"/>
          <w:sz w:val="20"/>
        </w:rPr>
        <w:t>Retirement payment may be made to the beneficiary of a retirement fund only in the following circumstances:</w:t>
      </w:r>
    </w:p>
    <w:p>
      <w:pPr>
        <w:spacing w:after="80" w:line="252" w:lineRule="auto"/>
      </w:pPr>
      <w:r>
        <w:rPr>
          <w:rFonts w:ascii="Arial" w:hAnsi="Arial" w:eastAsia="Arial"/>
          <w:b w:val="0"/>
          <w:i w:val="0"/>
          <w:sz w:val="20"/>
        </w:rPr>
        <w:t>(1) where the employee or worker retires from service;</w:t>
      </w:r>
    </w:p>
    <w:p>
      <w:pPr>
        <w:spacing w:after="80" w:line="252" w:lineRule="auto"/>
      </w:pPr>
      <w:r>
        <w:rPr>
          <w:rFonts w:ascii="Arial" w:hAnsi="Arial" w:eastAsia="Arial"/>
          <w:b w:val="0"/>
          <w:i w:val="0"/>
          <w:sz w:val="20"/>
        </w:rPr>
        <w:t>(2) where the beneficiary attains the age of fifty-eight years; or</w:t>
      </w:r>
    </w:p>
    <w:p>
      <w:pPr>
        <w:spacing w:after="80" w:line="252" w:lineRule="auto"/>
      </w:pPr>
      <w:r>
        <w:rPr>
          <w:rFonts w:ascii="Arial" w:hAnsi="Arial" w:eastAsia="Arial"/>
          <w:b w:val="0"/>
          <w:i w:val="0"/>
          <w:sz w:val="20"/>
        </w:rPr>
        <w:t>(3) where the beneficiary dies or becomes permanently disabled.</w:t>
      </w:r>
    </w:p>
    <w:p>
      <w:pPr>
        <w:spacing w:after="80" w:line="252" w:lineRule="auto"/>
      </w:pPr>
      <w:r>
        <w:rPr>
          <w:rFonts w:ascii="Arial" w:hAnsi="Arial" w:eastAsia="Arial"/>
          <w:b w:val="0"/>
          <w:i w:val="0"/>
          <w:sz w:val="20"/>
        </w:rPr>
        <w:t>A payment from a retirement fund to a worker, employee or beneficiary natural person must satisfy the condition that the employee or worker has retired from service, the natural person (beneficiary) has attained the age of 58 years, or the beneficiary has died or become permanently disabled.</w:t>
      </w:r>
    </w:p>
    <w:p>
      <w:pPr>
        <w:spacing w:after="80" w:line="252" w:lineRule="auto"/>
      </w:pPr>
      <w:r>
        <w:rPr>
          <w:rFonts w:ascii="Arial" w:hAnsi="Arial" w:eastAsia="Arial"/>
          <w:b/>
          <w:i w:val="0"/>
          <w:sz w:val="20"/>
        </w:rPr>
        <w:t>Example 12.3.4:</w:t>
      </w:r>
    </w:p>
    <w:p>
      <w:pPr>
        <w:spacing w:after="80" w:line="252" w:lineRule="auto"/>
      </w:pPr>
      <w:r>
        <w:rPr>
          <w:rFonts w:ascii="Arial" w:hAnsi="Arial" w:eastAsia="Arial"/>
          <w:b w:val="0"/>
          <w:i w:val="0"/>
          <w:sz w:val="20"/>
        </w:rPr>
        <w:t>Assume that Suraksha is a natural person carrying on a sole proprietorship business. She has been depositing Rs. 120,000 annually in the Citizen Investment Trust for herself, not exceeding the lower of one-third of her assessable income and Rs. 300,000. Even after the Income Tax Act, 2058 came into force, she continued depositing Rs. 120,000 annually in the Citizen Investment Trust in accordance with law. Before attaining the age of 58 years, that is, up to 2066/02/12, a total of Rs. 550,000 had accumulated in her fund. On 2066/02/13 she attained 58 years. Therefore, the Citizen Investment Trust must compute the amount payable to her as follows, withhold advance tax and make payment.</w:t>
      </w:r>
    </w:p>
    <w:tbl>
      <w:tblPr>
        <w:tblStyle w:val="TableGrid"/>
        <w:tblW w:type="auto" w:w="0"/>
        <w:jc w:val="center"/>
        <w:tblLayout w:type="autofit"/>
        <w:tblLook w:firstColumn="1" w:firstRow="1" w:lastColumn="0" w:lastRow="0" w:noHBand="0" w:noVBand="1" w:val="04A0"/>
      </w:tblPr>
      <w:tblGrid>
        <w:gridCol w:w="5112"/>
        <w:gridCol w:w="5112"/>
      </w:tblGrid>
      <w:tr>
        <w:tc>
          <w:tcPr>
            <w:tcW w:type="dxa" w:w="6768"/>
            <w:vAlign w:val="top"/>
            <w:shd w:fill="D9EAF7"/>
          </w:tcPr>
          <w:p>
            <w:pPr>
              <w:spacing w:after="0" w:line="240" w:lineRule="auto"/>
            </w:pPr>
            <w:r/>
            <w:r>
              <w:rPr>
                <w:rFonts w:ascii="Arial" w:hAnsi="Arial" w:eastAsia="Arial"/>
                <w:b/>
                <w:sz w:val="17"/>
              </w:rPr>
              <w:t>Particulars</w:t>
            </w:r>
          </w:p>
        </w:tc>
        <w:tc>
          <w:tcPr>
            <w:tcW w:type="dxa" w:w="2160"/>
            <w:vAlign w:val="top"/>
            <w:shd w:fill="D9EAF7"/>
          </w:tcPr>
          <w:p>
            <w:pPr>
              <w:spacing w:after="0" w:line="240" w:lineRule="auto"/>
            </w:pPr>
            <w:r/>
            <w:r>
              <w:rPr>
                <w:rFonts w:ascii="Arial" w:hAnsi="Arial" w:eastAsia="Arial"/>
                <w:b/>
                <w:sz w:val="17"/>
              </w:rPr>
              <w:t>Amount (Rs.)</w:t>
            </w:r>
          </w:p>
        </w:tc>
      </w:tr>
      <w:tr>
        <w:tc>
          <w:tcPr>
            <w:tcW w:type="dxa" w:w="6768"/>
            <w:vAlign w:val="top"/>
          </w:tcPr>
          <w:p>
            <w:pPr>
              <w:spacing w:after="0" w:line="240" w:lineRule="auto"/>
            </w:pPr>
            <w:r/>
            <w:r>
              <w:rPr>
                <w:rFonts w:ascii="Arial" w:hAnsi="Arial" w:eastAsia="Arial"/>
                <w:b w:val="0"/>
                <w:sz w:val="17"/>
              </w:rPr>
              <w:t>Payment receivable from Citizen Investment Trust</w:t>
            </w:r>
          </w:p>
        </w:tc>
        <w:tc>
          <w:tcPr>
            <w:tcW w:type="dxa" w:w="2160"/>
            <w:vAlign w:val="top"/>
          </w:tcPr>
          <w:p>
            <w:pPr>
              <w:spacing w:after="0" w:line="240" w:lineRule="auto"/>
            </w:pPr>
            <w:r/>
            <w:r>
              <w:rPr>
                <w:rFonts w:ascii="Arial" w:hAnsi="Arial" w:eastAsia="Arial"/>
                <w:b w:val="0"/>
                <w:sz w:val="17"/>
              </w:rPr>
              <w:t>550,000</w:t>
            </w:r>
          </w:p>
        </w:tc>
      </w:tr>
      <w:tr>
        <w:tc>
          <w:tcPr>
            <w:tcW w:type="dxa" w:w="6768"/>
            <w:vAlign w:val="top"/>
          </w:tcPr>
          <w:p>
            <w:pPr>
              <w:spacing w:after="0" w:line="240" w:lineRule="auto"/>
            </w:pPr>
            <w:r/>
            <w:r>
              <w:rPr>
                <w:rFonts w:ascii="Arial" w:hAnsi="Arial" w:eastAsia="Arial"/>
                <w:b w:val="0"/>
                <w:sz w:val="17"/>
              </w:rPr>
              <w:t>Exemption under Section 65(1)(b): 50% of payment amount</w:t>
            </w:r>
          </w:p>
        </w:tc>
        <w:tc>
          <w:tcPr>
            <w:tcW w:type="dxa" w:w="2160"/>
            <w:vAlign w:val="top"/>
          </w:tcPr>
          <w:p>
            <w:pPr>
              <w:spacing w:after="0" w:line="240" w:lineRule="auto"/>
            </w:pPr>
            <w:r/>
            <w:r>
              <w:rPr>
                <w:rFonts w:ascii="Arial" w:hAnsi="Arial" w:eastAsia="Arial"/>
                <w:b w:val="0"/>
                <w:sz w:val="17"/>
              </w:rPr>
              <w:t>275,000</w:t>
            </w:r>
          </w:p>
        </w:tc>
      </w:tr>
      <w:tr>
        <w:tc>
          <w:tcPr>
            <w:tcW w:type="dxa" w:w="6768"/>
            <w:vAlign w:val="top"/>
          </w:tcPr>
          <w:p>
            <w:pPr>
              <w:spacing w:after="0" w:line="240" w:lineRule="auto"/>
            </w:pPr>
            <w:r/>
            <w:r>
              <w:rPr>
                <w:rFonts w:ascii="Arial" w:hAnsi="Arial" w:eastAsia="Arial"/>
                <w:b w:val="0"/>
                <w:sz w:val="17"/>
              </w:rPr>
              <w:t>Prescribed amount</w:t>
            </w:r>
          </w:p>
        </w:tc>
        <w:tc>
          <w:tcPr>
            <w:tcW w:type="dxa" w:w="2160"/>
            <w:vAlign w:val="top"/>
          </w:tcPr>
          <w:p>
            <w:pPr>
              <w:spacing w:after="0" w:line="240" w:lineRule="auto"/>
            </w:pPr>
            <w:r/>
            <w:r>
              <w:rPr>
                <w:rFonts w:ascii="Arial" w:hAnsi="Arial" w:eastAsia="Arial"/>
                <w:b w:val="0"/>
                <w:sz w:val="17"/>
              </w:rPr>
              <w:t>500,000</w:t>
            </w:r>
          </w:p>
        </w:tc>
      </w:tr>
      <w:tr>
        <w:tc>
          <w:tcPr>
            <w:tcW w:type="dxa" w:w="6768"/>
            <w:vAlign w:val="top"/>
          </w:tcPr>
          <w:p>
            <w:pPr>
              <w:spacing w:after="0" w:line="240" w:lineRule="auto"/>
            </w:pPr>
            <w:r/>
            <w:r>
              <w:rPr>
                <w:rFonts w:ascii="Arial" w:hAnsi="Arial" w:eastAsia="Arial"/>
                <w:b w:val="0"/>
                <w:sz w:val="17"/>
              </w:rPr>
              <w:t>Higher of the above amounts exempt</w:t>
            </w:r>
          </w:p>
        </w:tc>
        <w:tc>
          <w:tcPr>
            <w:tcW w:type="dxa" w:w="2160"/>
            <w:vAlign w:val="top"/>
          </w:tcPr>
          <w:p>
            <w:pPr>
              <w:spacing w:after="0" w:line="240" w:lineRule="auto"/>
            </w:pPr>
            <w:r/>
            <w:r>
              <w:rPr>
                <w:rFonts w:ascii="Arial" w:hAnsi="Arial" w:eastAsia="Arial"/>
                <w:b w:val="0"/>
                <w:sz w:val="17"/>
              </w:rPr>
              <w:t>500,000</w:t>
            </w:r>
          </w:p>
        </w:tc>
      </w:tr>
      <w:tr>
        <w:tc>
          <w:tcPr>
            <w:tcW w:type="dxa" w:w="6768"/>
            <w:vAlign w:val="top"/>
          </w:tcPr>
          <w:p>
            <w:pPr>
              <w:spacing w:after="0" w:line="240" w:lineRule="auto"/>
            </w:pPr>
            <w:r/>
            <w:r>
              <w:rPr>
                <w:rFonts w:ascii="Arial" w:hAnsi="Arial" w:eastAsia="Arial"/>
                <w:b w:val="0"/>
                <w:sz w:val="17"/>
              </w:rPr>
              <w:t>Retirement payment amount</w:t>
            </w:r>
          </w:p>
        </w:tc>
        <w:tc>
          <w:tcPr>
            <w:tcW w:type="dxa" w:w="2160"/>
            <w:vAlign w:val="top"/>
          </w:tcPr>
          <w:p>
            <w:pPr>
              <w:spacing w:after="0" w:line="240" w:lineRule="auto"/>
            </w:pPr>
            <w:r/>
            <w:r>
              <w:rPr>
                <w:rFonts w:ascii="Arial" w:hAnsi="Arial" w:eastAsia="Arial"/>
                <w:b w:val="0"/>
                <w:sz w:val="17"/>
              </w:rPr>
              <w:t>550,000</w:t>
            </w:r>
          </w:p>
        </w:tc>
      </w:tr>
      <w:tr>
        <w:tc>
          <w:tcPr>
            <w:tcW w:type="dxa" w:w="6768"/>
            <w:vAlign w:val="top"/>
          </w:tcPr>
          <w:p>
            <w:pPr>
              <w:spacing w:after="0" w:line="240" w:lineRule="auto"/>
            </w:pPr>
            <w:r/>
            <w:r>
              <w:rPr>
                <w:rFonts w:ascii="Arial" w:hAnsi="Arial" w:eastAsia="Arial"/>
                <w:b w:val="0"/>
                <w:sz w:val="17"/>
              </w:rPr>
              <w:t>Less: exempt amount</w:t>
            </w:r>
          </w:p>
        </w:tc>
        <w:tc>
          <w:tcPr>
            <w:tcW w:type="dxa" w:w="2160"/>
            <w:vAlign w:val="top"/>
          </w:tcPr>
          <w:p>
            <w:pPr>
              <w:spacing w:after="0" w:line="240" w:lineRule="auto"/>
            </w:pPr>
            <w:r/>
            <w:r>
              <w:rPr>
                <w:rFonts w:ascii="Arial" w:hAnsi="Arial" w:eastAsia="Arial"/>
                <w:b w:val="0"/>
                <w:sz w:val="17"/>
              </w:rPr>
              <w:t>(500,000)</w:t>
            </w:r>
          </w:p>
        </w:tc>
      </w:tr>
      <w:tr>
        <w:tc>
          <w:tcPr>
            <w:tcW w:type="dxa" w:w="6768"/>
            <w:vAlign w:val="top"/>
          </w:tcPr>
          <w:p>
            <w:pPr>
              <w:spacing w:after="0" w:line="240" w:lineRule="auto"/>
            </w:pPr>
            <w:r/>
            <w:r>
              <w:rPr>
                <w:rFonts w:ascii="Arial" w:hAnsi="Arial" w:eastAsia="Arial"/>
                <w:b w:val="0"/>
                <w:sz w:val="17"/>
              </w:rPr>
              <w:t>Taxable payment amount</w:t>
            </w:r>
          </w:p>
        </w:tc>
        <w:tc>
          <w:tcPr>
            <w:tcW w:type="dxa" w:w="2160"/>
            <w:vAlign w:val="top"/>
          </w:tcPr>
          <w:p>
            <w:pPr>
              <w:spacing w:after="0" w:line="240" w:lineRule="auto"/>
            </w:pPr>
            <w:r/>
            <w:r>
              <w:rPr>
                <w:rFonts w:ascii="Arial" w:hAnsi="Arial" w:eastAsia="Arial"/>
                <w:b w:val="0"/>
                <w:sz w:val="17"/>
              </w:rPr>
              <w:t>50,000</w:t>
            </w:r>
          </w:p>
        </w:tc>
      </w:tr>
      <w:tr>
        <w:tc>
          <w:tcPr>
            <w:tcW w:type="dxa" w:w="6768"/>
            <w:vAlign w:val="top"/>
          </w:tcPr>
          <w:p>
            <w:pPr>
              <w:spacing w:after="0" w:line="240" w:lineRule="auto"/>
            </w:pPr>
            <w:r/>
            <w:r>
              <w:rPr>
                <w:rFonts w:ascii="Arial" w:hAnsi="Arial" w:eastAsia="Arial"/>
                <w:b w:val="0"/>
                <w:sz w:val="17"/>
              </w:rPr>
              <w:t>Tax to be withheld at 5%</w:t>
            </w:r>
          </w:p>
        </w:tc>
        <w:tc>
          <w:tcPr>
            <w:tcW w:type="dxa" w:w="2160"/>
            <w:vAlign w:val="top"/>
          </w:tcPr>
          <w:p>
            <w:pPr>
              <w:spacing w:after="0" w:line="240" w:lineRule="auto"/>
            </w:pPr>
            <w:r/>
            <w:r>
              <w:rPr>
                <w:rFonts w:ascii="Arial" w:hAnsi="Arial" w:eastAsia="Arial"/>
                <w:b w:val="0"/>
                <w:sz w:val="17"/>
              </w:rPr>
              <w:t>2,500</w:t>
            </w:r>
          </w:p>
        </w:tc>
      </w:tr>
      <w:tr>
        <w:tc>
          <w:tcPr>
            <w:tcW w:type="dxa" w:w="6768"/>
            <w:vAlign w:val="top"/>
          </w:tcPr>
          <w:p>
            <w:pPr>
              <w:spacing w:after="0" w:line="240" w:lineRule="auto"/>
            </w:pPr>
            <w:r/>
            <w:r>
              <w:rPr>
                <w:rFonts w:ascii="Arial" w:hAnsi="Arial" w:eastAsia="Arial"/>
                <w:b w:val="0"/>
                <w:sz w:val="17"/>
              </w:rPr>
              <w:t>Net amount payable (550,000 - 2,500)</w:t>
            </w:r>
          </w:p>
        </w:tc>
        <w:tc>
          <w:tcPr>
            <w:tcW w:type="dxa" w:w="2160"/>
            <w:vAlign w:val="top"/>
          </w:tcPr>
          <w:p>
            <w:pPr>
              <w:spacing w:after="0" w:line="240" w:lineRule="auto"/>
            </w:pPr>
            <w:r/>
            <w:r>
              <w:rPr>
                <w:rFonts w:ascii="Arial" w:hAnsi="Arial" w:eastAsia="Arial"/>
                <w:b w:val="0"/>
                <w:sz w:val="17"/>
              </w:rPr>
              <w:t>547,500</w:t>
            </w:r>
          </w:p>
        </w:tc>
      </w:tr>
    </w:tbl>
    <w:p/>
    <w:p>
      <w:pPr>
        <w:pStyle w:val="Heading4"/>
      </w:pPr>
      <w:r>
        <w:t>Clause (e): Annual audit</w:t>
      </w:r>
    </w:p>
    <w:p>
      <w:pPr>
        <w:spacing w:after="80" w:line="252" w:lineRule="auto"/>
      </w:pPr>
      <w:r>
        <w:rPr>
          <w:rFonts w:ascii="Arial" w:hAnsi="Arial" w:eastAsia="Arial"/>
          <w:b w:val="0"/>
          <w:i w:val="0"/>
          <w:sz w:val="20"/>
        </w:rPr>
        <w:t>The retirement fund must have its accounts audited annually by an auditor approved by the Department of the Auditor General. Accordingly, the accounts of a retirement fund must be audited by an approved auditor.</w:t>
      </w:r>
    </w:p>
    <w:p>
      <w:pPr>
        <w:pStyle w:val="Heading3"/>
      </w:pPr>
      <w:r>
        <w:t>12.3.2 Cancellation of approval</w:t>
      </w:r>
    </w:p>
    <w:p>
      <w:pPr>
        <w:spacing w:after="80" w:line="252" w:lineRule="auto"/>
      </w:pPr>
      <w:r>
        <w:rPr>
          <w:rFonts w:ascii="Arial" w:hAnsi="Arial" w:eastAsia="Arial"/>
          <w:b w:val="0"/>
          <w:i w:val="0"/>
          <w:sz w:val="20"/>
        </w:rPr>
        <w:t>Rule 20(3) provides that where an approved retirement fund which has obtained approval from the Department does not comply with the conditions prescribed in sub-rule (2), the Department may cancel the approval granted to that fund. The conditions prescribed by Rule 20(2) have been explained in clause 12.3.1 above.</w:t>
      </w:r>
    </w:p>
    <w:p>
      <w:pPr>
        <w:pStyle w:val="Heading3"/>
      </w:pPr>
      <w:r>
        <w:t>12.3.3 Approved and unapproved retirement funds</w:t>
      </w:r>
    </w:p>
    <w:p>
      <w:pPr>
        <w:spacing w:after="80" w:line="252" w:lineRule="auto"/>
      </w:pPr>
      <w:r>
        <w:rPr>
          <w:rFonts w:ascii="Arial" w:hAnsi="Arial" w:eastAsia="Arial"/>
          <w:b w:val="0"/>
          <w:i w:val="0"/>
          <w:sz w:val="20"/>
        </w:rPr>
        <w:t>The Employees Provident Fund, Citizen Investment Trust, Social Security Fund and Pension Fund are regarded as approved retirement funds. Other retirement funds are regarded as approved retirement funds only if they have been operated after obtaining approval from the Department. If approval has not been obtained from the Department, such retirement fund becomes an unapproved retirement fund.</w:t>
      </w:r>
    </w:p>
    <w:p>
      <w:pPr>
        <w:spacing w:after="80" w:line="252" w:lineRule="auto"/>
      </w:pPr>
      <w:r>
        <w:rPr>
          <w:rFonts w:ascii="Arial" w:hAnsi="Arial" w:eastAsia="Arial"/>
          <w:b/>
          <w:i w:val="0"/>
          <w:sz w:val="20"/>
        </w:rPr>
        <w:t>Example 12.3.5:</w:t>
      </w:r>
    </w:p>
    <w:p>
      <w:pPr>
        <w:spacing w:after="80" w:line="252" w:lineRule="auto"/>
      </w:pPr>
      <w:r>
        <w:rPr>
          <w:rFonts w:ascii="Arial" w:hAnsi="Arial" w:eastAsia="Arial"/>
          <w:b w:val="0"/>
          <w:i w:val="0"/>
          <w:sz w:val="20"/>
        </w:rPr>
        <w:t>Assume that Helina Manandhar is an employee working in Nepal Development Pvt. Ltd. Her monthly salary is Rs. 20,000. At the time the Act commenced, the company was deducting Rs. 2,000, being 10 percent of the salary of its employees, adding an equal amount to it, and operating a separate account in Nepal Bank Ltd. The company obtained approval from the Department to operate a retirement fund named Nepal Development Pvt. Ltd. Retirement Fund for its workers and employees and deposited the accumulated amount maintained in the separate Nepal Bank Ltd. account into that retirement fund. Such a fund is an approved retirement fund. The amount contributed to such approved retirement fund may be reduced by Helina from her taxable income while determining employment income, subject to Rule 21 of the Income Tax Rules. In respect of payments from such approved retirement fund, for contributions accumulated after 19 Chaitra 2058, advance tax at the rate of 5 percent must be withheld on the gain computed under Section 65(1)(b), pursuant to the proviso to Section 88(1).</w:t>
      </w:r>
    </w:p>
    <w:p>
      <w:pPr>
        <w:spacing w:after="80" w:line="252" w:lineRule="auto"/>
      </w:pPr>
      <w:r>
        <w:rPr>
          <w:rFonts w:ascii="Arial" w:hAnsi="Arial" w:eastAsia="Arial"/>
          <w:b/>
          <w:i w:val="0"/>
          <w:sz w:val="20"/>
        </w:rPr>
        <w:t>Example 12.3.6:</w:t>
      </w:r>
    </w:p>
    <w:p>
      <w:pPr>
        <w:spacing w:after="80" w:line="252" w:lineRule="auto"/>
      </w:pPr>
      <w:r>
        <w:rPr>
          <w:rFonts w:ascii="Arial" w:hAnsi="Arial" w:eastAsia="Arial"/>
          <w:b w:val="0"/>
          <w:i w:val="0"/>
          <w:sz w:val="20"/>
        </w:rPr>
        <w:t>In Example 12.3.5 above, if Nepal Development Pvt. Ltd. deposits such amount in a retirement fund that has not obtained approval from the Department, the fund so operated is called an unapproved retirement fund. In that case, Helina cannot reduce from her assessable income any amount contributed to such fund after 19 Chaitra 2058. On the gain payment from that fund, advance tax must be withheld at the rate of 5 percent under clause (c) of the proviso to Section 88(2) of the Act.</w:t>
      </w:r>
    </w:p>
    <w:p>
      <w:pPr>
        <w:pStyle w:val="Heading2"/>
      </w:pPr>
      <w:r>
        <w:t>12.4 Retirement Payment</w:t>
      </w:r>
    </w:p>
    <w:p>
      <w:pPr>
        <w:pStyle w:val="Heading3"/>
      </w:pPr>
      <w:r>
        <w:t>12.4.1 Meaning of retirement payment</w:t>
      </w:r>
    </w:p>
    <w:p>
      <w:pPr>
        <w:spacing w:after="80" w:line="252" w:lineRule="auto"/>
      </w:pPr>
      <w:r>
        <w:rPr>
          <w:rFonts w:ascii="Arial" w:hAnsi="Arial" w:eastAsia="Arial"/>
          <w:b w:val="0"/>
          <w:i w:val="0"/>
          <w:sz w:val="20"/>
        </w:rPr>
        <w:t>Under clause (e) of Section 2 of the Act, "retirement payment" means a payment made to the following persons:</w:t>
      </w:r>
    </w:p>
    <w:p>
      <w:pPr>
        <w:spacing w:after="80" w:line="252" w:lineRule="auto"/>
      </w:pPr>
      <w:r>
        <w:rPr>
          <w:rFonts w:ascii="Arial" w:hAnsi="Arial" w:eastAsia="Arial"/>
          <w:b w:val="0"/>
          <w:i w:val="0"/>
          <w:sz w:val="20"/>
        </w:rPr>
        <w:t>(1) payment made to a natural person upon retirement; or</w:t>
      </w:r>
    </w:p>
    <w:p>
      <w:pPr>
        <w:spacing w:after="80" w:line="252" w:lineRule="auto"/>
      </w:pPr>
      <w:r>
        <w:rPr>
          <w:rFonts w:ascii="Arial" w:hAnsi="Arial" w:eastAsia="Arial"/>
          <w:b w:val="0"/>
          <w:i w:val="0"/>
          <w:sz w:val="20"/>
        </w:rPr>
        <w:t>(2) payment made to the dependant of a natural person upon the death of that natural person.</w:t>
      </w:r>
    </w:p>
    <w:p>
      <w:pPr>
        <w:spacing w:after="80" w:line="252" w:lineRule="auto"/>
      </w:pPr>
      <w:r>
        <w:rPr>
          <w:rFonts w:ascii="Arial" w:hAnsi="Arial" w:eastAsia="Arial"/>
          <w:b w:val="0"/>
          <w:i w:val="0"/>
          <w:sz w:val="20"/>
        </w:rPr>
        <w:t>Retirement payment means a payment made after a natural person, in principle, reaches a condition of being unable to continue employment, profession or business and retires from employment, profession or business. Similarly, where a natural person dies, a payment of the amount receivable by that person to that person's dependant is also called a retirement payment.</w:t>
      </w:r>
    </w:p>
    <w:p>
      <w:pPr>
        <w:spacing w:after="80" w:line="252" w:lineRule="auto"/>
      </w:pPr>
      <w:r>
        <w:rPr>
          <w:rFonts w:ascii="Arial" w:hAnsi="Arial" w:eastAsia="Arial"/>
          <w:b w:val="0"/>
          <w:i w:val="0"/>
          <w:sz w:val="20"/>
        </w:rPr>
        <w:t>Generally, examples of retirement payment include retirement payments made from approved or unapproved retirement funds, pension, gratuity, provident fund, cash in lieu of leave, medical treatment expenses, long service gratuity, welfare fund and other payments of a similar nature received at the time of retirement. Such retirement payments may be made by the Government of Nepal, by an approved retirement fund, by an unapproved retirement fund, or by an employer as other retirement payments. However, payment from life insurance does not fall under this provision because life insurance is investment insurance.</w:t>
      </w:r>
    </w:p>
    <w:p>
      <w:pPr>
        <w:spacing w:after="40"/>
        <w:ind w:left="360" w:hanging="216"/>
      </w:pPr>
      <w:r>
        <w:rPr>
          <w:rFonts w:ascii="Arial" w:hAnsi="Arial" w:eastAsia="Arial"/>
          <w:sz w:val="20"/>
        </w:rPr>
        <w:t>• Retirement payments made by the Government of Nepal: This includes payments made upon retirement from government service under the service conditions of employees of the Government of Nepal, such as gratuity, medical treatment expenditure, leave encashment and pension.</w:t>
      </w:r>
    </w:p>
    <w:p>
      <w:pPr>
        <w:spacing w:after="40"/>
        <w:ind w:left="360" w:hanging="216"/>
      </w:pPr>
      <w:r>
        <w:rPr>
          <w:rFonts w:ascii="Arial" w:hAnsi="Arial" w:eastAsia="Arial"/>
          <w:sz w:val="20"/>
        </w:rPr>
        <w:t>• Retirement payments made by an approved retirement fund: Payments made from a retirement fund operated by the Citizen Investment Trust and the Employees Provident Fund, or by a retirement fund operated after obtaining approval from the Department, in the circumstances prescribed in Rule 20(2)(d), namely retirement from service, attaining the age of 58 years, or death or permanent disability of the beneficiary, are treated as retirement payments.</w:t>
      </w:r>
    </w:p>
    <w:p>
      <w:pPr>
        <w:spacing w:after="40"/>
        <w:ind w:left="360" w:hanging="216"/>
      </w:pPr>
      <w:r>
        <w:rPr>
          <w:rFonts w:ascii="Arial" w:hAnsi="Arial" w:eastAsia="Arial"/>
          <w:sz w:val="20"/>
        </w:rPr>
        <w:t>• Retirement payments made by an unapproved retirement fund: Payment made upon retirement of a natural person from a retirement fund operated with the objective of making payment on retirement but without obtaining approval from the Department is treated as a retirement payment made by an unapproved retirement fund.</w:t>
      </w:r>
    </w:p>
    <w:p>
      <w:pPr>
        <w:spacing w:after="40"/>
        <w:ind w:left="360" w:hanging="216"/>
      </w:pPr>
      <w:r>
        <w:rPr>
          <w:rFonts w:ascii="Arial" w:hAnsi="Arial" w:eastAsia="Arial"/>
          <w:sz w:val="20"/>
        </w:rPr>
        <w:t>• Other retirement payments: Payments made on retirement other than payments made by the Government of Nepal and retirement funds are treated as other retirement payments. For example, amounts paid by an entity to an employee after retirement for accumulated leave, medical treatment expenses, or lump-sum salary paid under a voluntary retirement scheme.</w:t>
      </w:r>
    </w:p>
    <w:p>
      <w:pPr>
        <w:spacing w:after="80" w:line="252" w:lineRule="auto"/>
      </w:pPr>
      <w:r>
        <w:rPr>
          <w:rFonts w:ascii="Arial" w:hAnsi="Arial" w:eastAsia="Arial"/>
          <w:b w:val="0"/>
          <w:i w:val="0"/>
          <w:sz w:val="20"/>
        </w:rPr>
        <w:t>Payments received without fulfilling Rule 20(2)(d), that is, payments received before an employee or worker retires from service - such as long service gratuity, leave encashment and medical expenses received during service - do not fall under retirement payments. Such payments must be included in employment income at the time they are received. Similarly, where a natural person other than an employee making retirement contributions receives payment before attaining 58 years of age, or otherwise than in the event of death or permanent disability, such payment is not treated as a retirement payment and must be included in income at the time of receipt.</w:t>
      </w:r>
    </w:p>
    <w:p>
      <w:pPr>
        <w:spacing w:after="80" w:line="252" w:lineRule="auto"/>
      </w:pPr>
      <w:r>
        <w:rPr>
          <w:rFonts w:ascii="Arial" w:hAnsi="Arial" w:eastAsia="Arial"/>
          <w:b w:val="0"/>
          <w:i w:val="0"/>
          <w:sz w:val="20"/>
        </w:rPr>
        <w:t>However, a loan taken by such beneficiary from a retirement fund under the approved by-laws of the retirement fund is an investment of the fund and is not treated as a payment. The amount invested by the fund in its beneficiary must be repaid either with interest or without interest, as applicable. The amount contributed to the fund and the return earned on it are treated as retirement payment amount and tax must be withheld on such amount.</w:t>
      </w:r>
    </w:p>
    <w:p>
      <w:pPr>
        <w:spacing w:after="80" w:line="252" w:lineRule="auto"/>
      </w:pPr>
      <w:r>
        <w:rPr>
          <w:rFonts w:ascii="Arial" w:hAnsi="Arial" w:eastAsia="Arial"/>
          <w:b w:val="0"/>
          <w:i w:val="0"/>
          <w:sz w:val="20"/>
        </w:rPr>
        <w:t>Where retirement contributions have been deposited with more than one retirement fund manager, there may be a possibility of taking exemption exceeding the limit under Section 65(1)(b). Therefore, in the case of workers and employees, the employer must require a declaration about any other retirement fund in which the employee has contribution, and at the time of retirement must inform the concerned other retirement fund manager by mentioning the same details. In the case of a natural person other than an employee, it is the responsibility of the fund manager to obtain a declaration from that person and provide information to the concerned office.</w:t>
      </w:r>
    </w:p>
    <w:p>
      <w:pPr>
        <w:pStyle w:val="Heading3"/>
      </w:pPr>
      <w:r>
        <w:t>12.4.1A Contribution-based retirement payment</w:t>
      </w:r>
    </w:p>
    <w:p>
      <w:pPr>
        <w:spacing w:after="80" w:line="252" w:lineRule="auto"/>
      </w:pPr>
      <w:r>
        <w:rPr>
          <w:rFonts w:ascii="Arial" w:hAnsi="Arial" w:eastAsia="Arial"/>
          <w:b w:val="0"/>
          <w:i w:val="0"/>
          <w:sz w:val="20"/>
        </w:rPr>
        <w:t>Under clause (tra1) of Section 2 of the Act, "contribution-based retirement payment" means payment of the amount deducted monthly from the remuneration of an employee or worker, the amount added by the employer as retirement contribution and deposited in an approved retirement fund, and the increase in that amount.</w:t>
      </w:r>
    </w:p>
    <w:p>
      <w:pPr>
        <w:pStyle w:val="Heading3"/>
      </w:pPr>
      <w:r>
        <w:t>12.4.2 Special provision relating to retirement payment under Section 65</w:t>
      </w:r>
    </w:p>
    <w:p>
      <w:pPr>
        <w:spacing w:after="80" w:line="252" w:lineRule="auto"/>
      </w:pPr>
      <w:r>
        <w:rPr>
          <w:rFonts w:ascii="Arial" w:hAnsi="Arial" w:eastAsia="Arial"/>
          <w:b w:val="0"/>
          <w:i w:val="0"/>
          <w:sz w:val="20"/>
        </w:rPr>
        <w:t>Section 65 of the Act makes the following special provision regarding retirement payment:</w:t>
      </w:r>
    </w:p>
    <w:p>
      <w:pPr>
        <w:spacing w:after="80" w:line="252" w:lineRule="auto"/>
      </w:pPr>
      <w:r>
        <w:rPr>
          <w:rFonts w:ascii="Arial" w:hAnsi="Arial" w:eastAsia="Arial"/>
          <w:b w:val="0"/>
          <w:i w:val="0"/>
          <w:sz w:val="20"/>
        </w:rPr>
        <w:t>65(1) A retirement payment made to a natural person from a contribution-based interest in an approved retirement fund, or made by the Government of Nepal, shall be treated as follows for the purpose of computing income:</w:t>
      </w:r>
    </w:p>
    <w:p>
      <w:pPr>
        <w:spacing w:after="80" w:line="252" w:lineRule="auto"/>
      </w:pPr>
      <w:r>
        <w:rPr>
          <w:rFonts w:ascii="Arial" w:hAnsi="Arial" w:eastAsia="Arial"/>
          <w:b w:val="0"/>
          <w:i w:val="0"/>
          <w:sz w:val="20"/>
        </w:rPr>
        <w:t>(a) retirement payments made by the fund in respect of the interest in the fund shall be included in income; and</w:t>
      </w:r>
    </w:p>
    <w:p>
      <w:pPr>
        <w:spacing w:after="80" w:line="252" w:lineRule="auto"/>
      </w:pPr>
      <w:r>
        <w:rPr>
          <w:rFonts w:ascii="Arial" w:hAnsi="Arial" w:eastAsia="Arial"/>
          <w:b w:val="0"/>
          <w:i w:val="0"/>
          <w:sz w:val="20"/>
        </w:rPr>
        <w:t>(b) notwithstanding clause (a), where such payment is made as a lump-sum amount, the payment remaining after reducing from the payment amount the higher of fifty percent of that payment amount and five hundred thousand rupees shall be treated as a gain of that natural person from the disposal of non-business taxable assets.</w:t>
      </w:r>
    </w:p>
    <w:p>
      <w:pPr>
        <w:spacing w:after="80" w:line="252" w:lineRule="auto"/>
      </w:pPr>
      <w:r>
        <w:rPr>
          <w:rFonts w:ascii="Arial" w:hAnsi="Arial" w:eastAsia="Arial"/>
          <w:b w:val="0"/>
          <w:i w:val="0"/>
          <w:sz w:val="20"/>
        </w:rPr>
        <w:t>When a lump-sum retirement payment is made to a natural person by an approved retirement fund or the Government of Nepal, the gain must be computed under Section 65(1)(b), and advance tax at the rate of 5 percent must be withheld under clause (1) of the proviso to Section 88(1). The amount on which advance tax has been so withheld is treated as a final withholding payment under Section 92(1)(chha).</w:t>
      </w:r>
    </w:p>
    <w:p>
      <w:pPr>
        <w:spacing w:after="80" w:line="252" w:lineRule="auto"/>
      </w:pPr>
      <w:r>
        <w:rPr>
          <w:rFonts w:ascii="Arial" w:hAnsi="Arial" w:eastAsia="Arial"/>
          <w:b/>
          <w:i w:val="0"/>
          <w:sz w:val="20"/>
        </w:rPr>
        <w:t>Example 12.4.1:</w:t>
      </w:r>
    </w:p>
    <w:p>
      <w:pPr>
        <w:spacing w:after="80" w:line="252" w:lineRule="auto"/>
      </w:pPr>
      <w:r>
        <w:rPr>
          <w:rFonts w:ascii="Arial" w:hAnsi="Arial" w:eastAsia="Arial"/>
          <w:b w:val="0"/>
          <w:i w:val="0"/>
          <w:sz w:val="20"/>
        </w:rPr>
        <w:t>Assume that Mahanta Prasad is an employee working in Nepal Airlines Company. Retirement contributions deducted during his service period were deposited in the Employees Provident Fund. He retired from service at the end of Ashad 2076. It was determined that he would receive retirement payment of Rs. 600,000 up to 18 Chaitra 2058 and Rs. 2,500,000 thereafter, totalling Rs. 3,100,000. His income shall be computed as follows:</w:t>
      </w:r>
    </w:p>
    <w:tbl>
      <w:tblPr>
        <w:tblStyle w:val="TableGrid"/>
        <w:tblW w:type="auto" w:w="0"/>
        <w:jc w:val="center"/>
        <w:tblLayout w:type="autofit"/>
        <w:tblLook w:firstColumn="1" w:firstRow="1" w:lastColumn="0" w:lastRow="0" w:noHBand="0" w:noVBand="1" w:val="04A0"/>
      </w:tblPr>
      <w:tblGrid>
        <w:gridCol w:w="5112"/>
        <w:gridCol w:w="5112"/>
      </w:tblGrid>
      <w:tr>
        <w:tc>
          <w:tcPr>
            <w:tcW w:type="dxa" w:w="6768"/>
            <w:vAlign w:val="top"/>
            <w:shd w:fill="D9EAF7"/>
          </w:tcPr>
          <w:p>
            <w:pPr>
              <w:spacing w:after="0" w:line="240" w:lineRule="auto"/>
            </w:pPr>
            <w:r/>
            <w:r>
              <w:rPr>
                <w:rFonts w:ascii="Arial" w:hAnsi="Arial" w:eastAsia="Arial"/>
                <w:b/>
                <w:sz w:val="17"/>
              </w:rPr>
              <w:t>Particulars</w:t>
            </w:r>
          </w:p>
        </w:tc>
        <w:tc>
          <w:tcPr>
            <w:tcW w:type="dxa" w:w="2160"/>
            <w:vAlign w:val="top"/>
            <w:shd w:fill="D9EAF7"/>
          </w:tcPr>
          <w:p>
            <w:pPr>
              <w:spacing w:after="0" w:line="240" w:lineRule="auto"/>
            </w:pPr>
            <w:r/>
            <w:r>
              <w:rPr>
                <w:rFonts w:ascii="Arial" w:hAnsi="Arial" w:eastAsia="Arial"/>
                <w:b/>
                <w:sz w:val="17"/>
              </w:rPr>
              <w:t>Amount (Rs.)</w:t>
            </w:r>
          </w:p>
        </w:tc>
      </w:tr>
      <w:tr>
        <w:tc>
          <w:tcPr>
            <w:tcW w:type="dxa" w:w="6768"/>
            <w:vAlign w:val="top"/>
          </w:tcPr>
          <w:p>
            <w:pPr>
              <w:spacing w:after="0" w:line="240" w:lineRule="auto"/>
            </w:pPr>
            <w:r/>
            <w:r>
              <w:rPr>
                <w:rFonts w:ascii="Arial" w:hAnsi="Arial" w:eastAsia="Arial"/>
                <w:b w:val="0"/>
                <w:sz w:val="17"/>
              </w:rPr>
              <w:t>Amount accrued up to 18 Chaitra 2058</w:t>
            </w:r>
          </w:p>
        </w:tc>
        <w:tc>
          <w:tcPr>
            <w:tcW w:type="dxa" w:w="2160"/>
            <w:vAlign w:val="top"/>
          </w:tcPr>
          <w:p>
            <w:pPr>
              <w:spacing w:after="0" w:line="240" w:lineRule="auto"/>
            </w:pPr>
            <w:r/>
            <w:r>
              <w:rPr>
                <w:rFonts w:ascii="Arial" w:hAnsi="Arial" w:eastAsia="Arial"/>
                <w:b w:val="0"/>
                <w:sz w:val="17"/>
              </w:rPr>
              <w:t>600,000</w:t>
            </w:r>
          </w:p>
        </w:tc>
      </w:tr>
      <w:tr>
        <w:tc>
          <w:tcPr>
            <w:tcW w:type="dxa" w:w="6768"/>
            <w:vAlign w:val="top"/>
          </w:tcPr>
          <w:p>
            <w:pPr>
              <w:spacing w:after="0" w:line="240" w:lineRule="auto"/>
            </w:pPr>
            <w:r/>
            <w:r>
              <w:rPr>
                <w:rFonts w:ascii="Arial" w:hAnsi="Arial" w:eastAsia="Arial"/>
                <w:b w:val="0"/>
                <w:sz w:val="17"/>
              </w:rPr>
              <w:t>Amount accrued thereafter up to retirement</w:t>
            </w:r>
          </w:p>
        </w:tc>
        <w:tc>
          <w:tcPr>
            <w:tcW w:type="dxa" w:w="2160"/>
            <w:vAlign w:val="top"/>
          </w:tcPr>
          <w:p>
            <w:pPr>
              <w:spacing w:after="0" w:line="240" w:lineRule="auto"/>
            </w:pPr>
            <w:r/>
            <w:r>
              <w:rPr>
                <w:rFonts w:ascii="Arial" w:hAnsi="Arial" w:eastAsia="Arial"/>
                <w:b w:val="0"/>
                <w:sz w:val="17"/>
              </w:rPr>
              <w:t>2,500,000</w:t>
            </w:r>
          </w:p>
        </w:tc>
      </w:tr>
      <w:tr>
        <w:tc>
          <w:tcPr>
            <w:tcW w:type="dxa" w:w="6768"/>
            <w:vAlign w:val="top"/>
          </w:tcPr>
          <w:p>
            <w:pPr>
              <w:spacing w:after="0" w:line="240" w:lineRule="auto"/>
            </w:pPr>
            <w:r/>
            <w:r>
              <w:rPr>
                <w:rFonts w:ascii="Arial" w:hAnsi="Arial" w:eastAsia="Arial"/>
                <w:b w:val="0"/>
                <w:sz w:val="17"/>
              </w:rPr>
              <w:t>Total retirement payment</w:t>
            </w:r>
          </w:p>
        </w:tc>
        <w:tc>
          <w:tcPr>
            <w:tcW w:type="dxa" w:w="2160"/>
            <w:vAlign w:val="top"/>
          </w:tcPr>
          <w:p>
            <w:pPr>
              <w:spacing w:after="0" w:line="240" w:lineRule="auto"/>
            </w:pPr>
            <w:r/>
            <w:r>
              <w:rPr>
                <w:rFonts w:ascii="Arial" w:hAnsi="Arial" w:eastAsia="Arial"/>
                <w:b w:val="0"/>
                <w:sz w:val="17"/>
              </w:rPr>
              <w:t>3,100,000</w:t>
            </w:r>
          </w:p>
        </w:tc>
      </w:tr>
      <w:tr>
        <w:tc>
          <w:tcPr>
            <w:tcW w:type="dxa" w:w="6768"/>
            <w:vAlign w:val="top"/>
          </w:tcPr>
          <w:p>
            <w:pPr>
              <w:spacing w:after="0" w:line="240" w:lineRule="auto"/>
            </w:pPr>
            <w:r/>
            <w:r>
              <w:rPr>
                <w:rFonts w:ascii="Arial" w:hAnsi="Arial" w:eastAsia="Arial"/>
                <w:b w:val="0"/>
                <w:sz w:val="17"/>
              </w:rPr>
              <w:t>Less: Provident Fund amount accrued up to 18 Chaitra 2058 - exempt income</w:t>
            </w:r>
          </w:p>
        </w:tc>
        <w:tc>
          <w:tcPr>
            <w:tcW w:type="dxa" w:w="2160"/>
            <w:vAlign w:val="top"/>
          </w:tcPr>
          <w:p>
            <w:pPr>
              <w:spacing w:after="0" w:line="240" w:lineRule="auto"/>
            </w:pPr>
            <w:r/>
            <w:r>
              <w:rPr>
                <w:rFonts w:ascii="Arial" w:hAnsi="Arial" w:eastAsia="Arial"/>
                <w:b w:val="0"/>
                <w:sz w:val="17"/>
              </w:rPr>
              <w:t>(600,000)</w:t>
            </w:r>
          </w:p>
        </w:tc>
      </w:tr>
      <w:tr>
        <w:tc>
          <w:tcPr>
            <w:tcW w:type="dxa" w:w="6768"/>
            <w:vAlign w:val="top"/>
          </w:tcPr>
          <w:p>
            <w:pPr>
              <w:spacing w:after="0" w:line="240" w:lineRule="auto"/>
            </w:pPr>
            <w:r/>
            <w:r>
              <w:rPr>
                <w:rFonts w:ascii="Arial" w:hAnsi="Arial" w:eastAsia="Arial"/>
                <w:b w:val="0"/>
                <w:sz w:val="17"/>
              </w:rPr>
              <w:t>Income</w:t>
            </w:r>
          </w:p>
        </w:tc>
        <w:tc>
          <w:tcPr>
            <w:tcW w:type="dxa" w:w="2160"/>
            <w:vAlign w:val="top"/>
          </w:tcPr>
          <w:p>
            <w:pPr>
              <w:spacing w:after="0" w:line="240" w:lineRule="auto"/>
            </w:pPr>
            <w:r/>
            <w:r>
              <w:rPr>
                <w:rFonts w:ascii="Arial" w:hAnsi="Arial" w:eastAsia="Arial"/>
                <w:b w:val="0"/>
                <w:sz w:val="17"/>
              </w:rPr>
              <w:t>2,500,000</w:t>
            </w:r>
          </w:p>
        </w:tc>
      </w:tr>
      <w:tr>
        <w:tc>
          <w:tcPr>
            <w:tcW w:type="dxa" w:w="6768"/>
            <w:vAlign w:val="top"/>
          </w:tcPr>
          <w:p>
            <w:pPr>
              <w:spacing w:after="0" w:line="240" w:lineRule="auto"/>
            </w:pPr>
            <w:r/>
            <w:r>
              <w:rPr>
                <w:rFonts w:ascii="Arial" w:hAnsi="Arial" w:eastAsia="Arial"/>
                <w:b w:val="0"/>
                <w:sz w:val="17"/>
              </w:rPr>
              <w:t>Payment amount for Section 65(1)(b)</w:t>
            </w:r>
          </w:p>
        </w:tc>
        <w:tc>
          <w:tcPr>
            <w:tcW w:type="dxa" w:w="2160"/>
            <w:vAlign w:val="top"/>
          </w:tcPr>
          <w:p>
            <w:pPr>
              <w:spacing w:after="0" w:line="240" w:lineRule="auto"/>
            </w:pPr>
            <w:r/>
            <w:r>
              <w:rPr>
                <w:rFonts w:ascii="Arial" w:hAnsi="Arial" w:eastAsia="Arial"/>
                <w:b w:val="0"/>
                <w:sz w:val="17"/>
              </w:rPr>
              <w:t>2,500,000</w:t>
            </w:r>
          </w:p>
        </w:tc>
      </w:tr>
      <w:tr>
        <w:tc>
          <w:tcPr>
            <w:tcW w:type="dxa" w:w="6768"/>
            <w:vAlign w:val="top"/>
          </w:tcPr>
          <w:p>
            <w:pPr>
              <w:spacing w:after="0" w:line="240" w:lineRule="auto"/>
            </w:pPr>
            <w:r/>
            <w:r>
              <w:rPr>
                <w:rFonts w:ascii="Arial" w:hAnsi="Arial" w:eastAsia="Arial"/>
                <w:b w:val="0"/>
                <w:sz w:val="17"/>
              </w:rPr>
              <w:t>Less: higher of 50% of payment amount (Rs. 1,250,000) and prescribed amount (Rs. 500,000)</w:t>
            </w:r>
          </w:p>
        </w:tc>
        <w:tc>
          <w:tcPr>
            <w:tcW w:type="dxa" w:w="2160"/>
            <w:vAlign w:val="top"/>
          </w:tcPr>
          <w:p>
            <w:pPr>
              <w:spacing w:after="0" w:line="240" w:lineRule="auto"/>
            </w:pPr>
            <w:r/>
            <w:r>
              <w:rPr>
                <w:rFonts w:ascii="Arial" w:hAnsi="Arial" w:eastAsia="Arial"/>
                <w:b w:val="0"/>
                <w:sz w:val="17"/>
              </w:rPr>
              <w:t>(1,250,000)</w:t>
            </w:r>
          </w:p>
        </w:tc>
      </w:tr>
      <w:tr>
        <w:tc>
          <w:tcPr>
            <w:tcW w:type="dxa" w:w="6768"/>
            <w:vAlign w:val="top"/>
          </w:tcPr>
          <w:p>
            <w:pPr>
              <w:spacing w:after="0" w:line="240" w:lineRule="auto"/>
            </w:pPr>
            <w:r/>
            <w:r>
              <w:rPr>
                <w:rFonts w:ascii="Arial" w:hAnsi="Arial" w:eastAsia="Arial"/>
                <w:b w:val="0"/>
                <w:sz w:val="17"/>
              </w:rPr>
              <w:t>Taxable payment</w:t>
            </w:r>
          </w:p>
        </w:tc>
        <w:tc>
          <w:tcPr>
            <w:tcW w:type="dxa" w:w="2160"/>
            <w:vAlign w:val="top"/>
          </w:tcPr>
          <w:p>
            <w:pPr>
              <w:spacing w:after="0" w:line="240" w:lineRule="auto"/>
            </w:pPr>
            <w:r/>
            <w:r>
              <w:rPr>
                <w:rFonts w:ascii="Arial" w:hAnsi="Arial" w:eastAsia="Arial"/>
                <w:b w:val="0"/>
                <w:sz w:val="17"/>
              </w:rPr>
              <w:t>1,250,000</w:t>
            </w:r>
          </w:p>
        </w:tc>
      </w:tr>
      <w:tr>
        <w:tc>
          <w:tcPr>
            <w:tcW w:type="dxa" w:w="6768"/>
            <w:vAlign w:val="top"/>
          </w:tcPr>
          <w:p>
            <w:pPr>
              <w:spacing w:after="0" w:line="240" w:lineRule="auto"/>
            </w:pPr>
            <w:r/>
            <w:r>
              <w:rPr>
                <w:rFonts w:ascii="Arial" w:hAnsi="Arial" w:eastAsia="Arial"/>
                <w:b w:val="0"/>
                <w:sz w:val="17"/>
              </w:rPr>
              <w:t>Advance tax at 5% (final method)</w:t>
            </w:r>
          </w:p>
        </w:tc>
        <w:tc>
          <w:tcPr>
            <w:tcW w:type="dxa" w:w="2160"/>
            <w:vAlign w:val="top"/>
          </w:tcPr>
          <w:p>
            <w:pPr>
              <w:spacing w:after="0" w:line="240" w:lineRule="auto"/>
            </w:pPr>
            <w:r/>
            <w:r>
              <w:rPr>
                <w:rFonts w:ascii="Arial" w:hAnsi="Arial" w:eastAsia="Arial"/>
                <w:b w:val="0"/>
                <w:sz w:val="17"/>
              </w:rPr>
              <w:t>62,500</w:t>
            </w:r>
          </w:p>
        </w:tc>
      </w:tr>
      <w:tr>
        <w:tc>
          <w:tcPr>
            <w:tcW w:type="dxa" w:w="6768"/>
            <w:vAlign w:val="top"/>
          </w:tcPr>
          <w:p>
            <w:pPr>
              <w:spacing w:after="0" w:line="240" w:lineRule="auto"/>
            </w:pPr>
            <w:r/>
            <w:r>
              <w:rPr>
                <w:rFonts w:ascii="Arial" w:hAnsi="Arial" w:eastAsia="Arial"/>
                <w:b w:val="0"/>
                <w:sz w:val="17"/>
              </w:rPr>
              <w:t>Total retirement payment receivable (3,100,000 - 62,500)</w:t>
            </w:r>
          </w:p>
        </w:tc>
        <w:tc>
          <w:tcPr>
            <w:tcW w:type="dxa" w:w="2160"/>
            <w:vAlign w:val="top"/>
          </w:tcPr>
          <w:p>
            <w:pPr>
              <w:spacing w:after="0" w:line="240" w:lineRule="auto"/>
            </w:pPr>
            <w:r/>
            <w:r>
              <w:rPr>
                <w:rFonts w:ascii="Arial" w:hAnsi="Arial" w:eastAsia="Arial"/>
                <w:b w:val="0"/>
                <w:sz w:val="17"/>
              </w:rPr>
              <w:t>3,037,500</w:t>
            </w:r>
          </w:p>
        </w:tc>
      </w:tr>
    </w:tbl>
    <w:p/>
    <w:p>
      <w:pPr>
        <w:spacing w:after="80" w:line="252" w:lineRule="auto"/>
      </w:pPr>
      <w:r>
        <w:rPr>
          <w:rFonts w:ascii="Arial" w:hAnsi="Arial" w:eastAsia="Arial"/>
          <w:b w:val="0"/>
          <w:i w:val="0"/>
          <w:sz w:val="20"/>
        </w:rPr>
        <w:t>65(2) For the purpose of computing gain from the interest of a natural person in an unapproved retirement fund, the following shall apply:</w:t>
      </w:r>
    </w:p>
    <w:p>
      <w:pPr>
        <w:spacing w:after="80" w:line="252" w:lineRule="auto"/>
      </w:pPr>
      <w:r>
        <w:rPr>
          <w:rFonts w:ascii="Arial" w:hAnsi="Arial" w:eastAsia="Arial"/>
          <w:b w:val="0"/>
          <w:i w:val="0"/>
          <w:sz w:val="20"/>
        </w:rPr>
        <w:t>(a) where the amount is paid by a resident person, tax shall be imposed on that beneficiary on that amount as final withholding tax.</w:t>
      </w:r>
    </w:p>
    <w:p>
      <w:pPr>
        <w:spacing w:after="80" w:line="252" w:lineRule="auto"/>
      </w:pPr>
      <w:r>
        <w:rPr>
          <w:rFonts w:ascii="Arial" w:hAnsi="Arial" w:eastAsia="Arial"/>
          <w:b w:val="0"/>
          <w:i w:val="0"/>
          <w:sz w:val="20"/>
        </w:rPr>
        <w:t>Where retirement amount is paid to a beneficiary from an unapproved retirement fund, the tax withheld is final.</w:t>
      </w:r>
    </w:p>
    <w:p>
      <w:pPr>
        <w:spacing w:after="80" w:line="252" w:lineRule="auto"/>
      </w:pPr>
      <w:r>
        <w:rPr>
          <w:rFonts w:ascii="Arial" w:hAnsi="Arial" w:eastAsia="Arial"/>
          <w:b/>
          <w:i w:val="0"/>
          <w:sz w:val="20"/>
        </w:rPr>
        <w:t>Example 12.4.2:</w:t>
      </w:r>
    </w:p>
    <w:p>
      <w:pPr>
        <w:spacing w:after="80" w:line="252" w:lineRule="auto"/>
      </w:pPr>
      <w:r>
        <w:rPr>
          <w:rFonts w:ascii="Arial" w:hAnsi="Arial" w:eastAsia="Arial"/>
          <w:b w:val="0"/>
          <w:i w:val="0"/>
          <w:sz w:val="20"/>
        </w:rPr>
        <w:t>Assume that, in Example 12.4.1, the contribution amount deducted by Nepal Airlines Company was deposited in an unapproved retirement fund. Mahanta had contribution of Rs. 400,000 up to 18 Chaitra 2058 and Rs. 2,500,000 after that date. Interest earned up to 18 Chaitra 2058 was Rs. 100,000. At the time of retirement he is entitled to receive a lump-sum of Rs. 3,700,000 from that retirement fund. His gain for tax purposes is computed as follows:</w:t>
      </w:r>
    </w:p>
    <w:tbl>
      <w:tblPr>
        <w:tblStyle w:val="TableGrid"/>
        <w:tblW w:type="auto" w:w="0"/>
        <w:jc w:val="center"/>
        <w:tblLayout w:type="autofit"/>
        <w:tblLook w:firstColumn="1" w:firstRow="1" w:lastColumn="0" w:lastRow="0" w:noHBand="0" w:noVBand="1" w:val="04A0"/>
      </w:tblPr>
      <w:tblGrid>
        <w:gridCol w:w="5112"/>
        <w:gridCol w:w="5112"/>
      </w:tblGrid>
      <w:tr>
        <w:tc>
          <w:tcPr>
            <w:tcW w:type="dxa" w:w="6768"/>
            <w:vAlign w:val="top"/>
            <w:shd w:fill="D9EAF7"/>
          </w:tcPr>
          <w:p>
            <w:pPr>
              <w:spacing w:after="0" w:line="240" w:lineRule="auto"/>
            </w:pPr>
            <w:r/>
            <w:r>
              <w:rPr>
                <w:rFonts w:ascii="Arial" w:hAnsi="Arial" w:eastAsia="Arial"/>
                <w:b/>
                <w:sz w:val="17"/>
              </w:rPr>
              <w:t>Particulars</w:t>
            </w:r>
          </w:p>
        </w:tc>
        <w:tc>
          <w:tcPr>
            <w:tcW w:type="dxa" w:w="2160"/>
            <w:vAlign w:val="top"/>
            <w:shd w:fill="D9EAF7"/>
          </w:tcPr>
          <w:p>
            <w:pPr>
              <w:spacing w:after="0" w:line="240" w:lineRule="auto"/>
            </w:pPr>
            <w:r/>
            <w:r>
              <w:rPr>
                <w:rFonts w:ascii="Arial" w:hAnsi="Arial" w:eastAsia="Arial"/>
                <w:b/>
                <w:sz w:val="17"/>
              </w:rPr>
              <w:t>Amount (Rs.)</w:t>
            </w:r>
          </w:p>
        </w:tc>
      </w:tr>
      <w:tr>
        <w:tc>
          <w:tcPr>
            <w:tcW w:type="dxa" w:w="6768"/>
            <w:vAlign w:val="top"/>
          </w:tcPr>
          <w:p>
            <w:pPr>
              <w:spacing w:after="0" w:line="240" w:lineRule="auto"/>
            </w:pPr>
            <w:r/>
            <w:r>
              <w:rPr>
                <w:rFonts w:ascii="Arial" w:hAnsi="Arial" w:eastAsia="Arial"/>
                <w:b w:val="0"/>
                <w:sz w:val="17"/>
              </w:rPr>
              <w:t>Lump-sum retirement payment received from the retirement fund</w:t>
            </w:r>
          </w:p>
        </w:tc>
        <w:tc>
          <w:tcPr>
            <w:tcW w:type="dxa" w:w="2160"/>
            <w:vAlign w:val="top"/>
          </w:tcPr>
          <w:p>
            <w:pPr>
              <w:spacing w:after="0" w:line="240" w:lineRule="auto"/>
            </w:pPr>
            <w:r/>
            <w:r>
              <w:rPr>
                <w:rFonts w:ascii="Arial" w:hAnsi="Arial" w:eastAsia="Arial"/>
                <w:b w:val="0"/>
                <w:sz w:val="17"/>
              </w:rPr>
              <w:t>3,700,000</w:t>
            </w:r>
          </w:p>
        </w:tc>
      </w:tr>
      <w:tr>
        <w:tc>
          <w:tcPr>
            <w:tcW w:type="dxa" w:w="6768"/>
            <w:vAlign w:val="top"/>
          </w:tcPr>
          <w:p>
            <w:pPr>
              <w:spacing w:after="0" w:line="240" w:lineRule="auto"/>
            </w:pPr>
            <w:r/>
            <w:r>
              <w:rPr>
                <w:rFonts w:ascii="Arial" w:hAnsi="Arial" w:eastAsia="Arial"/>
                <w:b w:val="0"/>
                <w:sz w:val="17"/>
              </w:rPr>
              <w:t>Less: contribution and interest</w:t>
            </w:r>
          </w:p>
        </w:tc>
        <w:tc>
          <w:tcPr>
            <w:tcW w:type="dxa" w:w="2160"/>
            <w:vAlign w:val="top"/>
          </w:tcPr>
          <w:p>
            <w:pPr>
              <w:spacing w:after="0" w:line="240" w:lineRule="auto"/>
            </w:pPr>
            <w:r/>
            <w:r>
              <w:rPr>
                <w:rFonts w:ascii="Arial" w:hAnsi="Arial" w:eastAsia="Arial"/>
                <w:b w:val="0"/>
                <w:sz w:val="17"/>
              </w:rPr>
              <w:t>3,000,000</w:t>
            </w:r>
          </w:p>
        </w:tc>
      </w:tr>
      <w:tr>
        <w:tc>
          <w:tcPr>
            <w:tcW w:type="dxa" w:w="6768"/>
            <w:vAlign w:val="top"/>
          </w:tcPr>
          <w:p>
            <w:pPr>
              <w:spacing w:after="0" w:line="240" w:lineRule="auto"/>
            </w:pPr>
            <w:r/>
            <w:r>
              <w:rPr>
                <w:rFonts w:ascii="Arial" w:hAnsi="Arial" w:eastAsia="Arial"/>
                <w:b w:val="0"/>
                <w:sz w:val="17"/>
              </w:rPr>
              <w:t>Contribution up to 18 Chaitra 2058</w:t>
            </w:r>
          </w:p>
        </w:tc>
        <w:tc>
          <w:tcPr>
            <w:tcW w:type="dxa" w:w="2160"/>
            <w:vAlign w:val="top"/>
          </w:tcPr>
          <w:p>
            <w:pPr>
              <w:spacing w:after="0" w:line="240" w:lineRule="auto"/>
            </w:pPr>
            <w:r/>
            <w:r>
              <w:rPr>
                <w:rFonts w:ascii="Arial" w:hAnsi="Arial" w:eastAsia="Arial"/>
                <w:b w:val="0"/>
                <w:sz w:val="17"/>
              </w:rPr>
              <w:t>400,000</w:t>
            </w:r>
          </w:p>
        </w:tc>
      </w:tr>
      <w:tr>
        <w:tc>
          <w:tcPr>
            <w:tcW w:type="dxa" w:w="6768"/>
            <w:vAlign w:val="top"/>
          </w:tcPr>
          <w:p>
            <w:pPr>
              <w:spacing w:after="0" w:line="240" w:lineRule="auto"/>
            </w:pPr>
            <w:r/>
            <w:r>
              <w:rPr>
                <w:rFonts w:ascii="Arial" w:hAnsi="Arial" w:eastAsia="Arial"/>
                <w:b w:val="0"/>
                <w:sz w:val="17"/>
              </w:rPr>
              <w:t>Interest up to 18 Chaitra 2058</w:t>
            </w:r>
          </w:p>
        </w:tc>
        <w:tc>
          <w:tcPr>
            <w:tcW w:type="dxa" w:w="2160"/>
            <w:vAlign w:val="top"/>
          </w:tcPr>
          <w:p>
            <w:pPr>
              <w:spacing w:after="0" w:line="240" w:lineRule="auto"/>
            </w:pPr>
            <w:r/>
            <w:r>
              <w:rPr>
                <w:rFonts w:ascii="Arial" w:hAnsi="Arial" w:eastAsia="Arial"/>
                <w:b w:val="0"/>
                <w:sz w:val="17"/>
              </w:rPr>
              <w:t>100,000</w:t>
            </w:r>
          </w:p>
        </w:tc>
      </w:tr>
      <w:tr>
        <w:tc>
          <w:tcPr>
            <w:tcW w:type="dxa" w:w="6768"/>
            <w:vAlign w:val="top"/>
          </w:tcPr>
          <w:p>
            <w:pPr>
              <w:spacing w:after="0" w:line="240" w:lineRule="auto"/>
            </w:pPr>
            <w:r/>
            <w:r>
              <w:rPr>
                <w:rFonts w:ascii="Arial" w:hAnsi="Arial" w:eastAsia="Arial"/>
                <w:b w:val="0"/>
                <w:sz w:val="17"/>
              </w:rPr>
              <w:t>Contribution from 19 Chaitra 2058 up to retirement</w:t>
            </w:r>
          </w:p>
        </w:tc>
        <w:tc>
          <w:tcPr>
            <w:tcW w:type="dxa" w:w="2160"/>
            <w:vAlign w:val="top"/>
          </w:tcPr>
          <w:p>
            <w:pPr>
              <w:spacing w:after="0" w:line="240" w:lineRule="auto"/>
            </w:pPr>
            <w:r/>
            <w:r>
              <w:rPr>
                <w:rFonts w:ascii="Arial" w:hAnsi="Arial" w:eastAsia="Arial"/>
                <w:b w:val="0"/>
                <w:sz w:val="17"/>
              </w:rPr>
              <w:t>2,500,000</w:t>
            </w:r>
          </w:p>
        </w:tc>
      </w:tr>
      <w:tr>
        <w:tc>
          <w:tcPr>
            <w:tcW w:type="dxa" w:w="6768"/>
            <w:vAlign w:val="top"/>
          </w:tcPr>
          <w:p>
            <w:pPr>
              <w:spacing w:after="0" w:line="240" w:lineRule="auto"/>
            </w:pPr>
            <w:r/>
            <w:r>
              <w:rPr>
                <w:rFonts w:ascii="Arial" w:hAnsi="Arial" w:eastAsia="Arial"/>
                <w:b w:val="0"/>
                <w:sz w:val="17"/>
              </w:rPr>
              <w:t>Gain from interest in the retirement fund</w:t>
            </w:r>
          </w:p>
        </w:tc>
        <w:tc>
          <w:tcPr>
            <w:tcW w:type="dxa" w:w="2160"/>
            <w:vAlign w:val="top"/>
          </w:tcPr>
          <w:p>
            <w:pPr>
              <w:spacing w:after="0" w:line="240" w:lineRule="auto"/>
            </w:pPr>
            <w:r/>
            <w:r>
              <w:rPr>
                <w:rFonts w:ascii="Arial" w:hAnsi="Arial" w:eastAsia="Arial"/>
                <w:b w:val="0"/>
                <w:sz w:val="17"/>
              </w:rPr>
              <w:t>700,000</w:t>
            </w:r>
          </w:p>
        </w:tc>
      </w:tr>
      <w:tr>
        <w:tc>
          <w:tcPr>
            <w:tcW w:type="dxa" w:w="6768"/>
            <w:vAlign w:val="top"/>
          </w:tcPr>
          <w:p>
            <w:pPr>
              <w:spacing w:after="0" w:line="240" w:lineRule="auto"/>
            </w:pPr>
            <w:r/>
            <w:r>
              <w:rPr>
                <w:rFonts w:ascii="Arial" w:hAnsi="Arial" w:eastAsia="Arial"/>
                <w:b w:val="0"/>
                <w:sz w:val="17"/>
              </w:rPr>
              <w:t>Tax at 5% under Section 88(2)(c)</w:t>
            </w:r>
          </w:p>
        </w:tc>
        <w:tc>
          <w:tcPr>
            <w:tcW w:type="dxa" w:w="2160"/>
            <w:vAlign w:val="top"/>
          </w:tcPr>
          <w:p>
            <w:pPr>
              <w:spacing w:after="0" w:line="240" w:lineRule="auto"/>
            </w:pPr>
            <w:r/>
            <w:r>
              <w:rPr>
                <w:rFonts w:ascii="Arial" w:hAnsi="Arial" w:eastAsia="Arial"/>
                <w:b w:val="0"/>
                <w:sz w:val="17"/>
              </w:rPr>
              <w:t>35,000</w:t>
            </w:r>
          </w:p>
        </w:tc>
      </w:tr>
      <w:tr>
        <w:tc>
          <w:tcPr>
            <w:tcW w:type="dxa" w:w="6768"/>
            <w:vAlign w:val="top"/>
          </w:tcPr>
          <w:p>
            <w:pPr>
              <w:spacing w:after="0" w:line="240" w:lineRule="auto"/>
            </w:pPr>
            <w:r/>
            <w:r>
              <w:rPr>
                <w:rFonts w:ascii="Arial" w:hAnsi="Arial" w:eastAsia="Arial"/>
                <w:b w:val="0"/>
                <w:sz w:val="17"/>
              </w:rPr>
              <w:t>Net payment amount (3,700,000 - 35,000)</w:t>
            </w:r>
          </w:p>
        </w:tc>
        <w:tc>
          <w:tcPr>
            <w:tcW w:type="dxa" w:w="2160"/>
            <w:vAlign w:val="top"/>
          </w:tcPr>
          <w:p>
            <w:pPr>
              <w:spacing w:after="0" w:line="240" w:lineRule="auto"/>
            </w:pPr>
            <w:r/>
            <w:r>
              <w:rPr>
                <w:rFonts w:ascii="Arial" w:hAnsi="Arial" w:eastAsia="Arial"/>
                <w:b w:val="0"/>
                <w:sz w:val="17"/>
              </w:rPr>
              <w:t>3,665,000</w:t>
            </w:r>
          </w:p>
        </w:tc>
      </w:tr>
    </w:tbl>
    <w:p/>
    <w:p>
      <w:pPr>
        <w:spacing w:after="80" w:line="252" w:lineRule="auto"/>
      </w:pPr>
      <w:r>
        <w:rPr>
          <w:rFonts w:ascii="Arial" w:hAnsi="Arial" w:eastAsia="Arial"/>
          <w:b w:val="0"/>
          <w:i w:val="0"/>
          <w:sz w:val="20"/>
        </w:rPr>
        <w:t>Such payment is a final withholding payment under Section 92(1)(chha) of the Act.</w:t>
      </w:r>
    </w:p>
    <w:p>
      <w:pPr>
        <w:spacing w:after="80" w:line="252" w:lineRule="auto"/>
      </w:pPr>
      <w:r>
        <w:rPr>
          <w:rFonts w:ascii="Arial" w:hAnsi="Arial" w:eastAsia="Arial"/>
          <w:b w:val="0"/>
          <w:i w:val="0"/>
          <w:sz w:val="20"/>
        </w:rPr>
        <w:t>(b) where the amount is paid by a non-resident person, that amount must be included in computing the income of the beneficiary.</w:t>
      </w:r>
    </w:p>
    <w:p>
      <w:pPr>
        <w:spacing w:after="80" w:line="252" w:lineRule="auto"/>
      </w:pPr>
      <w:r>
        <w:rPr>
          <w:rFonts w:ascii="Arial" w:hAnsi="Arial" w:eastAsia="Arial"/>
          <w:b/>
          <w:i w:val="0"/>
          <w:sz w:val="20"/>
        </w:rPr>
        <w:t>Example 12.4.3:</w:t>
      </w:r>
    </w:p>
    <w:p>
      <w:pPr>
        <w:spacing w:after="80" w:line="252" w:lineRule="auto"/>
      </w:pPr>
      <w:r>
        <w:rPr>
          <w:rFonts w:ascii="Arial" w:hAnsi="Arial" w:eastAsia="Arial"/>
          <w:b w:val="0"/>
          <w:i w:val="0"/>
          <w:sz w:val="20"/>
        </w:rPr>
        <w:t>Assume that, in the example in 12.4.2, the retirement fund is a non-resident person. In that case, Mahanta Prasad must include the gain of Rs. 700,000 in income and file an income return.</w:t>
      </w:r>
    </w:p>
    <w:p>
      <w:pPr>
        <w:spacing w:after="80" w:line="252" w:lineRule="auto"/>
      </w:pPr>
      <w:r>
        <w:rPr>
          <w:rFonts w:ascii="Arial" w:hAnsi="Arial" w:eastAsia="Arial"/>
          <w:b w:val="0"/>
          <w:i w:val="0"/>
          <w:sz w:val="20"/>
        </w:rPr>
        <w:t>For the purpose of computing gain under Section 65, the following explanation is provided:</w:t>
      </w:r>
    </w:p>
    <w:p>
      <w:pPr>
        <w:spacing w:after="80" w:line="252" w:lineRule="auto"/>
      </w:pPr>
      <w:r>
        <w:rPr>
          <w:rFonts w:ascii="Arial" w:hAnsi="Arial" w:eastAsia="Arial"/>
          <w:b w:val="0"/>
          <w:i w:val="0"/>
          <w:sz w:val="20"/>
        </w:rPr>
        <w:t>For the purposes of this section, "gain from an interest in an unapproved retirement fund" means, where the retirement payments made from such fund to a beneficiary natural person in respect of that person's interest in the fund exceed the retirement contributions paid by that beneficiary natural person to the unapproved retirement fund in respect of the interest in the fund, the amount of such excess.</w:t>
      </w:r>
    </w:p>
    <w:p>
      <w:pPr>
        <w:spacing w:after="80" w:line="252" w:lineRule="auto"/>
      </w:pPr>
      <w:r>
        <w:rPr>
          <w:rFonts w:ascii="Arial" w:hAnsi="Arial" w:eastAsia="Arial"/>
          <w:b w:val="0"/>
          <w:i w:val="0"/>
          <w:sz w:val="20"/>
        </w:rPr>
        <w:t>However, payment made from a fund to which the beneficiary has not contributed (non-contributory fund) shall not be treated as gain from an interest in an unapproved retirement fund.</w:t>
      </w:r>
    </w:p>
    <w:p>
      <w:pPr>
        <w:spacing w:after="80" w:line="252" w:lineRule="auto"/>
      </w:pPr>
      <w:r>
        <w:rPr>
          <w:rFonts w:ascii="Arial" w:hAnsi="Arial" w:eastAsia="Arial"/>
          <w:b/>
          <w:i w:val="0"/>
          <w:sz w:val="20"/>
        </w:rPr>
        <w:t>Example 12.4.4:</w:t>
      </w:r>
    </w:p>
    <w:p>
      <w:pPr>
        <w:spacing w:after="80" w:line="252" w:lineRule="auto"/>
      </w:pPr>
      <w:r>
        <w:rPr>
          <w:rFonts w:ascii="Arial" w:hAnsi="Arial" w:eastAsia="Arial"/>
          <w:b w:val="0"/>
          <w:i w:val="0"/>
          <w:sz w:val="20"/>
        </w:rPr>
        <w:t>Assume that Samanta Rai is an officer employee working in a commercial bank. Under the employees service conditions of the bank, the bank has established an Employee Protection Fund and has been depositing amounts into that fund every year. If, upon retirement from the bank, he receives Rs. 300,000 from that fund, the retirement payment received from that fund is not treated as gain from an interest in an unapproved retirement fund. It is retirement payment received from a non-contributory fund. Advance tax must therefore be withheld at the rate of 15 percent under Section 88(1) of the Act. Such payment is a final withholding payment under Section 92(1)(chha) of the Act.</w:t>
      </w:r>
    </w:p>
    <w:p>
      <w:pPr>
        <w:pStyle w:val="Heading3"/>
      </w:pPr>
      <w:r>
        <w:t>12.4.3 Tax provisions on retirement payment relating to the period before commencement of the Act</w:t>
      </w:r>
    </w:p>
    <w:p>
      <w:pPr>
        <w:spacing w:after="80" w:line="252" w:lineRule="auto"/>
      </w:pPr>
      <w:r>
        <w:rPr>
          <w:rFonts w:ascii="Arial" w:hAnsi="Arial" w:eastAsia="Arial"/>
          <w:b w:val="0"/>
          <w:i w:val="0"/>
          <w:sz w:val="20"/>
        </w:rPr>
        <w:t>Rule 20(6) provides as follows regarding tax on retirement payment for income years before the commencement of the Act:</w:t>
      </w:r>
    </w:p>
    <w:p>
      <w:pPr>
        <w:spacing w:after="80" w:line="252" w:lineRule="auto"/>
      </w:pPr>
      <w:r>
        <w:rPr>
          <w:rFonts w:ascii="Arial" w:hAnsi="Arial" w:eastAsia="Arial"/>
          <w:b w:val="0"/>
          <w:i w:val="0"/>
          <w:sz w:val="20"/>
        </w:rPr>
        <w:t>Clause (a): The amounts including principal and interest deposited in the provident fund or the Citizen Investment Trust by employees or workers in income years before commencement of the Act, and gratuity and accumulated leave accrued up to that period, shall be exempt from tax.</w:t>
      </w:r>
    </w:p>
    <w:p>
      <w:pPr>
        <w:spacing w:after="80" w:line="252" w:lineRule="auto"/>
      </w:pPr>
      <w:r>
        <w:rPr>
          <w:rFonts w:ascii="Arial" w:hAnsi="Arial" w:eastAsia="Arial"/>
          <w:b w:val="0"/>
          <w:i w:val="0"/>
          <w:sz w:val="20"/>
        </w:rPr>
        <w:t>Before the Income Tax Act, 2058 came into force, assessment was made under the Income Tax Act, 2031. The Income Tax Act, 2058 has also guaranteed the benefits available under the Income Tax Act, 2031. As this Act came into force from 19 Chaitra 2058, the amounts including principal and interest deposited in provident fund and Citizen Investment Trust up to that period are not subject to tax. Similarly, gratuity and accumulated leave accrued up to that period are not subject to tax.</w:t>
      </w:r>
    </w:p>
    <w:p>
      <w:pPr>
        <w:spacing w:after="80" w:line="252" w:lineRule="auto"/>
      </w:pPr>
      <w:r>
        <w:rPr>
          <w:rFonts w:ascii="Arial" w:hAnsi="Arial" w:eastAsia="Arial"/>
          <w:b/>
          <w:i w:val="0"/>
          <w:sz w:val="20"/>
        </w:rPr>
        <w:t>Example 12.4.5:</w:t>
      </w:r>
    </w:p>
    <w:p>
      <w:pPr>
        <w:spacing w:after="80" w:line="252" w:lineRule="auto"/>
      </w:pPr>
      <w:r>
        <w:rPr>
          <w:rFonts w:ascii="Arial" w:hAnsi="Arial" w:eastAsia="Arial"/>
          <w:b w:val="0"/>
          <w:i w:val="0"/>
          <w:sz w:val="20"/>
        </w:rPr>
        <w:t>Assume that Hari Prasad Kafle was appointed in Nepal Bank Ltd. at assistant level on 1 Baishakh 2044. He retired from service on 1 Jestha 2065. At the time of retirement, he received the following amounts:</w:t>
      </w:r>
    </w:p>
    <w:tbl>
      <w:tblPr>
        <w:tblStyle w:val="TableGrid"/>
        <w:tblW w:type="auto" w:w="0"/>
        <w:jc w:val="center"/>
        <w:tblLayout w:type="autofit"/>
        <w:tblLook w:firstColumn="1" w:firstRow="1" w:lastColumn="0" w:lastRow="0" w:noHBand="0" w:noVBand="1" w:val="04A0"/>
      </w:tblPr>
      <w:tblGrid>
        <w:gridCol w:w="5112"/>
        <w:gridCol w:w="5112"/>
      </w:tblGrid>
      <w:tr>
        <w:tc>
          <w:tcPr>
            <w:tcW w:type="dxa" w:w="6768"/>
            <w:vAlign w:val="top"/>
            <w:shd w:fill="D9EAF7"/>
          </w:tcPr>
          <w:p>
            <w:pPr>
              <w:spacing w:after="0" w:line="240" w:lineRule="auto"/>
            </w:pPr>
            <w:r/>
            <w:r>
              <w:rPr>
                <w:rFonts w:ascii="Arial" w:hAnsi="Arial" w:eastAsia="Arial"/>
                <w:b/>
                <w:sz w:val="17"/>
              </w:rPr>
              <w:t>Particulars</w:t>
            </w:r>
          </w:p>
        </w:tc>
        <w:tc>
          <w:tcPr>
            <w:tcW w:type="dxa" w:w="2160"/>
            <w:vAlign w:val="top"/>
            <w:shd w:fill="D9EAF7"/>
          </w:tcPr>
          <w:p>
            <w:pPr>
              <w:spacing w:after="0" w:line="240" w:lineRule="auto"/>
            </w:pPr>
            <w:r/>
            <w:r>
              <w:rPr>
                <w:rFonts w:ascii="Arial" w:hAnsi="Arial" w:eastAsia="Arial"/>
                <w:b/>
                <w:sz w:val="17"/>
              </w:rPr>
              <w:t>Amount (Rs.)</w:t>
            </w:r>
          </w:p>
        </w:tc>
      </w:tr>
      <w:tr>
        <w:tc>
          <w:tcPr>
            <w:tcW w:type="dxa" w:w="6768"/>
            <w:vAlign w:val="top"/>
          </w:tcPr>
          <w:p>
            <w:pPr>
              <w:spacing w:after="0" w:line="240" w:lineRule="auto"/>
            </w:pPr>
            <w:r/>
            <w:r>
              <w:rPr>
                <w:rFonts w:ascii="Arial" w:hAnsi="Arial" w:eastAsia="Arial"/>
                <w:b w:val="0"/>
                <w:sz w:val="17"/>
              </w:rPr>
              <w:t>Provident fund principal up to 18 Chaitra 2058</w:t>
            </w:r>
          </w:p>
        </w:tc>
        <w:tc>
          <w:tcPr>
            <w:tcW w:type="dxa" w:w="2160"/>
            <w:vAlign w:val="top"/>
          </w:tcPr>
          <w:p>
            <w:pPr>
              <w:spacing w:after="0" w:line="240" w:lineRule="auto"/>
            </w:pPr>
            <w:r/>
            <w:r>
              <w:rPr>
                <w:rFonts w:ascii="Arial" w:hAnsi="Arial" w:eastAsia="Arial"/>
                <w:b w:val="0"/>
                <w:sz w:val="17"/>
              </w:rPr>
              <w:t>400,000</w:t>
            </w:r>
          </w:p>
        </w:tc>
      </w:tr>
      <w:tr>
        <w:tc>
          <w:tcPr>
            <w:tcW w:type="dxa" w:w="6768"/>
            <w:vAlign w:val="top"/>
          </w:tcPr>
          <w:p>
            <w:pPr>
              <w:spacing w:after="0" w:line="240" w:lineRule="auto"/>
            </w:pPr>
            <w:r/>
            <w:r>
              <w:rPr>
                <w:rFonts w:ascii="Arial" w:hAnsi="Arial" w:eastAsia="Arial"/>
                <w:b w:val="0"/>
                <w:sz w:val="17"/>
              </w:rPr>
              <w:t>Provident fund principal from 19 Chaitra 2058 to end of Baishakh 2065</w:t>
            </w:r>
          </w:p>
        </w:tc>
        <w:tc>
          <w:tcPr>
            <w:tcW w:type="dxa" w:w="2160"/>
            <w:vAlign w:val="top"/>
          </w:tcPr>
          <w:p>
            <w:pPr>
              <w:spacing w:after="0" w:line="240" w:lineRule="auto"/>
            </w:pPr>
            <w:r/>
            <w:r>
              <w:rPr>
                <w:rFonts w:ascii="Arial" w:hAnsi="Arial" w:eastAsia="Arial"/>
                <w:b w:val="0"/>
                <w:sz w:val="17"/>
              </w:rPr>
              <w:t>800,000</w:t>
            </w:r>
          </w:p>
        </w:tc>
      </w:tr>
      <w:tr>
        <w:tc>
          <w:tcPr>
            <w:tcW w:type="dxa" w:w="6768"/>
            <w:vAlign w:val="top"/>
          </w:tcPr>
          <w:p>
            <w:pPr>
              <w:spacing w:after="0" w:line="240" w:lineRule="auto"/>
            </w:pPr>
            <w:r/>
            <w:r>
              <w:rPr>
                <w:rFonts w:ascii="Arial" w:hAnsi="Arial" w:eastAsia="Arial"/>
                <w:b w:val="0"/>
                <w:sz w:val="17"/>
              </w:rPr>
              <w:t>Provident fund interest up to 18 Chaitra 2058</w:t>
            </w:r>
          </w:p>
        </w:tc>
        <w:tc>
          <w:tcPr>
            <w:tcW w:type="dxa" w:w="2160"/>
            <w:vAlign w:val="top"/>
          </w:tcPr>
          <w:p>
            <w:pPr>
              <w:spacing w:after="0" w:line="240" w:lineRule="auto"/>
            </w:pPr>
            <w:r/>
            <w:r>
              <w:rPr>
                <w:rFonts w:ascii="Arial" w:hAnsi="Arial" w:eastAsia="Arial"/>
                <w:b w:val="0"/>
                <w:sz w:val="17"/>
              </w:rPr>
              <w:t>150,000</w:t>
            </w:r>
          </w:p>
        </w:tc>
      </w:tr>
      <w:tr>
        <w:tc>
          <w:tcPr>
            <w:tcW w:type="dxa" w:w="6768"/>
            <w:vAlign w:val="top"/>
          </w:tcPr>
          <w:p>
            <w:pPr>
              <w:spacing w:after="0" w:line="240" w:lineRule="auto"/>
            </w:pPr>
            <w:r/>
            <w:r>
              <w:rPr>
                <w:rFonts w:ascii="Arial" w:hAnsi="Arial" w:eastAsia="Arial"/>
                <w:b w:val="0"/>
                <w:sz w:val="17"/>
              </w:rPr>
              <w:t>Provident fund interest from 19 Chaitra 2058 to end of Baishakh 2065</w:t>
            </w:r>
          </w:p>
        </w:tc>
        <w:tc>
          <w:tcPr>
            <w:tcW w:type="dxa" w:w="2160"/>
            <w:vAlign w:val="top"/>
          </w:tcPr>
          <w:p>
            <w:pPr>
              <w:spacing w:after="0" w:line="240" w:lineRule="auto"/>
            </w:pPr>
            <w:r/>
            <w:r>
              <w:rPr>
                <w:rFonts w:ascii="Arial" w:hAnsi="Arial" w:eastAsia="Arial"/>
                <w:b w:val="0"/>
                <w:sz w:val="17"/>
              </w:rPr>
              <w:t>150,000</w:t>
            </w:r>
          </w:p>
        </w:tc>
      </w:tr>
      <w:tr>
        <w:tc>
          <w:tcPr>
            <w:tcW w:type="dxa" w:w="6768"/>
            <w:vAlign w:val="top"/>
          </w:tcPr>
          <w:p>
            <w:pPr>
              <w:spacing w:after="0" w:line="240" w:lineRule="auto"/>
            </w:pPr>
            <w:r/>
            <w:r>
              <w:rPr>
                <w:rFonts w:ascii="Arial" w:hAnsi="Arial" w:eastAsia="Arial"/>
                <w:b w:val="0"/>
                <w:sz w:val="17"/>
              </w:rPr>
              <w:t>Total amount received as provident fund</w:t>
            </w:r>
          </w:p>
        </w:tc>
        <w:tc>
          <w:tcPr>
            <w:tcW w:type="dxa" w:w="2160"/>
            <w:vAlign w:val="top"/>
          </w:tcPr>
          <w:p>
            <w:pPr>
              <w:spacing w:after="0" w:line="240" w:lineRule="auto"/>
            </w:pPr>
            <w:r/>
            <w:r>
              <w:rPr>
                <w:rFonts w:ascii="Arial" w:hAnsi="Arial" w:eastAsia="Arial"/>
                <w:b w:val="0"/>
                <w:sz w:val="17"/>
              </w:rPr>
              <w:t>1,500,000</w:t>
            </w:r>
          </w:p>
        </w:tc>
      </w:tr>
    </w:tbl>
    <w:p/>
    <w:p>
      <w:pPr>
        <w:spacing w:after="80" w:line="252" w:lineRule="auto"/>
      </w:pPr>
      <w:r>
        <w:rPr>
          <w:rFonts w:ascii="Arial" w:hAnsi="Arial" w:eastAsia="Arial"/>
          <w:b w:val="0"/>
          <w:i w:val="0"/>
          <w:sz w:val="20"/>
        </w:rPr>
        <w:t>Under Rule 20(6)(a) of the Income Tax Rules, 2059, the exempt amount is computed as follows:</w:t>
      </w:r>
    </w:p>
    <w:tbl>
      <w:tblPr>
        <w:tblStyle w:val="TableGrid"/>
        <w:tblW w:type="auto" w:w="0"/>
        <w:jc w:val="center"/>
        <w:tblLayout w:type="autofit"/>
        <w:tblLook w:firstColumn="1" w:firstRow="1" w:lastColumn="0" w:lastRow="0" w:noHBand="0" w:noVBand="1" w:val="04A0"/>
      </w:tblPr>
      <w:tblGrid>
        <w:gridCol w:w="5112"/>
        <w:gridCol w:w="5112"/>
      </w:tblGrid>
      <w:tr>
        <w:tc>
          <w:tcPr>
            <w:tcW w:type="dxa" w:w="6768"/>
            <w:vAlign w:val="top"/>
            <w:shd w:fill="D9EAF7"/>
          </w:tcPr>
          <w:p>
            <w:pPr>
              <w:spacing w:after="0" w:line="240" w:lineRule="auto"/>
            </w:pPr>
            <w:r/>
            <w:r>
              <w:rPr>
                <w:rFonts w:ascii="Arial" w:hAnsi="Arial" w:eastAsia="Arial"/>
                <w:b/>
                <w:sz w:val="17"/>
              </w:rPr>
              <w:t>Particulars</w:t>
            </w:r>
          </w:p>
        </w:tc>
        <w:tc>
          <w:tcPr>
            <w:tcW w:type="dxa" w:w="2160"/>
            <w:vAlign w:val="top"/>
            <w:shd w:fill="D9EAF7"/>
          </w:tcPr>
          <w:p>
            <w:pPr>
              <w:spacing w:after="0" w:line="240" w:lineRule="auto"/>
            </w:pPr>
            <w:r/>
            <w:r>
              <w:rPr>
                <w:rFonts w:ascii="Arial" w:hAnsi="Arial" w:eastAsia="Arial"/>
                <w:b/>
                <w:sz w:val="17"/>
              </w:rPr>
              <w:t>Amount (Rs.)</w:t>
            </w:r>
          </w:p>
        </w:tc>
      </w:tr>
      <w:tr>
        <w:tc>
          <w:tcPr>
            <w:tcW w:type="dxa" w:w="6768"/>
            <w:vAlign w:val="top"/>
          </w:tcPr>
          <w:p>
            <w:pPr>
              <w:spacing w:after="0" w:line="240" w:lineRule="auto"/>
            </w:pPr>
            <w:r/>
            <w:r>
              <w:rPr>
                <w:rFonts w:ascii="Arial" w:hAnsi="Arial" w:eastAsia="Arial"/>
                <w:b w:val="0"/>
                <w:sz w:val="17"/>
              </w:rPr>
              <w:t>Provident fund principal before commencement of the Act</w:t>
            </w:r>
          </w:p>
        </w:tc>
        <w:tc>
          <w:tcPr>
            <w:tcW w:type="dxa" w:w="2160"/>
            <w:vAlign w:val="top"/>
          </w:tcPr>
          <w:p>
            <w:pPr>
              <w:spacing w:after="0" w:line="240" w:lineRule="auto"/>
            </w:pPr>
            <w:r/>
            <w:r>
              <w:rPr>
                <w:rFonts w:ascii="Arial" w:hAnsi="Arial" w:eastAsia="Arial"/>
                <w:b w:val="0"/>
                <w:sz w:val="17"/>
              </w:rPr>
              <w:t>400,000</w:t>
            </w:r>
          </w:p>
        </w:tc>
      </w:tr>
      <w:tr>
        <w:tc>
          <w:tcPr>
            <w:tcW w:type="dxa" w:w="6768"/>
            <w:vAlign w:val="top"/>
          </w:tcPr>
          <w:p>
            <w:pPr>
              <w:spacing w:after="0" w:line="240" w:lineRule="auto"/>
            </w:pPr>
            <w:r/>
            <w:r>
              <w:rPr>
                <w:rFonts w:ascii="Arial" w:hAnsi="Arial" w:eastAsia="Arial"/>
                <w:b w:val="0"/>
                <w:sz w:val="17"/>
              </w:rPr>
              <w:t>Provident fund interest before commencement of the Act</w:t>
            </w:r>
          </w:p>
        </w:tc>
        <w:tc>
          <w:tcPr>
            <w:tcW w:type="dxa" w:w="2160"/>
            <w:vAlign w:val="top"/>
          </w:tcPr>
          <w:p>
            <w:pPr>
              <w:spacing w:after="0" w:line="240" w:lineRule="auto"/>
            </w:pPr>
            <w:r/>
            <w:r>
              <w:rPr>
                <w:rFonts w:ascii="Arial" w:hAnsi="Arial" w:eastAsia="Arial"/>
                <w:b w:val="0"/>
                <w:sz w:val="17"/>
              </w:rPr>
              <w:t>150,000</w:t>
            </w:r>
          </w:p>
        </w:tc>
      </w:tr>
      <w:tr>
        <w:tc>
          <w:tcPr>
            <w:tcW w:type="dxa" w:w="6768"/>
            <w:vAlign w:val="top"/>
          </w:tcPr>
          <w:p>
            <w:pPr>
              <w:spacing w:after="0" w:line="240" w:lineRule="auto"/>
            </w:pPr>
            <w:r/>
            <w:r>
              <w:rPr>
                <w:rFonts w:ascii="Arial" w:hAnsi="Arial" w:eastAsia="Arial"/>
                <w:b w:val="0"/>
                <w:sz w:val="17"/>
              </w:rPr>
              <w:t>Exempt provident fund amount</w:t>
            </w:r>
          </w:p>
        </w:tc>
        <w:tc>
          <w:tcPr>
            <w:tcW w:type="dxa" w:w="2160"/>
            <w:vAlign w:val="top"/>
          </w:tcPr>
          <w:p>
            <w:pPr>
              <w:spacing w:after="0" w:line="240" w:lineRule="auto"/>
            </w:pPr>
            <w:r/>
            <w:r>
              <w:rPr>
                <w:rFonts w:ascii="Arial" w:hAnsi="Arial" w:eastAsia="Arial"/>
                <w:b w:val="0"/>
                <w:sz w:val="17"/>
              </w:rPr>
              <w:t>550,000</w:t>
            </w:r>
          </w:p>
        </w:tc>
      </w:tr>
    </w:tbl>
    <w:p/>
    <w:p>
      <w:pPr>
        <w:spacing w:after="80" w:line="252" w:lineRule="auto"/>
      </w:pPr>
      <w:r>
        <w:rPr>
          <w:rFonts w:ascii="Arial" w:hAnsi="Arial" w:eastAsia="Arial"/>
          <w:b w:val="0"/>
          <w:i w:val="0"/>
          <w:sz w:val="20"/>
        </w:rPr>
        <w:t>The retirement payment after commencement of the Act is computed as follows:</w:t>
      </w:r>
    </w:p>
    <w:tbl>
      <w:tblPr>
        <w:tblStyle w:val="TableGrid"/>
        <w:tblW w:type="auto" w:w="0"/>
        <w:jc w:val="center"/>
        <w:tblLayout w:type="autofit"/>
        <w:tblLook w:firstColumn="1" w:firstRow="1" w:lastColumn="0" w:lastRow="0" w:noHBand="0" w:noVBand="1" w:val="04A0"/>
      </w:tblPr>
      <w:tblGrid>
        <w:gridCol w:w="5112"/>
        <w:gridCol w:w="5112"/>
      </w:tblGrid>
      <w:tr>
        <w:tc>
          <w:tcPr>
            <w:tcW w:type="dxa" w:w="6768"/>
            <w:vAlign w:val="top"/>
            <w:shd w:fill="D9EAF7"/>
          </w:tcPr>
          <w:p>
            <w:pPr>
              <w:spacing w:after="0" w:line="240" w:lineRule="auto"/>
            </w:pPr>
            <w:r/>
            <w:r>
              <w:rPr>
                <w:rFonts w:ascii="Arial" w:hAnsi="Arial" w:eastAsia="Arial"/>
                <w:b/>
                <w:sz w:val="17"/>
              </w:rPr>
              <w:t>Particulars</w:t>
            </w:r>
          </w:p>
        </w:tc>
        <w:tc>
          <w:tcPr>
            <w:tcW w:type="dxa" w:w="2160"/>
            <w:vAlign w:val="top"/>
            <w:shd w:fill="D9EAF7"/>
          </w:tcPr>
          <w:p>
            <w:pPr>
              <w:spacing w:after="0" w:line="240" w:lineRule="auto"/>
            </w:pPr>
            <w:r/>
            <w:r>
              <w:rPr>
                <w:rFonts w:ascii="Arial" w:hAnsi="Arial" w:eastAsia="Arial"/>
                <w:b/>
                <w:sz w:val="17"/>
              </w:rPr>
              <w:t>Amount (Rs.)</w:t>
            </w:r>
          </w:p>
        </w:tc>
      </w:tr>
      <w:tr>
        <w:tc>
          <w:tcPr>
            <w:tcW w:type="dxa" w:w="6768"/>
            <w:vAlign w:val="top"/>
          </w:tcPr>
          <w:p>
            <w:pPr>
              <w:spacing w:after="0" w:line="240" w:lineRule="auto"/>
            </w:pPr>
            <w:r/>
            <w:r>
              <w:rPr>
                <w:rFonts w:ascii="Arial" w:hAnsi="Arial" w:eastAsia="Arial"/>
                <w:b w:val="0"/>
                <w:sz w:val="17"/>
              </w:rPr>
              <w:t>Provident fund (retirement fund) amount after commencement of the Act</w:t>
            </w:r>
          </w:p>
        </w:tc>
        <w:tc>
          <w:tcPr>
            <w:tcW w:type="dxa" w:w="2160"/>
            <w:vAlign w:val="top"/>
          </w:tcPr>
          <w:p>
            <w:pPr>
              <w:spacing w:after="0" w:line="240" w:lineRule="auto"/>
            </w:pPr>
            <w:r/>
            <w:r>
              <w:rPr>
                <w:rFonts w:ascii="Arial" w:hAnsi="Arial" w:eastAsia="Arial"/>
                <w:b w:val="0"/>
                <w:sz w:val="17"/>
              </w:rPr>
              <w:t>800,000</w:t>
            </w:r>
          </w:p>
        </w:tc>
      </w:tr>
      <w:tr>
        <w:tc>
          <w:tcPr>
            <w:tcW w:type="dxa" w:w="6768"/>
            <w:vAlign w:val="top"/>
          </w:tcPr>
          <w:p>
            <w:pPr>
              <w:spacing w:after="0" w:line="240" w:lineRule="auto"/>
            </w:pPr>
            <w:r/>
            <w:r>
              <w:rPr>
                <w:rFonts w:ascii="Arial" w:hAnsi="Arial" w:eastAsia="Arial"/>
                <w:b w:val="0"/>
                <w:sz w:val="17"/>
              </w:rPr>
              <w:t>Interest on provident fund (retirement fund) after commencement of the Act</w:t>
            </w:r>
          </w:p>
        </w:tc>
        <w:tc>
          <w:tcPr>
            <w:tcW w:type="dxa" w:w="2160"/>
            <w:vAlign w:val="top"/>
          </w:tcPr>
          <w:p>
            <w:pPr>
              <w:spacing w:after="0" w:line="240" w:lineRule="auto"/>
            </w:pPr>
            <w:r/>
            <w:r>
              <w:rPr>
                <w:rFonts w:ascii="Arial" w:hAnsi="Arial" w:eastAsia="Arial"/>
                <w:b w:val="0"/>
                <w:sz w:val="17"/>
              </w:rPr>
              <w:t>150,000</w:t>
            </w:r>
          </w:p>
        </w:tc>
      </w:tr>
      <w:tr>
        <w:tc>
          <w:tcPr>
            <w:tcW w:type="dxa" w:w="6768"/>
            <w:vAlign w:val="top"/>
          </w:tcPr>
          <w:p>
            <w:pPr>
              <w:spacing w:after="0" w:line="240" w:lineRule="auto"/>
            </w:pPr>
            <w:r/>
            <w:r>
              <w:rPr>
                <w:rFonts w:ascii="Arial" w:hAnsi="Arial" w:eastAsia="Arial"/>
                <w:b w:val="0"/>
                <w:sz w:val="17"/>
              </w:rPr>
              <w:t>Total provident fund amount</w:t>
            </w:r>
          </w:p>
        </w:tc>
        <w:tc>
          <w:tcPr>
            <w:tcW w:type="dxa" w:w="2160"/>
            <w:vAlign w:val="top"/>
          </w:tcPr>
          <w:p>
            <w:pPr>
              <w:spacing w:after="0" w:line="240" w:lineRule="auto"/>
            </w:pPr>
            <w:r/>
            <w:r>
              <w:rPr>
                <w:rFonts w:ascii="Arial" w:hAnsi="Arial" w:eastAsia="Arial"/>
                <w:b w:val="0"/>
                <w:sz w:val="17"/>
              </w:rPr>
              <w:t>950,000</w:t>
            </w:r>
          </w:p>
        </w:tc>
      </w:tr>
    </w:tbl>
    <w:p/>
    <w:p>
      <w:pPr>
        <w:spacing w:after="80" w:line="252" w:lineRule="auto"/>
      </w:pPr>
      <w:r>
        <w:rPr>
          <w:rFonts w:ascii="Arial" w:hAnsi="Arial" w:eastAsia="Arial"/>
          <w:b w:val="0"/>
          <w:i w:val="0"/>
          <w:sz w:val="20"/>
        </w:rPr>
        <w:t>After commencement of the Act, the provident fund amount is also treated as retirement fund amount. If that retirement fund is an approved retirement fund, the payment from that fund must be computed for tax purposes as follows. On the total amount of Rs. 950,000 received from the approved retirement fund for the period after commencement of the Act, the gain is computed under Section 65(1)(b) by reducing the higher of fifty percent of the payment amount and Rs. 500,000. Since Rs. 500,000 is higher than 50 percent of Rs. 950,000 (Rs. 475,000), Rs. 500,000 is deducted and the remaining Rs. 450,000 is subject to tax withholding at five percent under Section 88(1)(1). The retirement fund must pay the balance amount after withholding tax.</w:t>
      </w:r>
    </w:p>
    <w:p>
      <w:pPr>
        <w:spacing w:after="80" w:line="252" w:lineRule="auto"/>
      </w:pPr>
      <w:r>
        <w:rPr>
          <w:rFonts w:ascii="Arial" w:hAnsi="Arial" w:eastAsia="Arial"/>
          <w:b w:val="0"/>
          <w:i w:val="0"/>
          <w:sz w:val="20"/>
        </w:rPr>
        <w:t>If, after commencement of the Act, the retirement fund is an unapproved retirement fund, advance tax must be withheld on the difference between the payment amount received and the contribution made to that fund.</w:t>
      </w:r>
    </w:p>
    <w:p>
      <w:pPr>
        <w:spacing w:after="80" w:line="252" w:lineRule="auto"/>
      </w:pPr>
      <w:r>
        <w:rPr>
          <w:rFonts w:ascii="Arial" w:hAnsi="Arial" w:eastAsia="Arial"/>
          <w:b/>
          <w:i w:val="0"/>
          <w:sz w:val="20"/>
        </w:rPr>
        <w:t>Example 12.4.6:</w:t>
      </w:r>
    </w:p>
    <w:p>
      <w:pPr>
        <w:spacing w:after="80" w:line="252" w:lineRule="auto"/>
      </w:pPr>
      <w:r>
        <w:rPr>
          <w:rFonts w:ascii="Arial" w:hAnsi="Arial" w:eastAsia="Arial"/>
          <w:b w:val="0"/>
          <w:i w:val="0"/>
          <w:sz w:val="20"/>
        </w:rPr>
        <w:t>Assume that the retirement fund to which Hari Kafle contributed had become an unapproved retirement fund at the time of his retirement. His contribution and payment from that retirement fund were as follows:</w:t>
      </w:r>
    </w:p>
    <w:tbl>
      <w:tblPr>
        <w:tblStyle w:val="TableGrid"/>
        <w:tblW w:type="auto" w:w="0"/>
        <w:jc w:val="center"/>
        <w:tblLayout w:type="autofit"/>
        <w:tblLook w:firstColumn="1" w:firstRow="1" w:lastColumn="0" w:lastRow="0" w:noHBand="0" w:noVBand="1" w:val="04A0"/>
      </w:tblPr>
      <w:tblGrid>
        <w:gridCol w:w="5112"/>
        <w:gridCol w:w="5112"/>
      </w:tblGrid>
      <w:tr>
        <w:tc>
          <w:tcPr>
            <w:tcW w:type="dxa" w:w="6768"/>
            <w:vAlign w:val="top"/>
            <w:shd w:fill="D9EAF7"/>
          </w:tcPr>
          <w:p>
            <w:pPr>
              <w:spacing w:after="0" w:line="240" w:lineRule="auto"/>
            </w:pPr>
            <w:r/>
            <w:r>
              <w:rPr>
                <w:rFonts w:ascii="Arial" w:hAnsi="Arial" w:eastAsia="Arial"/>
                <w:b/>
                <w:sz w:val="17"/>
              </w:rPr>
              <w:t>Particulars</w:t>
            </w:r>
          </w:p>
        </w:tc>
        <w:tc>
          <w:tcPr>
            <w:tcW w:type="dxa" w:w="2160"/>
            <w:vAlign w:val="top"/>
            <w:shd w:fill="D9EAF7"/>
          </w:tcPr>
          <w:p>
            <w:pPr>
              <w:spacing w:after="0" w:line="240" w:lineRule="auto"/>
            </w:pPr>
            <w:r/>
            <w:r>
              <w:rPr>
                <w:rFonts w:ascii="Arial" w:hAnsi="Arial" w:eastAsia="Arial"/>
                <w:b/>
                <w:sz w:val="17"/>
              </w:rPr>
              <w:t>Amount (Rs.)</w:t>
            </w:r>
          </w:p>
        </w:tc>
      </w:tr>
      <w:tr>
        <w:tc>
          <w:tcPr>
            <w:tcW w:type="dxa" w:w="6768"/>
            <w:vAlign w:val="top"/>
          </w:tcPr>
          <w:p>
            <w:pPr>
              <w:spacing w:after="0" w:line="240" w:lineRule="auto"/>
            </w:pPr>
            <w:r/>
            <w:r>
              <w:rPr>
                <w:rFonts w:ascii="Arial" w:hAnsi="Arial" w:eastAsia="Arial"/>
                <w:b w:val="0"/>
                <w:sz w:val="17"/>
              </w:rPr>
              <w:t>Provident fund principal from 19 Chaitra 2058 to end of Baishakh 2060</w:t>
            </w:r>
          </w:p>
        </w:tc>
        <w:tc>
          <w:tcPr>
            <w:tcW w:type="dxa" w:w="2160"/>
            <w:vAlign w:val="top"/>
          </w:tcPr>
          <w:p>
            <w:pPr>
              <w:spacing w:after="0" w:line="240" w:lineRule="auto"/>
            </w:pPr>
            <w:r/>
            <w:r>
              <w:rPr>
                <w:rFonts w:ascii="Arial" w:hAnsi="Arial" w:eastAsia="Arial"/>
                <w:b w:val="0"/>
                <w:sz w:val="17"/>
              </w:rPr>
              <w:t>450,000</w:t>
            </w:r>
          </w:p>
        </w:tc>
      </w:tr>
      <w:tr>
        <w:tc>
          <w:tcPr>
            <w:tcW w:type="dxa" w:w="6768"/>
            <w:vAlign w:val="top"/>
          </w:tcPr>
          <w:p>
            <w:pPr>
              <w:spacing w:after="0" w:line="240" w:lineRule="auto"/>
            </w:pPr>
            <w:r/>
            <w:r>
              <w:rPr>
                <w:rFonts w:ascii="Arial" w:hAnsi="Arial" w:eastAsia="Arial"/>
                <w:b w:val="0"/>
                <w:sz w:val="17"/>
              </w:rPr>
              <w:t>Interest on provident fund amount for the same period</w:t>
            </w:r>
          </w:p>
        </w:tc>
        <w:tc>
          <w:tcPr>
            <w:tcW w:type="dxa" w:w="2160"/>
            <w:vAlign w:val="top"/>
          </w:tcPr>
          <w:p>
            <w:pPr>
              <w:spacing w:after="0" w:line="240" w:lineRule="auto"/>
            </w:pPr>
            <w:r/>
            <w:r>
              <w:rPr>
                <w:rFonts w:ascii="Arial" w:hAnsi="Arial" w:eastAsia="Arial"/>
                <w:b w:val="0"/>
                <w:sz w:val="17"/>
              </w:rPr>
              <w:t>50,000</w:t>
            </w:r>
          </w:p>
        </w:tc>
      </w:tr>
      <w:tr>
        <w:tc>
          <w:tcPr>
            <w:tcW w:type="dxa" w:w="6768"/>
            <w:vAlign w:val="top"/>
          </w:tcPr>
          <w:p>
            <w:pPr>
              <w:spacing w:after="0" w:line="240" w:lineRule="auto"/>
            </w:pPr>
            <w:r/>
            <w:r>
              <w:rPr>
                <w:rFonts w:ascii="Arial" w:hAnsi="Arial" w:eastAsia="Arial"/>
                <w:b w:val="0"/>
                <w:sz w:val="17"/>
              </w:rPr>
              <w:t>Total payment amount</w:t>
            </w:r>
          </w:p>
        </w:tc>
        <w:tc>
          <w:tcPr>
            <w:tcW w:type="dxa" w:w="2160"/>
            <w:vAlign w:val="top"/>
          </w:tcPr>
          <w:p>
            <w:pPr>
              <w:spacing w:after="0" w:line="240" w:lineRule="auto"/>
            </w:pPr>
            <w:r/>
            <w:r>
              <w:rPr>
                <w:rFonts w:ascii="Arial" w:hAnsi="Arial" w:eastAsia="Arial"/>
                <w:b w:val="0"/>
                <w:sz w:val="17"/>
              </w:rPr>
              <w:t>500,000</w:t>
            </w:r>
          </w:p>
        </w:tc>
      </w:tr>
      <w:tr>
        <w:tc>
          <w:tcPr>
            <w:tcW w:type="dxa" w:w="6768"/>
            <w:vAlign w:val="top"/>
          </w:tcPr>
          <w:p>
            <w:pPr>
              <w:spacing w:after="0" w:line="240" w:lineRule="auto"/>
            </w:pPr>
            <w:r/>
            <w:r>
              <w:rPr>
                <w:rFonts w:ascii="Arial" w:hAnsi="Arial" w:eastAsia="Arial"/>
                <w:b w:val="0"/>
                <w:sz w:val="17"/>
              </w:rPr>
              <w:t>Own contribution amount in that fund</w:t>
            </w:r>
          </w:p>
        </w:tc>
        <w:tc>
          <w:tcPr>
            <w:tcW w:type="dxa" w:w="2160"/>
            <w:vAlign w:val="top"/>
          </w:tcPr>
          <w:p>
            <w:pPr>
              <w:spacing w:after="0" w:line="240" w:lineRule="auto"/>
            </w:pPr>
            <w:r/>
            <w:r>
              <w:rPr>
                <w:rFonts w:ascii="Arial" w:hAnsi="Arial" w:eastAsia="Arial"/>
                <w:b w:val="0"/>
                <w:sz w:val="17"/>
              </w:rPr>
              <w:t>(450,000)</w:t>
            </w:r>
          </w:p>
        </w:tc>
      </w:tr>
      <w:tr>
        <w:tc>
          <w:tcPr>
            <w:tcW w:type="dxa" w:w="6768"/>
            <w:vAlign w:val="top"/>
          </w:tcPr>
          <w:p>
            <w:pPr>
              <w:spacing w:after="0" w:line="240" w:lineRule="auto"/>
            </w:pPr>
            <w:r/>
            <w:r>
              <w:rPr>
                <w:rFonts w:ascii="Arial" w:hAnsi="Arial" w:eastAsia="Arial"/>
                <w:b w:val="0"/>
                <w:sz w:val="17"/>
              </w:rPr>
              <w:t>Gain for tax purposes</w:t>
            </w:r>
          </w:p>
        </w:tc>
        <w:tc>
          <w:tcPr>
            <w:tcW w:type="dxa" w:w="2160"/>
            <w:vAlign w:val="top"/>
          </w:tcPr>
          <w:p>
            <w:pPr>
              <w:spacing w:after="0" w:line="240" w:lineRule="auto"/>
            </w:pPr>
            <w:r/>
            <w:r>
              <w:rPr>
                <w:rFonts w:ascii="Arial" w:hAnsi="Arial" w:eastAsia="Arial"/>
                <w:b w:val="0"/>
                <w:sz w:val="17"/>
              </w:rPr>
              <w:t>50,000</w:t>
            </w:r>
          </w:p>
        </w:tc>
      </w:tr>
      <w:tr>
        <w:tc>
          <w:tcPr>
            <w:tcW w:type="dxa" w:w="6768"/>
            <w:vAlign w:val="top"/>
          </w:tcPr>
          <w:p>
            <w:pPr>
              <w:spacing w:after="0" w:line="240" w:lineRule="auto"/>
            </w:pPr>
            <w:r/>
            <w:r>
              <w:rPr>
                <w:rFonts w:ascii="Arial" w:hAnsi="Arial" w:eastAsia="Arial"/>
                <w:b w:val="0"/>
                <w:sz w:val="17"/>
              </w:rPr>
              <w:t>Advance tax at 5%</w:t>
            </w:r>
          </w:p>
        </w:tc>
        <w:tc>
          <w:tcPr>
            <w:tcW w:type="dxa" w:w="2160"/>
            <w:vAlign w:val="top"/>
          </w:tcPr>
          <w:p>
            <w:pPr>
              <w:spacing w:after="0" w:line="240" w:lineRule="auto"/>
            </w:pPr>
            <w:r/>
            <w:r>
              <w:rPr>
                <w:rFonts w:ascii="Arial" w:hAnsi="Arial" w:eastAsia="Arial"/>
                <w:b w:val="0"/>
                <w:sz w:val="17"/>
              </w:rPr>
              <w:t>2,500</w:t>
            </w:r>
          </w:p>
        </w:tc>
      </w:tr>
    </w:tbl>
    <w:p/>
    <w:p>
      <w:pPr>
        <w:spacing w:after="80" w:line="252" w:lineRule="auto"/>
      </w:pPr>
      <w:r>
        <w:rPr>
          <w:rFonts w:ascii="Arial" w:hAnsi="Arial" w:eastAsia="Arial"/>
          <w:b w:val="0"/>
          <w:i w:val="0"/>
          <w:sz w:val="20"/>
        </w:rPr>
        <w:t>Advance tax of Rs. 2,500, being 5 percent under Section 88(1), must be withheld and the balance amount must be paid. However, if the payment is received from the Government of Nepal, tax must be withheld at 5 percent on the balance remaining after reducing from the gain under Section 65(1)(b) the higher of Rs. 500,000 and fifty percent of the payment amount.</w:t>
      </w:r>
    </w:p>
    <w:p>
      <w:pPr>
        <w:spacing w:after="80" w:line="252" w:lineRule="auto"/>
      </w:pPr>
      <w:r>
        <w:rPr>
          <w:rFonts w:ascii="Arial" w:hAnsi="Arial" w:eastAsia="Arial"/>
          <w:b/>
          <w:i w:val="0"/>
          <w:sz w:val="20"/>
        </w:rPr>
        <w:t>Example 12.4.7:</w:t>
      </w:r>
    </w:p>
    <w:p>
      <w:pPr>
        <w:spacing w:after="80" w:line="252" w:lineRule="auto"/>
      </w:pPr>
      <w:r>
        <w:rPr>
          <w:rFonts w:ascii="Arial" w:hAnsi="Arial" w:eastAsia="Arial"/>
          <w:b w:val="0"/>
          <w:i w:val="0"/>
          <w:sz w:val="20"/>
        </w:rPr>
        <w:t>Assume that, in Example 12.4.5 above, the employees by-laws of the bank contain the following provision for gratuity:</w:t>
      </w:r>
    </w:p>
    <w:tbl>
      <w:tblPr>
        <w:tblStyle w:val="TableGrid"/>
        <w:tblW w:type="auto" w:w="0"/>
        <w:jc w:val="center"/>
        <w:tblLayout w:type="autofit"/>
        <w:tblLook w:firstColumn="1" w:firstRow="1" w:lastColumn="0" w:lastRow="0" w:noHBand="0" w:noVBand="1" w:val="04A0"/>
      </w:tblPr>
      <w:tblGrid>
        <w:gridCol w:w="5112"/>
        <w:gridCol w:w="5112"/>
      </w:tblGrid>
      <w:tr>
        <w:tc>
          <w:tcPr>
            <w:tcW w:type="dxa" w:w="3888"/>
            <w:vAlign w:val="top"/>
            <w:shd w:fill="D9EAF7"/>
          </w:tcPr>
          <w:p>
            <w:pPr>
              <w:spacing w:after="0" w:line="240" w:lineRule="auto"/>
            </w:pPr>
            <w:r/>
            <w:r>
              <w:rPr>
                <w:rFonts w:ascii="Arial" w:hAnsi="Arial" w:eastAsia="Arial"/>
                <w:b/>
                <w:sz w:val="17"/>
              </w:rPr>
              <w:t>Service period</w:t>
            </w:r>
          </w:p>
        </w:tc>
        <w:tc>
          <w:tcPr>
            <w:tcW w:type="dxa" w:w="5040"/>
            <w:vAlign w:val="top"/>
            <w:shd w:fill="D9EAF7"/>
          </w:tcPr>
          <w:p>
            <w:pPr>
              <w:spacing w:after="0" w:line="240" w:lineRule="auto"/>
            </w:pPr>
            <w:r/>
            <w:r>
              <w:rPr>
                <w:rFonts w:ascii="Arial" w:hAnsi="Arial" w:eastAsia="Arial"/>
                <w:b/>
                <w:sz w:val="17"/>
              </w:rPr>
              <w:t>Gratuity entitlement</w:t>
            </w:r>
          </w:p>
        </w:tc>
      </w:tr>
      <w:tr>
        <w:tc>
          <w:tcPr>
            <w:tcW w:type="dxa" w:w="3888"/>
            <w:vAlign w:val="top"/>
          </w:tcPr>
          <w:p>
            <w:pPr>
              <w:spacing w:after="0" w:line="240" w:lineRule="auto"/>
            </w:pPr>
            <w:r/>
            <w:r>
              <w:rPr>
                <w:rFonts w:ascii="Arial" w:hAnsi="Arial" w:eastAsia="Arial"/>
                <w:b w:val="0"/>
                <w:sz w:val="17"/>
              </w:rPr>
              <w:t>Completion of 5 years of service</w:t>
            </w:r>
          </w:p>
        </w:tc>
        <w:tc>
          <w:tcPr>
            <w:tcW w:type="dxa" w:w="5040"/>
            <w:vAlign w:val="top"/>
          </w:tcPr>
          <w:p>
            <w:pPr>
              <w:spacing w:after="0" w:line="240" w:lineRule="auto"/>
            </w:pPr>
            <w:r/>
            <w:r>
              <w:rPr>
                <w:rFonts w:ascii="Arial" w:hAnsi="Arial" w:eastAsia="Arial"/>
                <w:b w:val="0"/>
                <w:sz w:val="17"/>
              </w:rPr>
              <w:t>Half month salary for each completed year of service</w:t>
            </w:r>
          </w:p>
        </w:tc>
      </w:tr>
      <w:tr>
        <w:tc>
          <w:tcPr>
            <w:tcW w:type="dxa" w:w="3888"/>
            <w:vAlign w:val="top"/>
          </w:tcPr>
          <w:p>
            <w:pPr>
              <w:spacing w:after="0" w:line="240" w:lineRule="auto"/>
            </w:pPr>
            <w:r/>
            <w:r>
              <w:rPr>
                <w:rFonts w:ascii="Arial" w:hAnsi="Arial" w:eastAsia="Arial"/>
                <w:b w:val="0"/>
                <w:sz w:val="17"/>
              </w:rPr>
              <w:t>More than 5 years and up to 10 years</w:t>
            </w:r>
          </w:p>
        </w:tc>
        <w:tc>
          <w:tcPr>
            <w:tcW w:type="dxa" w:w="5040"/>
            <w:vAlign w:val="top"/>
          </w:tcPr>
          <w:p>
            <w:pPr>
              <w:spacing w:after="0" w:line="240" w:lineRule="auto"/>
            </w:pPr>
            <w:r/>
            <w:r>
              <w:rPr>
                <w:rFonts w:ascii="Arial" w:hAnsi="Arial" w:eastAsia="Arial"/>
                <w:b w:val="0"/>
                <w:sz w:val="17"/>
              </w:rPr>
              <w:t>One month salary for each completed year of service</w:t>
            </w:r>
          </w:p>
        </w:tc>
      </w:tr>
      <w:tr>
        <w:tc>
          <w:tcPr>
            <w:tcW w:type="dxa" w:w="3888"/>
            <w:vAlign w:val="top"/>
          </w:tcPr>
          <w:p>
            <w:pPr>
              <w:spacing w:after="0" w:line="240" w:lineRule="auto"/>
            </w:pPr>
            <w:r/>
            <w:r>
              <w:rPr>
                <w:rFonts w:ascii="Arial" w:hAnsi="Arial" w:eastAsia="Arial"/>
                <w:b w:val="0"/>
                <w:sz w:val="17"/>
              </w:rPr>
              <w:t>More than 10 years and up to 15 years</w:t>
            </w:r>
          </w:p>
        </w:tc>
        <w:tc>
          <w:tcPr>
            <w:tcW w:type="dxa" w:w="5040"/>
            <w:vAlign w:val="top"/>
          </w:tcPr>
          <w:p>
            <w:pPr>
              <w:spacing w:after="0" w:line="240" w:lineRule="auto"/>
            </w:pPr>
            <w:r/>
            <w:r>
              <w:rPr>
                <w:rFonts w:ascii="Arial" w:hAnsi="Arial" w:eastAsia="Arial"/>
                <w:b w:val="0"/>
                <w:sz w:val="17"/>
              </w:rPr>
              <w:t>One and a half months salary for each completed year of service</w:t>
            </w:r>
          </w:p>
        </w:tc>
      </w:tr>
      <w:tr>
        <w:tc>
          <w:tcPr>
            <w:tcW w:type="dxa" w:w="3888"/>
            <w:vAlign w:val="top"/>
          </w:tcPr>
          <w:p>
            <w:pPr>
              <w:spacing w:after="0" w:line="240" w:lineRule="auto"/>
            </w:pPr>
            <w:r/>
            <w:r>
              <w:rPr>
                <w:rFonts w:ascii="Arial" w:hAnsi="Arial" w:eastAsia="Arial"/>
                <w:b w:val="0"/>
                <w:sz w:val="17"/>
              </w:rPr>
              <w:t>More than 15 years</w:t>
            </w:r>
          </w:p>
        </w:tc>
        <w:tc>
          <w:tcPr>
            <w:tcW w:type="dxa" w:w="5040"/>
            <w:vAlign w:val="top"/>
          </w:tcPr>
          <w:p>
            <w:pPr>
              <w:spacing w:after="0" w:line="240" w:lineRule="auto"/>
            </w:pPr>
            <w:r/>
            <w:r>
              <w:rPr>
                <w:rFonts w:ascii="Arial" w:hAnsi="Arial" w:eastAsia="Arial"/>
                <w:b w:val="0"/>
                <w:sz w:val="17"/>
              </w:rPr>
              <w:t>Two months salary for each completed year of service</w:t>
            </w:r>
          </w:p>
        </w:tc>
      </w:tr>
    </w:tbl>
    <w:p/>
    <w:p>
      <w:pPr>
        <w:spacing w:after="80" w:line="252" w:lineRule="auto"/>
      </w:pPr>
      <w:r>
        <w:rPr>
          <w:rFonts w:ascii="Arial" w:hAnsi="Arial" w:eastAsia="Arial"/>
          <w:b w:val="0"/>
          <w:i w:val="0"/>
          <w:sz w:val="20"/>
        </w:rPr>
        <w:t>At the time of retirement, his salary was Rs. 40,000 per month. He had 60 days of home leave up to 18 Chaitra 2058 and 120 days of home leave at the time of retirement, for which he received Rs. 160,000. His tax is computed as follows:</w:t>
      </w:r>
    </w:p>
    <w:tbl>
      <w:tblPr>
        <w:tblStyle w:val="TableGrid"/>
        <w:tblW w:type="auto" w:w="0"/>
        <w:jc w:val="center"/>
        <w:tblLayout w:type="autofit"/>
        <w:tblLook w:firstColumn="1" w:firstRow="1" w:lastColumn="0" w:lastRow="0" w:noHBand="0" w:noVBand="1" w:val="04A0"/>
      </w:tblPr>
      <w:tblGrid>
        <w:gridCol w:w="5112"/>
        <w:gridCol w:w="5112"/>
      </w:tblGrid>
      <w:tr>
        <w:tc>
          <w:tcPr>
            <w:tcW w:type="dxa" w:w="6768"/>
            <w:vAlign w:val="top"/>
            <w:shd w:fill="D9EAF7"/>
          </w:tcPr>
          <w:p>
            <w:pPr>
              <w:spacing w:after="0" w:line="240" w:lineRule="auto"/>
            </w:pPr>
            <w:r/>
            <w:r>
              <w:rPr>
                <w:rFonts w:ascii="Arial" w:hAnsi="Arial" w:eastAsia="Arial"/>
                <w:b/>
                <w:sz w:val="17"/>
              </w:rPr>
              <w:t>Particulars</w:t>
            </w:r>
          </w:p>
        </w:tc>
        <w:tc>
          <w:tcPr>
            <w:tcW w:type="dxa" w:w="2160"/>
            <w:vAlign w:val="top"/>
            <w:shd w:fill="D9EAF7"/>
          </w:tcPr>
          <w:p>
            <w:pPr>
              <w:spacing w:after="0" w:line="240" w:lineRule="auto"/>
            </w:pPr>
            <w:r/>
            <w:r>
              <w:rPr>
                <w:rFonts w:ascii="Arial" w:hAnsi="Arial" w:eastAsia="Arial"/>
                <w:b/>
                <w:sz w:val="17"/>
              </w:rPr>
              <w:t>Amount (Rs.)</w:t>
            </w:r>
          </w:p>
        </w:tc>
      </w:tr>
      <w:tr>
        <w:tc>
          <w:tcPr>
            <w:tcW w:type="dxa" w:w="6768"/>
            <w:vAlign w:val="top"/>
          </w:tcPr>
          <w:p>
            <w:pPr>
              <w:spacing w:after="0" w:line="240" w:lineRule="auto"/>
            </w:pPr>
            <w:r/>
            <w:r>
              <w:rPr>
                <w:rFonts w:ascii="Arial" w:hAnsi="Arial" w:eastAsia="Arial"/>
                <w:b w:val="0"/>
                <w:sz w:val="17"/>
              </w:rPr>
              <w:t>Gratuity payment: salary for 2 months per year for 21.08 years</w:t>
            </w:r>
          </w:p>
        </w:tc>
        <w:tc>
          <w:tcPr>
            <w:tcW w:type="dxa" w:w="2160"/>
            <w:vAlign w:val="top"/>
          </w:tcPr>
          <w:p>
            <w:pPr>
              <w:spacing w:after="0" w:line="240" w:lineRule="auto"/>
            </w:pPr>
            <w:r/>
            <w:r>
              <w:rPr>
                <w:rFonts w:ascii="Arial" w:hAnsi="Arial" w:eastAsia="Arial"/>
                <w:b w:val="0"/>
                <w:sz w:val="17"/>
              </w:rPr>
              <w:t>1,686,400</w:t>
            </w:r>
          </w:p>
        </w:tc>
      </w:tr>
      <w:tr>
        <w:tc>
          <w:tcPr>
            <w:tcW w:type="dxa" w:w="6768"/>
            <w:vAlign w:val="top"/>
          </w:tcPr>
          <w:p>
            <w:pPr>
              <w:spacing w:after="0" w:line="240" w:lineRule="auto"/>
            </w:pPr>
            <w:r/>
            <w:r>
              <w:rPr>
                <w:rFonts w:ascii="Arial" w:hAnsi="Arial" w:eastAsia="Arial"/>
                <w:b w:val="0"/>
                <w:sz w:val="17"/>
              </w:rPr>
              <w:t>Home leave amount for 120 days</w:t>
            </w:r>
          </w:p>
        </w:tc>
        <w:tc>
          <w:tcPr>
            <w:tcW w:type="dxa" w:w="2160"/>
            <w:vAlign w:val="top"/>
          </w:tcPr>
          <w:p>
            <w:pPr>
              <w:spacing w:after="0" w:line="240" w:lineRule="auto"/>
            </w:pPr>
            <w:r/>
            <w:r>
              <w:rPr>
                <w:rFonts w:ascii="Arial" w:hAnsi="Arial" w:eastAsia="Arial"/>
                <w:b w:val="0"/>
                <w:sz w:val="17"/>
              </w:rPr>
              <w:t>160,000</w:t>
            </w:r>
          </w:p>
        </w:tc>
      </w:tr>
      <w:tr>
        <w:tc>
          <w:tcPr>
            <w:tcW w:type="dxa" w:w="6768"/>
            <w:vAlign w:val="top"/>
          </w:tcPr>
          <w:p>
            <w:pPr>
              <w:spacing w:after="0" w:line="240" w:lineRule="auto"/>
            </w:pPr>
            <w:r/>
            <w:r>
              <w:rPr>
                <w:rFonts w:ascii="Arial" w:hAnsi="Arial" w:eastAsia="Arial"/>
                <w:b w:val="0"/>
                <w:sz w:val="17"/>
              </w:rPr>
              <w:t>Leave accrued up to 18 Chaitra 2058 for 60 days</w:t>
            </w:r>
          </w:p>
        </w:tc>
        <w:tc>
          <w:tcPr>
            <w:tcW w:type="dxa" w:w="2160"/>
            <w:vAlign w:val="top"/>
          </w:tcPr>
          <w:p>
            <w:pPr>
              <w:spacing w:after="0" w:line="240" w:lineRule="auto"/>
            </w:pPr>
            <w:r/>
            <w:r>
              <w:rPr>
                <w:rFonts w:ascii="Arial" w:hAnsi="Arial" w:eastAsia="Arial"/>
                <w:b w:val="0"/>
                <w:sz w:val="17"/>
              </w:rPr>
              <w:t>(80,000)</w:t>
            </w:r>
          </w:p>
        </w:tc>
      </w:tr>
      <w:tr>
        <w:tc>
          <w:tcPr>
            <w:tcW w:type="dxa" w:w="6768"/>
            <w:vAlign w:val="top"/>
          </w:tcPr>
          <w:p>
            <w:pPr>
              <w:spacing w:after="0" w:line="240" w:lineRule="auto"/>
            </w:pPr>
            <w:r/>
            <w:r>
              <w:rPr>
                <w:rFonts w:ascii="Arial" w:hAnsi="Arial" w:eastAsia="Arial"/>
                <w:b w:val="0"/>
                <w:sz w:val="17"/>
              </w:rPr>
              <w:t>Taxable retirement payment for leave (A)</w:t>
            </w:r>
          </w:p>
        </w:tc>
        <w:tc>
          <w:tcPr>
            <w:tcW w:type="dxa" w:w="2160"/>
            <w:vAlign w:val="top"/>
          </w:tcPr>
          <w:p>
            <w:pPr>
              <w:spacing w:after="0" w:line="240" w:lineRule="auto"/>
            </w:pPr>
            <w:r/>
            <w:r>
              <w:rPr>
                <w:rFonts w:ascii="Arial" w:hAnsi="Arial" w:eastAsia="Arial"/>
                <w:b w:val="0"/>
                <w:sz w:val="17"/>
              </w:rPr>
              <w:t>80,000</w:t>
            </w:r>
          </w:p>
        </w:tc>
      </w:tr>
      <w:tr>
        <w:tc>
          <w:tcPr>
            <w:tcW w:type="dxa" w:w="6768"/>
            <w:vAlign w:val="top"/>
          </w:tcPr>
          <w:p>
            <w:pPr>
              <w:spacing w:after="0" w:line="240" w:lineRule="auto"/>
            </w:pPr>
            <w:r/>
            <w:r>
              <w:rPr>
                <w:rFonts w:ascii="Arial" w:hAnsi="Arial" w:eastAsia="Arial"/>
                <w:b w:val="0"/>
                <w:sz w:val="17"/>
              </w:rPr>
              <w:t>Gratuity amount</w:t>
            </w:r>
          </w:p>
        </w:tc>
        <w:tc>
          <w:tcPr>
            <w:tcW w:type="dxa" w:w="2160"/>
            <w:vAlign w:val="top"/>
          </w:tcPr>
          <w:p>
            <w:pPr>
              <w:spacing w:after="0" w:line="240" w:lineRule="auto"/>
            </w:pPr>
            <w:r/>
            <w:r>
              <w:rPr>
                <w:rFonts w:ascii="Arial" w:hAnsi="Arial" w:eastAsia="Arial"/>
                <w:b w:val="0"/>
                <w:sz w:val="17"/>
              </w:rPr>
              <w:t>1,686,400</w:t>
            </w:r>
          </w:p>
        </w:tc>
      </w:tr>
      <w:tr>
        <w:tc>
          <w:tcPr>
            <w:tcW w:type="dxa" w:w="6768"/>
            <w:vAlign w:val="top"/>
          </w:tcPr>
          <w:p>
            <w:pPr>
              <w:spacing w:after="0" w:line="240" w:lineRule="auto"/>
            </w:pPr>
            <w:r/>
            <w:r>
              <w:rPr>
                <w:rFonts w:ascii="Arial" w:hAnsi="Arial" w:eastAsia="Arial"/>
                <w:b w:val="0"/>
                <w:sz w:val="17"/>
              </w:rPr>
              <w:t>Gratuity accrued up to 18 Chaitra 2058 (40,000 x 14.953 years x 2 months)</w:t>
            </w:r>
          </w:p>
        </w:tc>
        <w:tc>
          <w:tcPr>
            <w:tcW w:type="dxa" w:w="2160"/>
            <w:vAlign w:val="top"/>
          </w:tcPr>
          <w:p>
            <w:pPr>
              <w:spacing w:after="0" w:line="240" w:lineRule="auto"/>
            </w:pPr>
            <w:r/>
            <w:r>
              <w:rPr>
                <w:rFonts w:ascii="Arial" w:hAnsi="Arial" w:eastAsia="Arial"/>
                <w:b w:val="0"/>
                <w:sz w:val="17"/>
              </w:rPr>
              <w:t>(1,196,240)</w:t>
            </w:r>
          </w:p>
        </w:tc>
      </w:tr>
      <w:tr>
        <w:tc>
          <w:tcPr>
            <w:tcW w:type="dxa" w:w="6768"/>
            <w:vAlign w:val="top"/>
          </w:tcPr>
          <w:p>
            <w:pPr>
              <w:spacing w:after="0" w:line="240" w:lineRule="auto"/>
            </w:pPr>
            <w:r/>
            <w:r>
              <w:rPr>
                <w:rFonts w:ascii="Arial" w:hAnsi="Arial" w:eastAsia="Arial"/>
                <w:b w:val="0"/>
                <w:sz w:val="17"/>
              </w:rPr>
              <w:t>Taxable retirement gratuity (B)</w:t>
            </w:r>
          </w:p>
        </w:tc>
        <w:tc>
          <w:tcPr>
            <w:tcW w:type="dxa" w:w="2160"/>
            <w:vAlign w:val="top"/>
          </w:tcPr>
          <w:p>
            <w:pPr>
              <w:spacing w:after="0" w:line="240" w:lineRule="auto"/>
            </w:pPr>
            <w:r/>
            <w:r>
              <w:rPr>
                <w:rFonts w:ascii="Arial" w:hAnsi="Arial" w:eastAsia="Arial"/>
                <w:b w:val="0"/>
                <w:sz w:val="17"/>
              </w:rPr>
              <w:t>490,160</w:t>
            </w:r>
          </w:p>
        </w:tc>
      </w:tr>
      <w:tr>
        <w:tc>
          <w:tcPr>
            <w:tcW w:type="dxa" w:w="6768"/>
            <w:vAlign w:val="top"/>
          </w:tcPr>
          <w:p>
            <w:pPr>
              <w:spacing w:after="0" w:line="240" w:lineRule="auto"/>
            </w:pPr>
            <w:r/>
            <w:r>
              <w:rPr>
                <w:rFonts w:ascii="Arial" w:hAnsi="Arial" w:eastAsia="Arial"/>
                <w:b w:val="0"/>
                <w:sz w:val="17"/>
              </w:rPr>
              <w:t>Retirement payment for tax purposes (A+B)</w:t>
            </w:r>
          </w:p>
        </w:tc>
        <w:tc>
          <w:tcPr>
            <w:tcW w:type="dxa" w:w="2160"/>
            <w:vAlign w:val="top"/>
          </w:tcPr>
          <w:p>
            <w:pPr>
              <w:spacing w:after="0" w:line="240" w:lineRule="auto"/>
            </w:pPr>
            <w:r/>
            <w:r>
              <w:rPr>
                <w:rFonts w:ascii="Arial" w:hAnsi="Arial" w:eastAsia="Arial"/>
                <w:b w:val="0"/>
                <w:sz w:val="17"/>
              </w:rPr>
              <w:t>570,160</w:t>
            </w:r>
          </w:p>
        </w:tc>
      </w:tr>
    </w:tbl>
    <w:p/>
    <w:p>
      <w:pPr>
        <w:spacing w:after="80" w:line="252" w:lineRule="auto"/>
      </w:pPr>
      <w:r>
        <w:rPr>
          <w:rFonts w:ascii="Arial" w:hAnsi="Arial" w:eastAsia="Arial"/>
          <w:b w:val="0"/>
          <w:i w:val="0"/>
          <w:sz w:val="20"/>
        </w:rPr>
        <w:t>Advance tax at the rate of 15 percent under Section 88(1) of the Income Tax Act, 2058 must be withheld on the retirement payment of Rs. 570,160 computed for tax purposes. Since the payment received after withholding advance tax is a final withholding payment under Section 92, it is not required to be included while computing employment income under Section 8(3). Since gratuity and leave amounts accrued before the commencement of the Act under Rule 20(6)(a) are calculated and paid only at the time of retirement, exemption must be computed using the salary being drawn at the time of retirement.</w:t>
      </w:r>
    </w:p>
    <w:p>
      <w:pPr>
        <w:spacing w:after="80" w:line="252" w:lineRule="auto"/>
      </w:pPr>
      <w:r>
        <w:rPr>
          <w:rFonts w:ascii="Arial" w:hAnsi="Arial" w:eastAsia="Arial"/>
          <w:b w:val="0"/>
          <w:i w:val="0"/>
          <w:sz w:val="20"/>
        </w:rPr>
        <w:t>However, if such payment is received from the Government of Nepal, tax must be withheld at 5 percent on the balance remaining after reducing the higher of Rs. 500,000 and fifty percent of the payment amount, as gain computed under Section 65(1)(b).</w:t>
      </w:r>
    </w:p>
    <w:p>
      <w:pPr>
        <w:spacing w:after="80" w:line="252" w:lineRule="auto"/>
      </w:pPr>
      <w:r>
        <w:rPr>
          <w:rFonts w:ascii="Arial" w:hAnsi="Arial" w:eastAsia="Arial"/>
          <w:b w:val="0"/>
          <w:i w:val="0"/>
          <w:sz w:val="20"/>
        </w:rPr>
        <w:t>Clause (b): In the case of employees or workers who were in service at the time of commencement of the Act, medical treatment expenditure up to Rs. 180,000 payable under their service conditions at the time of retirement shall not be included in their income.</w:t>
      </w:r>
    </w:p>
    <w:p>
      <w:pPr>
        <w:spacing w:after="80" w:line="252" w:lineRule="auto"/>
      </w:pPr>
      <w:r>
        <w:rPr>
          <w:rFonts w:ascii="Arial" w:hAnsi="Arial" w:eastAsia="Arial"/>
          <w:b/>
          <w:i w:val="0"/>
          <w:sz w:val="20"/>
        </w:rPr>
        <w:t>Example 12.4.8:</w:t>
      </w:r>
    </w:p>
    <w:p>
      <w:pPr>
        <w:spacing w:after="80" w:line="252" w:lineRule="auto"/>
      </w:pPr>
      <w:r>
        <w:rPr>
          <w:rFonts w:ascii="Arial" w:hAnsi="Arial" w:eastAsia="Arial"/>
          <w:b w:val="0"/>
          <w:i w:val="0"/>
          <w:sz w:val="20"/>
        </w:rPr>
        <w:t>Assume that Swechchha Kapali is an employee working in Development Bank Limited from 1 Bhadra 2052. Under the employees service conditions by-laws of the bank, at the time of retirement she is entitled to medical treatment expenditure equal to one month salary for each year of service. Her other details are as follows: retirement on 31 Shrawan 2064; salary at retirement Rs. 20,000 per month; service period 12 years. Based on the above information, her medical treatment expenditure is computed for tax purposes as follows:</w:t>
      </w:r>
    </w:p>
    <w:tbl>
      <w:tblPr>
        <w:tblStyle w:val="TableGrid"/>
        <w:tblW w:type="auto" w:w="0"/>
        <w:jc w:val="center"/>
        <w:tblLayout w:type="autofit"/>
        <w:tblLook w:firstColumn="1" w:firstRow="1" w:lastColumn="0" w:lastRow="0" w:noHBand="0" w:noVBand="1" w:val="04A0"/>
      </w:tblPr>
      <w:tblGrid>
        <w:gridCol w:w="5112"/>
        <w:gridCol w:w="5112"/>
      </w:tblGrid>
      <w:tr>
        <w:tc>
          <w:tcPr>
            <w:tcW w:type="dxa" w:w="6768"/>
            <w:vAlign w:val="top"/>
            <w:shd w:fill="D9EAF7"/>
          </w:tcPr>
          <w:p>
            <w:pPr>
              <w:spacing w:after="0" w:line="240" w:lineRule="auto"/>
            </w:pPr>
            <w:r/>
            <w:r>
              <w:rPr>
                <w:rFonts w:ascii="Arial" w:hAnsi="Arial" w:eastAsia="Arial"/>
                <w:b/>
                <w:sz w:val="17"/>
              </w:rPr>
              <w:t>Particulars</w:t>
            </w:r>
          </w:p>
        </w:tc>
        <w:tc>
          <w:tcPr>
            <w:tcW w:type="dxa" w:w="2160"/>
            <w:vAlign w:val="top"/>
            <w:shd w:fill="D9EAF7"/>
          </w:tcPr>
          <w:p>
            <w:pPr>
              <w:spacing w:after="0" w:line="240" w:lineRule="auto"/>
            </w:pPr>
            <w:r/>
            <w:r>
              <w:rPr>
                <w:rFonts w:ascii="Arial" w:hAnsi="Arial" w:eastAsia="Arial"/>
                <w:b/>
                <w:sz w:val="17"/>
              </w:rPr>
              <w:t>Amount (Rs.)</w:t>
            </w:r>
          </w:p>
        </w:tc>
      </w:tr>
      <w:tr>
        <w:tc>
          <w:tcPr>
            <w:tcW w:type="dxa" w:w="6768"/>
            <w:vAlign w:val="top"/>
          </w:tcPr>
          <w:p>
            <w:pPr>
              <w:spacing w:after="0" w:line="240" w:lineRule="auto"/>
            </w:pPr>
            <w:r/>
            <w:r>
              <w:rPr>
                <w:rFonts w:ascii="Arial" w:hAnsi="Arial" w:eastAsia="Arial"/>
                <w:b w:val="0"/>
                <w:sz w:val="17"/>
              </w:rPr>
              <w:t>Service period</w:t>
            </w:r>
          </w:p>
        </w:tc>
        <w:tc>
          <w:tcPr>
            <w:tcW w:type="dxa" w:w="2160"/>
            <w:vAlign w:val="top"/>
          </w:tcPr>
          <w:p>
            <w:pPr>
              <w:spacing w:after="0" w:line="240" w:lineRule="auto"/>
            </w:pPr>
            <w:r/>
            <w:r>
              <w:rPr>
                <w:rFonts w:ascii="Arial" w:hAnsi="Arial" w:eastAsia="Arial"/>
                <w:b w:val="0"/>
                <w:sz w:val="17"/>
              </w:rPr>
              <w:t>12 years</w:t>
            </w:r>
          </w:p>
        </w:tc>
      </w:tr>
      <w:tr>
        <w:tc>
          <w:tcPr>
            <w:tcW w:type="dxa" w:w="6768"/>
            <w:vAlign w:val="top"/>
          </w:tcPr>
          <w:p>
            <w:pPr>
              <w:spacing w:after="0" w:line="240" w:lineRule="auto"/>
            </w:pPr>
            <w:r/>
            <w:r>
              <w:rPr>
                <w:rFonts w:ascii="Arial" w:hAnsi="Arial" w:eastAsia="Arial"/>
                <w:b w:val="0"/>
                <w:sz w:val="17"/>
              </w:rPr>
              <w:t>Medical treatment expenditure payment: 12 x 20,000</w:t>
            </w:r>
          </w:p>
        </w:tc>
        <w:tc>
          <w:tcPr>
            <w:tcW w:type="dxa" w:w="2160"/>
            <w:vAlign w:val="top"/>
          </w:tcPr>
          <w:p>
            <w:pPr>
              <w:spacing w:after="0" w:line="240" w:lineRule="auto"/>
            </w:pPr>
            <w:r/>
            <w:r>
              <w:rPr>
                <w:rFonts w:ascii="Arial" w:hAnsi="Arial" w:eastAsia="Arial"/>
                <w:b w:val="0"/>
                <w:sz w:val="17"/>
              </w:rPr>
              <w:t>240,000</w:t>
            </w:r>
          </w:p>
        </w:tc>
      </w:tr>
      <w:tr>
        <w:tc>
          <w:tcPr>
            <w:tcW w:type="dxa" w:w="6768"/>
            <w:vAlign w:val="top"/>
          </w:tcPr>
          <w:p>
            <w:pPr>
              <w:spacing w:after="0" w:line="240" w:lineRule="auto"/>
            </w:pPr>
            <w:r/>
            <w:r>
              <w:rPr>
                <w:rFonts w:ascii="Arial" w:hAnsi="Arial" w:eastAsia="Arial"/>
                <w:b w:val="0"/>
                <w:sz w:val="17"/>
              </w:rPr>
              <w:t>Exempt amount under Rule 20(6)(b)</w:t>
            </w:r>
          </w:p>
        </w:tc>
        <w:tc>
          <w:tcPr>
            <w:tcW w:type="dxa" w:w="2160"/>
            <w:vAlign w:val="top"/>
          </w:tcPr>
          <w:p>
            <w:pPr>
              <w:spacing w:after="0" w:line="240" w:lineRule="auto"/>
            </w:pPr>
            <w:r/>
            <w:r>
              <w:rPr>
                <w:rFonts w:ascii="Arial" w:hAnsi="Arial" w:eastAsia="Arial"/>
                <w:b w:val="0"/>
                <w:sz w:val="17"/>
              </w:rPr>
              <w:t>(180,000)</w:t>
            </w:r>
          </w:p>
        </w:tc>
      </w:tr>
      <w:tr>
        <w:tc>
          <w:tcPr>
            <w:tcW w:type="dxa" w:w="6768"/>
            <w:vAlign w:val="top"/>
          </w:tcPr>
          <w:p>
            <w:pPr>
              <w:spacing w:after="0" w:line="240" w:lineRule="auto"/>
            </w:pPr>
            <w:r/>
            <w:r>
              <w:rPr>
                <w:rFonts w:ascii="Arial" w:hAnsi="Arial" w:eastAsia="Arial"/>
                <w:b w:val="0"/>
                <w:sz w:val="17"/>
              </w:rPr>
              <w:t>Retirement payment under medical treatment expenditure</w:t>
            </w:r>
          </w:p>
        </w:tc>
        <w:tc>
          <w:tcPr>
            <w:tcW w:type="dxa" w:w="2160"/>
            <w:vAlign w:val="top"/>
          </w:tcPr>
          <w:p>
            <w:pPr>
              <w:spacing w:after="0" w:line="240" w:lineRule="auto"/>
            </w:pPr>
            <w:r/>
            <w:r>
              <w:rPr>
                <w:rFonts w:ascii="Arial" w:hAnsi="Arial" w:eastAsia="Arial"/>
                <w:b w:val="0"/>
                <w:sz w:val="17"/>
              </w:rPr>
              <w:t>60,000</w:t>
            </w:r>
          </w:p>
        </w:tc>
      </w:tr>
      <w:tr>
        <w:tc>
          <w:tcPr>
            <w:tcW w:type="dxa" w:w="6768"/>
            <w:vAlign w:val="top"/>
          </w:tcPr>
          <w:p>
            <w:pPr>
              <w:spacing w:after="0" w:line="240" w:lineRule="auto"/>
            </w:pPr>
            <w:r/>
            <w:r>
              <w:rPr>
                <w:rFonts w:ascii="Arial" w:hAnsi="Arial" w:eastAsia="Arial"/>
                <w:b w:val="0"/>
                <w:sz w:val="17"/>
              </w:rPr>
              <w:t>Tax to be withheld at 15% on Rs. 60,000</w:t>
            </w:r>
          </w:p>
        </w:tc>
        <w:tc>
          <w:tcPr>
            <w:tcW w:type="dxa" w:w="2160"/>
            <w:vAlign w:val="top"/>
          </w:tcPr>
          <w:p>
            <w:pPr>
              <w:spacing w:after="0" w:line="240" w:lineRule="auto"/>
            </w:pPr>
            <w:r/>
            <w:r>
              <w:rPr>
                <w:rFonts w:ascii="Arial" w:hAnsi="Arial" w:eastAsia="Arial"/>
                <w:b w:val="0"/>
                <w:sz w:val="17"/>
              </w:rPr>
              <w:t>9,000</w:t>
            </w:r>
          </w:p>
        </w:tc>
      </w:tr>
      <w:tr>
        <w:tc>
          <w:tcPr>
            <w:tcW w:type="dxa" w:w="6768"/>
            <w:vAlign w:val="top"/>
          </w:tcPr>
          <w:p>
            <w:pPr>
              <w:spacing w:after="0" w:line="240" w:lineRule="auto"/>
            </w:pPr>
            <w:r/>
            <w:r>
              <w:rPr>
                <w:rFonts w:ascii="Arial" w:hAnsi="Arial" w:eastAsia="Arial"/>
                <w:b w:val="0"/>
                <w:sz w:val="17"/>
              </w:rPr>
              <w:t>Net amount payable (240,000 - 9,000)</w:t>
            </w:r>
          </w:p>
        </w:tc>
        <w:tc>
          <w:tcPr>
            <w:tcW w:type="dxa" w:w="2160"/>
            <w:vAlign w:val="top"/>
          </w:tcPr>
          <w:p>
            <w:pPr>
              <w:spacing w:after="0" w:line="240" w:lineRule="auto"/>
            </w:pPr>
            <w:r/>
            <w:r>
              <w:rPr>
                <w:rFonts w:ascii="Arial" w:hAnsi="Arial" w:eastAsia="Arial"/>
                <w:b w:val="0"/>
                <w:sz w:val="17"/>
              </w:rPr>
              <w:t>231,000</w:t>
            </w:r>
          </w:p>
        </w:tc>
      </w:tr>
    </w:tbl>
    <w:p/>
    <w:p>
      <w:pPr>
        <w:pStyle w:val="Heading2"/>
      </w:pPr>
      <w:r>
        <w:t>12.5 Retirement Contribution Amount</w:t>
      </w:r>
    </w:p>
    <w:p>
      <w:pPr>
        <w:spacing w:after="80" w:line="252" w:lineRule="auto"/>
      </w:pPr>
      <w:r>
        <w:rPr>
          <w:rFonts w:ascii="Arial" w:hAnsi="Arial" w:eastAsia="Arial"/>
          <w:b w:val="0"/>
          <w:i w:val="0"/>
          <w:sz w:val="20"/>
        </w:rPr>
        <w:t>Under clause (f) of Section 2 of the Act, "retirement contribution amount" means a payment made to a retirement fund for the provision of retirement payment or for making such provision in the future.</w:t>
      </w:r>
    </w:p>
    <w:p>
      <w:pPr>
        <w:spacing w:after="80" w:line="252" w:lineRule="auto"/>
      </w:pPr>
      <w:r>
        <w:rPr>
          <w:rFonts w:ascii="Arial" w:hAnsi="Arial" w:eastAsia="Arial"/>
          <w:b w:val="0"/>
          <w:i w:val="0"/>
          <w:sz w:val="20"/>
        </w:rPr>
        <w:t>Retirement contribution amount includes the retirement contribution amount deposited by a natural person himself or herself, or the amount deposited by an associated person, that is, by an employer in the case of employment.</w:t>
      </w:r>
    </w:p>
    <w:p>
      <w:pPr>
        <w:spacing w:after="80" w:line="252" w:lineRule="auto"/>
      </w:pPr>
      <w:r>
        <w:rPr>
          <w:rFonts w:ascii="Arial" w:hAnsi="Arial" w:eastAsia="Arial"/>
          <w:b/>
          <w:i w:val="0"/>
          <w:sz w:val="20"/>
        </w:rPr>
        <w:t>Example 12.5.1:</w:t>
      </w:r>
    </w:p>
    <w:p>
      <w:pPr>
        <w:spacing w:after="80" w:line="252" w:lineRule="auto"/>
      </w:pPr>
      <w:r>
        <w:rPr>
          <w:rFonts w:ascii="Arial" w:hAnsi="Arial" w:eastAsia="Arial"/>
          <w:b w:val="0"/>
          <w:i w:val="0"/>
          <w:sz w:val="20"/>
        </w:rPr>
        <w:t>Hamid Ahmad is employed in Kamalesh Pvt. Ltd. with remuneration of Rs. 20,000 per month. If the company deposits Rs. 2,000 per month in his name in a retirement fund and he separately invests Rs. 2,000 in that fund, the total Rs. 4,000 is treated as Hamid Ahmad's retirement contribution amount.</w:t>
      </w:r>
    </w:p>
    <w:p>
      <w:pPr>
        <w:spacing w:after="80" w:line="252" w:lineRule="auto"/>
      </w:pPr>
      <w:r>
        <w:rPr>
          <w:rFonts w:ascii="Arial" w:hAnsi="Arial" w:eastAsia="Arial"/>
          <w:b w:val="0"/>
          <w:i w:val="0"/>
          <w:sz w:val="20"/>
        </w:rPr>
        <w:t>Retirement contribution may be made to an approved retirement fund or to an unapproved retirement fund. Retirement contribution made to an approved retirement fund may be claimed as a reduction from taxable income subject to Section 63 of the Act, whereas retirement contribution made to an unapproved retirement fund cannot be claimed as a reduction from taxable income.</w:t>
      </w:r>
    </w:p>
    <w:p>
      <w:pPr>
        <w:pStyle w:val="Heading2"/>
      </w:pPr>
      <w:r>
        <w:t>12.6 Limit of Retirement Contribution</w:t>
      </w:r>
    </w:p>
    <w:p>
      <w:pPr>
        <w:spacing w:after="80" w:line="252" w:lineRule="auto"/>
      </w:pPr>
      <w:r>
        <w:rPr>
          <w:rFonts w:ascii="Arial" w:hAnsi="Arial" w:eastAsia="Arial"/>
          <w:b w:val="0"/>
          <w:i w:val="0"/>
          <w:sz w:val="20"/>
        </w:rPr>
        <w:t>Rule 21 provides the following limit for retirement contribution:</w:t>
      </w:r>
    </w:p>
    <w:p>
      <w:pPr>
        <w:spacing w:after="80" w:line="252" w:lineRule="auto"/>
      </w:pPr>
      <w:r>
        <w:rPr>
          <w:rFonts w:ascii="Arial" w:hAnsi="Arial" w:eastAsia="Arial"/>
          <w:b w:val="0"/>
          <w:i w:val="0"/>
          <w:sz w:val="20"/>
        </w:rPr>
        <w:t>In an income year, a natural person who is a beneficiary of an approved retirement fund may reduce from taxable income the lower of five hundred thousand rupees and one-third of the person's assessable income in respect of retirement contribution made to the retirement fund.</w:t>
      </w:r>
    </w:p>
    <w:p>
      <w:pPr>
        <w:spacing w:after="80" w:line="252" w:lineRule="auto"/>
      </w:pPr>
      <w:r>
        <w:rPr>
          <w:rFonts w:ascii="Arial" w:hAnsi="Arial" w:eastAsia="Arial"/>
          <w:b/>
          <w:i w:val="0"/>
          <w:sz w:val="20"/>
        </w:rPr>
        <w:t>Example 12.6.1:</w:t>
      </w:r>
    </w:p>
    <w:p>
      <w:pPr>
        <w:spacing w:after="80" w:line="252" w:lineRule="auto"/>
      </w:pPr>
      <w:r>
        <w:rPr>
          <w:rFonts w:ascii="Arial" w:hAnsi="Arial" w:eastAsia="Arial"/>
          <w:b w:val="0"/>
          <w:i w:val="0"/>
          <w:sz w:val="20"/>
        </w:rPr>
        <w:t>Assume that Aparijita Kashyap is an employee working in Development Bank Limited. She receives the following salary and facilities from the bank. The bank deducts 10 percent from her salary and deposits an equal additional amount in an approved retirement fund.</w:t>
      </w:r>
    </w:p>
    <w:tbl>
      <w:tblPr>
        <w:tblStyle w:val="TableGrid"/>
        <w:tblW w:type="auto" w:w="0"/>
        <w:jc w:val="center"/>
        <w:tblLayout w:type="autofit"/>
        <w:tblLook w:firstColumn="1" w:firstRow="1" w:lastColumn="0" w:lastRow="0" w:noHBand="0" w:noVBand="1" w:val="04A0"/>
      </w:tblPr>
      <w:tblGrid>
        <w:gridCol w:w="3408"/>
        <w:gridCol w:w="3408"/>
        <w:gridCol w:w="3408"/>
      </w:tblGrid>
      <w:tr>
        <w:tc>
          <w:tcPr>
            <w:tcW w:type="dxa" w:w="3600"/>
            <w:vAlign w:val="top"/>
            <w:shd w:fill="D9EAF7"/>
          </w:tcPr>
          <w:p>
            <w:pPr>
              <w:spacing w:after="0" w:line="240" w:lineRule="auto"/>
            </w:pPr>
            <w:r/>
            <w:r>
              <w:rPr>
                <w:rFonts w:ascii="Arial" w:hAnsi="Arial" w:eastAsia="Arial"/>
                <w:b/>
                <w:sz w:val="17"/>
              </w:rPr>
              <w:t>Particulars</w:t>
            </w:r>
          </w:p>
        </w:tc>
        <w:tc>
          <w:tcPr>
            <w:tcW w:type="dxa" w:w="2880"/>
            <w:vAlign w:val="top"/>
            <w:shd w:fill="D9EAF7"/>
          </w:tcPr>
          <w:p>
            <w:pPr>
              <w:spacing w:after="0" w:line="240" w:lineRule="auto"/>
            </w:pPr>
            <w:r/>
            <w:r>
              <w:rPr>
                <w:rFonts w:ascii="Arial" w:hAnsi="Arial" w:eastAsia="Arial"/>
                <w:b/>
                <w:sz w:val="17"/>
              </w:rPr>
              <w:t>Computation</w:t>
            </w:r>
          </w:p>
        </w:tc>
        <w:tc>
          <w:tcPr>
            <w:tcW w:type="dxa" w:w="1728"/>
            <w:vAlign w:val="top"/>
            <w:shd w:fill="D9EAF7"/>
          </w:tcPr>
          <w:p>
            <w:pPr>
              <w:spacing w:after="0" w:line="240" w:lineRule="auto"/>
            </w:pPr>
            <w:r/>
            <w:r>
              <w:rPr>
                <w:rFonts w:ascii="Arial" w:hAnsi="Arial" w:eastAsia="Arial"/>
                <w:b/>
                <w:sz w:val="17"/>
              </w:rPr>
              <w:t>Amount (Rs.)</w:t>
            </w:r>
          </w:p>
        </w:tc>
      </w:tr>
      <w:tr>
        <w:tc>
          <w:tcPr>
            <w:tcW w:type="dxa" w:w="3600"/>
            <w:vAlign w:val="top"/>
          </w:tcPr>
          <w:p>
            <w:pPr>
              <w:spacing w:after="0" w:line="240" w:lineRule="auto"/>
            </w:pPr>
            <w:r/>
            <w:r>
              <w:rPr>
                <w:rFonts w:ascii="Arial" w:hAnsi="Arial" w:eastAsia="Arial"/>
                <w:b w:val="0"/>
                <w:sz w:val="17"/>
              </w:rPr>
              <w:t>Monthly salary</w:t>
            </w:r>
          </w:p>
        </w:tc>
        <w:tc>
          <w:tcPr>
            <w:tcW w:type="dxa" w:w="2880"/>
            <w:vAlign w:val="top"/>
          </w:tcPr>
          <w:p>
            <w:pPr>
              <w:spacing w:after="0" w:line="240" w:lineRule="auto"/>
            </w:pPr>
            <w:r/>
            <w:r>
              <w:rPr>
                <w:rFonts w:ascii="Arial" w:hAnsi="Arial" w:eastAsia="Arial"/>
                <w:b w:val="0"/>
                <w:sz w:val="17"/>
              </w:rPr>
              <w:t>20,000 x 12</w:t>
            </w:r>
          </w:p>
        </w:tc>
        <w:tc>
          <w:tcPr>
            <w:tcW w:type="dxa" w:w="1728"/>
            <w:vAlign w:val="top"/>
          </w:tcPr>
          <w:p>
            <w:pPr>
              <w:spacing w:after="0" w:line="240" w:lineRule="auto"/>
            </w:pPr>
            <w:r/>
            <w:r>
              <w:rPr>
                <w:rFonts w:ascii="Arial" w:hAnsi="Arial" w:eastAsia="Arial"/>
                <w:b w:val="0"/>
                <w:sz w:val="17"/>
              </w:rPr>
              <w:t>240,000</w:t>
            </w:r>
          </w:p>
        </w:tc>
      </w:tr>
      <w:tr>
        <w:tc>
          <w:tcPr>
            <w:tcW w:type="dxa" w:w="3600"/>
            <w:vAlign w:val="top"/>
          </w:tcPr>
          <w:p>
            <w:pPr>
              <w:spacing w:after="0" w:line="240" w:lineRule="auto"/>
            </w:pPr>
            <w:r/>
            <w:r>
              <w:rPr>
                <w:rFonts w:ascii="Arial" w:hAnsi="Arial" w:eastAsia="Arial"/>
                <w:b w:val="0"/>
                <w:sz w:val="17"/>
              </w:rPr>
              <w:t>Education allowance</w:t>
            </w:r>
          </w:p>
        </w:tc>
        <w:tc>
          <w:tcPr>
            <w:tcW w:type="dxa" w:w="2880"/>
            <w:vAlign w:val="top"/>
          </w:tcPr>
          <w:p>
            <w:pPr>
              <w:spacing w:after="0" w:line="240" w:lineRule="auto"/>
            </w:pPr>
            <w:r/>
            <w:r>
              <w:rPr>
                <w:rFonts w:ascii="Arial" w:hAnsi="Arial" w:eastAsia="Arial"/>
                <w:b w:val="0"/>
                <w:sz w:val="17"/>
              </w:rPr>
              <w:t>2,000 x 12</w:t>
            </w:r>
          </w:p>
        </w:tc>
        <w:tc>
          <w:tcPr>
            <w:tcW w:type="dxa" w:w="1728"/>
            <w:vAlign w:val="top"/>
          </w:tcPr>
          <w:p>
            <w:pPr>
              <w:spacing w:after="0" w:line="240" w:lineRule="auto"/>
            </w:pPr>
            <w:r/>
            <w:r>
              <w:rPr>
                <w:rFonts w:ascii="Arial" w:hAnsi="Arial" w:eastAsia="Arial"/>
                <w:b w:val="0"/>
                <w:sz w:val="17"/>
              </w:rPr>
              <w:t>24,000</w:t>
            </w:r>
          </w:p>
        </w:tc>
      </w:tr>
      <w:tr>
        <w:tc>
          <w:tcPr>
            <w:tcW w:type="dxa" w:w="3600"/>
            <w:vAlign w:val="top"/>
          </w:tcPr>
          <w:p>
            <w:pPr>
              <w:spacing w:after="0" w:line="240" w:lineRule="auto"/>
            </w:pPr>
            <w:r/>
            <w:r>
              <w:rPr>
                <w:rFonts w:ascii="Arial" w:hAnsi="Arial" w:eastAsia="Arial"/>
                <w:b w:val="0"/>
                <w:sz w:val="17"/>
              </w:rPr>
              <w:t>Clothing allowance</w:t>
            </w:r>
          </w:p>
        </w:tc>
        <w:tc>
          <w:tcPr>
            <w:tcW w:type="dxa" w:w="2880"/>
            <w:vAlign w:val="top"/>
          </w:tcPr>
          <w:p>
            <w:pPr>
              <w:spacing w:after="0" w:line="240" w:lineRule="auto"/>
            </w:pPr>
            <w:r/>
            <w:r>
              <w:rPr>
                <w:rFonts w:ascii="Arial" w:hAnsi="Arial" w:eastAsia="Arial"/>
                <w:b w:val="0"/>
                <w:sz w:val="17"/>
              </w:rPr>
            </w:r>
          </w:p>
        </w:tc>
        <w:tc>
          <w:tcPr>
            <w:tcW w:type="dxa" w:w="1728"/>
            <w:vAlign w:val="top"/>
          </w:tcPr>
          <w:p>
            <w:pPr>
              <w:spacing w:after="0" w:line="240" w:lineRule="auto"/>
            </w:pPr>
            <w:r/>
            <w:r>
              <w:rPr>
                <w:rFonts w:ascii="Arial" w:hAnsi="Arial" w:eastAsia="Arial"/>
                <w:b w:val="0"/>
                <w:sz w:val="17"/>
              </w:rPr>
              <w:t>10,000</w:t>
            </w:r>
          </w:p>
        </w:tc>
      </w:tr>
      <w:tr>
        <w:tc>
          <w:tcPr>
            <w:tcW w:type="dxa" w:w="3600"/>
            <w:vAlign w:val="top"/>
          </w:tcPr>
          <w:p>
            <w:pPr>
              <w:spacing w:after="0" w:line="240" w:lineRule="auto"/>
            </w:pPr>
            <w:r/>
            <w:r>
              <w:rPr>
                <w:rFonts w:ascii="Arial" w:hAnsi="Arial" w:eastAsia="Arial"/>
                <w:b w:val="0"/>
                <w:sz w:val="17"/>
              </w:rPr>
              <w:t>Dashain expenses</w:t>
            </w:r>
          </w:p>
        </w:tc>
        <w:tc>
          <w:tcPr>
            <w:tcW w:type="dxa" w:w="2880"/>
            <w:vAlign w:val="top"/>
          </w:tcPr>
          <w:p>
            <w:pPr>
              <w:spacing w:after="0" w:line="240" w:lineRule="auto"/>
            </w:pPr>
            <w:r/>
            <w:r>
              <w:rPr>
                <w:rFonts w:ascii="Arial" w:hAnsi="Arial" w:eastAsia="Arial"/>
                <w:b w:val="0"/>
                <w:sz w:val="17"/>
              </w:rPr>
              <w:t>One month salary</w:t>
            </w:r>
          </w:p>
        </w:tc>
        <w:tc>
          <w:tcPr>
            <w:tcW w:type="dxa" w:w="1728"/>
            <w:vAlign w:val="top"/>
          </w:tcPr>
          <w:p>
            <w:pPr>
              <w:spacing w:after="0" w:line="240" w:lineRule="auto"/>
            </w:pPr>
            <w:r/>
            <w:r>
              <w:rPr>
                <w:rFonts w:ascii="Arial" w:hAnsi="Arial" w:eastAsia="Arial"/>
                <w:b w:val="0"/>
                <w:sz w:val="17"/>
              </w:rPr>
              <w:t>20,000</w:t>
            </w:r>
          </w:p>
        </w:tc>
      </w:tr>
      <w:tr>
        <w:tc>
          <w:tcPr>
            <w:tcW w:type="dxa" w:w="3600"/>
            <w:vAlign w:val="top"/>
          </w:tcPr>
          <w:p>
            <w:pPr>
              <w:spacing w:after="0" w:line="240" w:lineRule="auto"/>
            </w:pPr>
            <w:r/>
            <w:r>
              <w:rPr>
                <w:rFonts w:ascii="Arial" w:hAnsi="Arial" w:eastAsia="Arial"/>
                <w:b w:val="0"/>
                <w:sz w:val="17"/>
              </w:rPr>
              <w:t>Vehicle allowance</w:t>
            </w:r>
          </w:p>
        </w:tc>
        <w:tc>
          <w:tcPr>
            <w:tcW w:type="dxa" w:w="2880"/>
            <w:vAlign w:val="top"/>
          </w:tcPr>
          <w:p>
            <w:pPr>
              <w:spacing w:after="0" w:line="240" w:lineRule="auto"/>
            </w:pPr>
            <w:r/>
            <w:r>
              <w:rPr>
                <w:rFonts w:ascii="Arial" w:hAnsi="Arial" w:eastAsia="Arial"/>
                <w:b w:val="0"/>
                <w:sz w:val="17"/>
              </w:rPr>
              <w:t>1,000 x 12</w:t>
            </w:r>
          </w:p>
        </w:tc>
        <w:tc>
          <w:tcPr>
            <w:tcW w:type="dxa" w:w="1728"/>
            <w:vAlign w:val="top"/>
          </w:tcPr>
          <w:p>
            <w:pPr>
              <w:spacing w:after="0" w:line="240" w:lineRule="auto"/>
            </w:pPr>
            <w:r/>
            <w:r>
              <w:rPr>
                <w:rFonts w:ascii="Arial" w:hAnsi="Arial" w:eastAsia="Arial"/>
                <w:b w:val="0"/>
                <w:sz w:val="17"/>
              </w:rPr>
              <w:t>12,000</w:t>
            </w:r>
          </w:p>
        </w:tc>
      </w:tr>
      <w:tr>
        <w:tc>
          <w:tcPr>
            <w:tcW w:type="dxa" w:w="3600"/>
            <w:vAlign w:val="top"/>
          </w:tcPr>
          <w:p>
            <w:pPr>
              <w:spacing w:after="0" w:line="240" w:lineRule="auto"/>
            </w:pPr>
            <w:r/>
            <w:r>
              <w:rPr>
                <w:rFonts w:ascii="Arial" w:hAnsi="Arial" w:eastAsia="Arial"/>
                <w:b w:val="0"/>
                <w:sz w:val="17"/>
              </w:rPr>
              <w:t>Telephone expense</w:t>
            </w:r>
          </w:p>
        </w:tc>
        <w:tc>
          <w:tcPr>
            <w:tcW w:type="dxa" w:w="2880"/>
            <w:vAlign w:val="top"/>
          </w:tcPr>
          <w:p>
            <w:pPr>
              <w:spacing w:after="0" w:line="240" w:lineRule="auto"/>
            </w:pPr>
            <w:r/>
            <w:r>
              <w:rPr>
                <w:rFonts w:ascii="Arial" w:hAnsi="Arial" w:eastAsia="Arial"/>
                <w:b w:val="0"/>
                <w:sz w:val="17"/>
              </w:rPr>
              <w:t>1,000 x 12</w:t>
            </w:r>
          </w:p>
        </w:tc>
        <w:tc>
          <w:tcPr>
            <w:tcW w:type="dxa" w:w="1728"/>
            <w:vAlign w:val="top"/>
          </w:tcPr>
          <w:p>
            <w:pPr>
              <w:spacing w:after="0" w:line="240" w:lineRule="auto"/>
            </w:pPr>
            <w:r/>
            <w:r>
              <w:rPr>
                <w:rFonts w:ascii="Arial" w:hAnsi="Arial" w:eastAsia="Arial"/>
                <w:b w:val="0"/>
                <w:sz w:val="17"/>
              </w:rPr>
              <w:t>12,000</w:t>
            </w:r>
          </w:p>
        </w:tc>
      </w:tr>
      <w:tr>
        <w:tc>
          <w:tcPr>
            <w:tcW w:type="dxa" w:w="3600"/>
            <w:vAlign w:val="top"/>
          </w:tcPr>
          <w:p>
            <w:pPr>
              <w:spacing w:after="0" w:line="240" w:lineRule="auto"/>
            </w:pPr>
            <w:r/>
            <w:r>
              <w:rPr>
                <w:rFonts w:ascii="Arial" w:hAnsi="Arial" w:eastAsia="Arial"/>
                <w:b w:val="0"/>
                <w:sz w:val="17"/>
              </w:rPr>
              <w:t>Housing facility</w:t>
            </w:r>
          </w:p>
        </w:tc>
        <w:tc>
          <w:tcPr>
            <w:tcW w:type="dxa" w:w="2880"/>
            <w:vAlign w:val="top"/>
          </w:tcPr>
          <w:p>
            <w:pPr>
              <w:spacing w:after="0" w:line="240" w:lineRule="auto"/>
            </w:pPr>
            <w:r/>
            <w:r>
              <w:rPr>
                <w:rFonts w:ascii="Arial" w:hAnsi="Arial" w:eastAsia="Arial"/>
                <w:b w:val="0"/>
                <w:sz w:val="17"/>
              </w:rPr>
              <w:t>240,000 x 2%</w:t>
            </w:r>
          </w:p>
        </w:tc>
        <w:tc>
          <w:tcPr>
            <w:tcW w:type="dxa" w:w="1728"/>
            <w:vAlign w:val="top"/>
          </w:tcPr>
          <w:p>
            <w:pPr>
              <w:spacing w:after="0" w:line="240" w:lineRule="auto"/>
            </w:pPr>
            <w:r/>
            <w:r>
              <w:rPr>
                <w:rFonts w:ascii="Arial" w:hAnsi="Arial" w:eastAsia="Arial"/>
                <w:b w:val="0"/>
                <w:sz w:val="17"/>
              </w:rPr>
              <w:t>4,800</w:t>
            </w:r>
          </w:p>
        </w:tc>
      </w:tr>
      <w:tr>
        <w:tc>
          <w:tcPr>
            <w:tcW w:type="dxa" w:w="3600"/>
            <w:vAlign w:val="top"/>
          </w:tcPr>
          <w:p>
            <w:pPr>
              <w:spacing w:after="0" w:line="240" w:lineRule="auto"/>
            </w:pPr>
            <w:r/>
            <w:r>
              <w:rPr>
                <w:rFonts w:ascii="Arial" w:hAnsi="Arial" w:eastAsia="Arial"/>
                <w:b w:val="0"/>
                <w:sz w:val="17"/>
              </w:rPr>
              <w:t>Additional retirement contribution</w:t>
            </w:r>
          </w:p>
        </w:tc>
        <w:tc>
          <w:tcPr>
            <w:tcW w:type="dxa" w:w="2880"/>
            <w:vAlign w:val="top"/>
          </w:tcPr>
          <w:p>
            <w:pPr>
              <w:spacing w:after="0" w:line="240" w:lineRule="auto"/>
            </w:pPr>
            <w:r/>
            <w:r>
              <w:rPr>
                <w:rFonts w:ascii="Arial" w:hAnsi="Arial" w:eastAsia="Arial"/>
                <w:b w:val="0"/>
                <w:sz w:val="17"/>
              </w:rPr>
              <w:t>240,000 x 10%</w:t>
            </w:r>
          </w:p>
        </w:tc>
        <w:tc>
          <w:tcPr>
            <w:tcW w:type="dxa" w:w="1728"/>
            <w:vAlign w:val="top"/>
          </w:tcPr>
          <w:p>
            <w:pPr>
              <w:spacing w:after="0" w:line="240" w:lineRule="auto"/>
            </w:pPr>
            <w:r/>
            <w:r>
              <w:rPr>
                <w:rFonts w:ascii="Arial" w:hAnsi="Arial" w:eastAsia="Arial"/>
                <w:b w:val="0"/>
                <w:sz w:val="17"/>
              </w:rPr>
              <w:t>24,000</w:t>
            </w:r>
          </w:p>
        </w:tc>
      </w:tr>
      <w:tr>
        <w:tc>
          <w:tcPr>
            <w:tcW w:type="dxa" w:w="3600"/>
            <w:vAlign w:val="top"/>
          </w:tcPr>
          <w:p>
            <w:pPr>
              <w:spacing w:after="0" w:line="240" w:lineRule="auto"/>
            </w:pPr>
            <w:r/>
            <w:r>
              <w:rPr>
                <w:rFonts w:ascii="Arial" w:hAnsi="Arial" w:eastAsia="Arial"/>
                <w:b w:val="0"/>
                <w:sz w:val="17"/>
              </w:rPr>
              <w:t>Assessable income</w:t>
            </w:r>
          </w:p>
        </w:tc>
        <w:tc>
          <w:tcPr>
            <w:tcW w:type="dxa" w:w="2880"/>
            <w:vAlign w:val="top"/>
          </w:tcPr>
          <w:p>
            <w:pPr>
              <w:spacing w:after="0" w:line="240" w:lineRule="auto"/>
            </w:pPr>
            <w:r/>
            <w:r>
              <w:rPr>
                <w:rFonts w:ascii="Arial" w:hAnsi="Arial" w:eastAsia="Arial"/>
                <w:b w:val="0"/>
                <w:sz w:val="17"/>
              </w:rPr>
            </w:r>
          </w:p>
        </w:tc>
        <w:tc>
          <w:tcPr>
            <w:tcW w:type="dxa" w:w="1728"/>
            <w:vAlign w:val="top"/>
          </w:tcPr>
          <w:p>
            <w:pPr>
              <w:spacing w:after="0" w:line="240" w:lineRule="auto"/>
            </w:pPr>
            <w:r/>
            <w:r>
              <w:rPr>
                <w:rFonts w:ascii="Arial" w:hAnsi="Arial" w:eastAsia="Arial"/>
                <w:b w:val="0"/>
                <w:sz w:val="17"/>
              </w:rPr>
              <w:t>346,800</w:t>
            </w:r>
          </w:p>
        </w:tc>
      </w:tr>
    </w:tbl>
    <w:p/>
    <w:p>
      <w:pPr>
        <w:spacing w:after="80" w:line="252" w:lineRule="auto"/>
      </w:pPr>
      <w:r>
        <w:rPr>
          <w:rFonts w:ascii="Arial" w:hAnsi="Arial" w:eastAsia="Arial"/>
          <w:b w:val="0"/>
          <w:i w:val="0"/>
          <w:sz w:val="20"/>
        </w:rPr>
        <w:t>Deduction for retirement contribution is the lowest amount computed under Section 63(2) and Rule 21:</w:t>
      </w:r>
    </w:p>
    <w:tbl>
      <w:tblPr>
        <w:tblStyle w:val="TableGrid"/>
        <w:tblW w:type="auto" w:w="0"/>
        <w:jc w:val="center"/>
        <w:tblLayout w:type="autofit"/>
        <w:tblLook w:firstColumn="1" w:firstRow="1" w:lastColumn="0" w:lastRow="0" w:noHBand="0" w:noVBand="1" w:val="04A0"/>
      </w:tblPr>
      <w:tblGrid>
        <w:gridCol w:w="5112"/>
        <w:gridCol w:w="5112"/>
      </w:tblGrid>
      <w:tr>
        <w:tc>
          <w:tcPr>
            <w:tcW w:type="dxa" w:w="6768"/>
            <w:vAlign w:val="top"/>
            <w:shd w:fill="D9EAF7"/>
          </w:tcPr>
          <w:p>
            <w:pPr>
              <w:spacing w:after="0" w:line="240" w:lineRule="auto"/>
            </w:pPr>
            <w:r/>
            <w:r>
              <w:rPr>
                <w:rFonts w:ascii="Arial" w:hAnsi="Arial" w:eastAsia="Arial"/>
                <w:b/>
                <w:sz w:val="17"/>
              </w:rPr>
              <w:t>Basis</w:t>
            </w:r>
          </w:p>
        </w:tc>
        <w:tc>
          <w:tcPr>
            <w:tcW w:type="dxa" w:w="2160"/>
            <w:vAlign w:val="top"/>
            <w:shd w:fill="D9EAF7"/>
          </w:tcPr>
          <w:p>
            <w:pPr>
              <w:spacing w:after="0" w:line="240" w:lineRule="auto"/>
            </w:pPr>
            <w:r/>
            <w:r>
              <w:rPr>
                <w:rFonts w:ascii="Arial" w:hAnsi="Arial" w:eastAsia="Arial"/>
                <w:b/>
                <w:sz w:val="17"/>
              </w:rPr>
              <w:t>Amount (Rs.)</w:t>
            </w:r>
          </w:p>
        </w:tc>
      </w:tr>
      <w:tr>
        <w:tc>
          <w:tcPr>
            <w:tcW w:type="dxa" w:w="6768"/>
            <w:vAlign w:val="top"/>
          </w:tcPr>
          <w:p>
            <w:pPr>
              <w:spacing w:after="0" w:line="240" w:lineRule="auto"/>
            </w:pPr>
            <w:r/>
            <w:r>
              <w:rPr>
                <w:rFonts w:ascii="Arial" w:hAnsi="Arial" w:eastAsia="Arial"/>
                <w:b w:val="0"/>
                <w:sz w:val="17"/>
              </w:rPr>
              <w:t>Actual contribution (24,000 + 24,000)</w:t>
            </w:r>
          </w:p>
        </w:tc>
        <w:tc>
          <w:tcPr>
            <w:tcW w:type="dxa" w:w="2160"/>
            <w:vAlign w:val="top"/>
          </w:tcPr>
          <w:p>
            <w:pPr>
              <w:spacing w:after="0" w:line="240" w:lineRule="auto"/>
            </w:pPr>
            <w:r/>
            <w:r>
              <w:rPr>
                <w:rFonts w:ascii="Arial" w:hAnsi="Arial" w:eastAsia="Arial"/>
                <w:b w:val="0"/>
                <w:sz w:val="17"/>
              </w:rPr>
              <w:t>48,000</w:t>
            </w:r>
          </w:p>
        </w:tc>
      </w:tr>
      <w:tr>
        <w:tc>
          <w:tcPr>
            <w:tcW w:type="dxa" w:w="6768"/>
            <w:vAlign w:val="top"/>
          </w:tcPr>
          <w:p>
            <w:pPr>
              <w:spacing w:after="0" w:line="240" w:lineRule="auto"/>
            </w:pPr>
            <w:r/>
            <w:r>
              <w:rPr>
                <w:rFonts w:ascii="Arial" w:hAnsi="Arial" w:eastAsia="Arial"/>
                <w:b w:val="0"/>
                <w:sz w:val="17"/>
              </w:rPr>
              <w:t>One-third of assessable income (346,800 x 1/3)</w:t>
            </w:r>
          </w:p>
        </w:tc>
        <w:tc>
          <w:tcPr>
            <w:tcW w:type="dxa" w:w="2160"/>
            <w:vAlign w:val="top"/>
          </w:tcPr>
          <w:p>
            <w:pPr>
              <w:spacing w:after="0" w:line="240" w:lineRule="auto"/>
            </w:pPr>
            <w:r/>
            <w:r>
              <w:rPr>
                <w:rFonts w:ascii="Arial" w:hAnsi="Arial" w:eastAsia="Arial"/>
                <w:b w:val="0"/>
                <w:sz w:val="17"/>
              </w:rPr>
              <w:t>115,600</w:t>
            </w:r>
          </w:p>
        </w:tc>
      </w:tr>
      <w:tr>
        <w:tc>
          <w:tcPr>
            <w:tcW w:type="dxa" w:w="6768"/>
            <w:vAlign w:val="top"/>
          </w:tcPr>
          <w:p>
            <w:pPr>
              <w:spacing w:after="0" w:line="240" w:lineRule="auto"/>
            </w:pPr>
            <w:r/>
            <w:r>
              <w:rPr>
                <w:rFonts w:ascii="Arial" w:hAnsi="Arial" w:eastAsia="Arial"/>
                <w:b w:val="0"/>
                <w:sz w:val="17"/>
              </w:rPr>
              <w:t>Maximum limit</w:t>
            </w:r>
          </w:p>
        </w:tc>
        <w:tc>
          <w:tcPr>
            <w:tcW w:type="dxa" w:w="2160"/>
            <w:vAlign w:val="top"/>
          </w:tcPr>
          <w:p>
            <w:pPr>
              <w:spacing w:after="0" w:line="240" w:lineRule="auto"/>
            </w:pPr>
            <w:r/>
            <w:r>
              <w:rPr>
                <w:rFonts w:ascii="Arial" w:hAnsi="Arial" w:eastAsia="Arial"/>
                <w:b w:val="0"/>
                <w:sz w:val="17"/>
              </w:rPr>
              <w:t>300,000</w:t>
            </w:r>
          </w:p>
        </w:tc>
      </w:tr>
      <w:tr>
        <w:tc>
          <w:tcPr>
            <w:tcW w:type="dxa" w:w="6768"/>
            <w:vAlign w:val="top"/>
          </w:tcPr>
          <w:p>
            <w:pPr>
              <w:spacing w:after="0" w:line="240" w:lineRule="auto"/>
            </w:pPr>
            <w:r/>
            <w:r>
              <w:rPr>
                <w:rFonts w:ascii="Arial" w:hAnsi="Arial" w:eastAsia="Arial"/>
                <w:b w:val="0"/>
                <w:sz w:val="17"/>
              </w:rPr>
              <w:t>Deductible retirement contribution</w:t>
            </w:r>
          </w:p>
        </w:tc>
        <w:tc>
          <w:tcPr>
            <w:tcW w:type="dxa" w:w="2160"/>
            <w:vAlign w:val="top"/>
          </w:tcPr>
          <w:p>
            <w:pPr>
              <w:spacing w:after="0" w:line="240" w:lineRule="auto"/>
            </w:pPr>
            <w:r/>
            <w:r>
              <w:rPr>
                <w:rFonts w:ascii="Arial" w:hAnsi="Arial" w:eastAsia="Arial"/>
                <w:b w:val="0"/>
                <w:sz w:val="17"/>
              </w:rPr>
              <w:t>48,000</w:t>
            </w:r>
          </w:p>
        </w:tc>
      </w:tr>
      <w:tr>
        <w:tc>
          <w:tcPr>
            <w:tcW w:type="dxa" w:w="6768"/>
            <w:vAlign w:val="top"/>
          </w:tcPr>
          <w:p>
            <w:pPr>
              <w:spacing w:after="0" w:line="240" w:lineRule="auto"/>
            </w:pPr>
            <w:r/>
            <w:r>
              <w:rPr>
                <w:rFonts w:ascii="Arial" w:hAnsi="Arial" w:eastAsia="Arial"/>
                <w:b w:val="0"/>
                <w:sz w:val="17"/>
              </w:rPr>
              <w:t>Taxable income</w:t>
            </w:r>
          </w:p>
        </w:tc>
        <w:tc>
          <w:tcPr>
            <w:tcW w:type="dxa" w:w="2160"/>
            <w:vAlign w:val="top"/>
          </w:tcPr>
          <w:p>
            <w:pPr>
              <w:spacing w:after="0" w:line="240" w:lineRule="auto"/>
            </w:pPr>
            <w:r/>
            <w:r>
              <w:rPr>
                <w:rFonts w:ascii="Arial" w:hAnsi="Arial" w:eastAsia="Arial"/>
                <w:b w:val="0"/>
                <w:sz w:val="17"/>
              </w:rPr>
              <w:t>298,800</w:t>
            </w:r>
          </w:p>
        </w:tc>
      </w:tr>
    </w:tbl>
    <w:p/>
    <w:p>
      <w:pPr>
        <w:spacing w:after="80" w:line="252" w:lineRule="auto"/>
      </w:pPr>
      <w:r>
        <w:rPr>
          <w:rFonts w:ascii="Arial" w:hAnsi="Arial" w:eastAsia="Arial"/>
          <w:b w:val="0"/>
          <w:i w:val="0"/>
          <w:sz w:val="20"/>
        </w:rPr>
        <w:t>Note: From fiscal year 2081/82, the maximum limit of retirement contribution is Rs. 500,000.</w:t>
      </w:r>
    </w:p>
    <w:p>
      <w:pPr>
        <w:spacing w:after="80" w:line="252" w:lineRule="auto"/>
      </w:pPr>
      <w:r>
        <w:rPr>
          <w:rFonts w:ascii="Arial" w:hAnsi="Arial" w:eastAsia="Arial"/>
          <w:b/>
          <w:i w:val="0"/>
          <w:sz w:val="20"/>
        </w:rPr>
        <w:t>Example 12.6.2:</w:t>
      </w:r>
    </w:p>
    <w:p>
      <w:pPr>
        <w:spacing w:after="80" w:line="252" w:lineRule="auto"/>
      </w:pPr>
      <w:r>
        <w:rPr>
          <w:rFonts w:ascii="Arial" w:hAnsi="Arial" w:eastAsia="Arial"/>
          <w:b w:val="0"/>
          <w:i w:val="0"/>
          <w:sz w:val="20"/>
        </w:rPr>
        <w:t>In Example 12.6.1, assume that the assessable income is Rs. 346,800 and she makes additional contribution of Rs. 10,000 per month from her own side to the Citizen Investment Trust. Her contribution is computed as follows:</w:t>
      </w:r>
    </w:p>
    <w:tbl>
      <w:tblPr>
        <w:tblStyle w:val="TableGrid"/>
        <w:tblW w:type="auto" w:w="0"/>
        <w:jc w:val="center"/>
        <w:tblLayout w:type="autofit"/>
        <w:tblLook w:firstColumn="1" w:firstRow="1" w:lastColumn="0" w:lastRow="0" w:noHBand="0" w:noVBand="1" w:val="04A0"/>
      </w:tblPr>
      <w:tblGrid>
        <w:gridCol w:w="5112"/>
        <w:gridCol w:w="5112"/>
      </w:tblGrid>
      <w:tr>
        <w:tc>
          <w:tcPr>
            <w:tcW w:type="dxa" w:w="6768"/>
            <w:vAlign w:val="top"/>
            <w:shd w:fill="D9EAF7"/>
          </w:tcPr>
          <w:p>
            <w:pPr>
              <w:spacing w:after="0" w:line="240" w:lineRule="auto"/>
            </w:pPr>
            <w:r/>
            <w:r>
              <w:rPr>
                <w:rFonts w:ascii="Arial" w:hAnsi="Arial" w:eastAsia="Arial"/>
                <w:b/>
                <w:sz w:val="17"/>
              </w:rPr>
              <w:t>Particulars</w:t>
            </w:r>
          </w:p>
        </w:tc>
        <w:tc>
          <w:tcPr>
            <w:tcW w:type="dxa" w:w="2160"/>
            <w:vAlign w:val="top"/>
            <w:shd w:fill="D9EAF7"/>
          </w:tcPr>
          <w:p>
            <w:pPr>
              <w:spacing w:after="0" w:line="240" w:lineRule="auto"/>
            </w:pPr>
            <w:r/>
            <w:r>
              <w:rPr>
                <w:rFonts w:ascii="Arial" w:hAnsi="Arial" w:eastAsia="Arial"/>
                <w:b/>
                <w:sz w:val="17"/>
              </w:rPr>
              <w:t>Amount (Rs.)</w:t>
            </w:r>
          </w:p>
        </w:tc>
      </w:tr>
      <w:tr>
        <w:tc>
          <w:tcPr>
            <w:tcW w:type="dxa" w:w="6768"/>
            <w:vAlign w:val="top"/>
          </w:tcPr>
          <w:p>
            <w:pPr>
              <w:spacing w:after="0" w:line="240" w:lineRule="auto"/>
            </w:pPr>
            <w:r/>
            <w:r>
              <w:rPr>
                <w:rFonts w:ascii="Arial" w:hAnsi="Arial" w:eastAsia="Arial"/>
                <w:b w:val="0"/>
                <w:sz w:val="17"/>
              </w:rPr>
              <w:t>Assessable income</w:t>
            </w:r>
          </w:p>
        </w:tc>
        <w:tc>
          <w:tcPr>
            <w:tcW w:type="dxa" w:w="2160"/>
            <w:vAlign w:val="top"/>
          </w:tcPr>
          <w:p>
            <w:pPr>
              <w:spacing w:after="0" w:line="240" w:lineRule="auto"/>
            </w:pPr>
            <w:r/>
            <w:r>
              <w:rPr>
                <w:rFonts w:ascii="Arial" w:hAnsi="Arial" w:eastAsia="Arial"/>
                <w:b w:val="0"/>
                <w:sz w:val="17"/>
              </w:rPr>
              <w:t>346,800</w:t>
            </w:r>
          </w:p>
        </w:tc>
      </w:tr>
      <w:tr>
        <w:tc>
          <w:tcPr>
            <w:tcW w:type="dxa" w:w="6768"/>
            <w:vAlign w:val="top"/>
          </w:tcPr>
          <w:p>
            <w:pPr>
              <w:spacing w:after="0" w:line="240" w:lineRule="auto"/>
            </w:pPr>
            <w:r/>
            <w:r>
              <w:rPr>
                <w:rFonts w:ascii="Arial" w:hAnsi="Arial" w:eastAsia="Arial"/>
                <w:b w:val="0"/>
                <w:sz w:val="17"/>
              </w:rPr>
              <w:t>Actual contribution</w:t>
            </w:r>
          </w:p>
        </w:tc>
        <w:tc>
          <w:tcPr>
            <w:tcW w:type="dxa" w:w="2160"/>
            <w:vAlign w:val="top"/>
          </w:tcPr>
          <w:p>
            <w:pPr>
              <w:spacing w:after="0" w:line="240" w:lineRule="auto"/>
            </w:pPr>
            <w:r/>
            <w:r>
              <w:rPr>
                <w:rFonts w:ascii="Arial" w:hAnsi="Arial" w:eastAsia="Arial"/>
                <w:b w:val="0"/>
                <w:sz w:val="17"/>
              </w:rPr>
              <w:t>168,000</w:t>
            </w:r>
          </w:p>
        </w:tc>
      </w:tr>
      <w:tr>
        <w:tc>
          <w:tcPr>
            <w:tcW w:type="dxa" w:w="6768"/>
            <w:vAlign w:val="top"/>
          </w:tcPr>
          <w:p>
            <w:pPr>
              <w:spacing w:after="0" w:line="240" w:lineRule="auto"/>
            </w:pPr>
            <w:r/>
            <w:r>
              <w:rPr>
                <w:rFonts w:ascii="Arial" w:hAnsi="Arial" w:eastAsia="Arial"/>
                <w:b w:val="0"/>
                <w:sz w:val="17"/>
              </w:rPr>
              <w:t>Development Bank Ltd. Retirement Fund</w:t>
            </w:r>
          </w:p>
        </w:tc>
        <w:tc>
          <w:tcPr>
            <w:tcW w:type="dxa" w:w="2160"/>
            <w:vAlign w:val="top"/>
          </w:tcPr>
          <w:p>
            <w:pPr>
              <w:spacing w:after="0" w:line="240" w:lineRule="auto"/>
            </w:pPr>
            <w:r/>
            <w:r>
              <w:rPr>
                <w:rFonts w:ascii="Arial" w:hAnsi="Arial" w:eastAsia="Arial"/>
                <w:b w:val="0"/>
                <w:sz w:val="17"/>
              </w:rPr>
              <w:t>48,000</w:t>
            </w:r>
          </w:p>
        </w:tc>
      </w:tr>
      <w:tr>
        <w:tc>
          <w:tcPr>
            <w:tcW w:type="dxa" w:w="6768"/>
            <w:vAlign w:val="top"/>
          </w:tcPr>
          <w:p>
            <w:pPr>
              <w:spacing w:after="0" w:line="240" w:lineRule="auto"/>
            </w:pPr>
            <w:r/>
            <w:r>
              <w:rPr>
                <w:rFonts w:ascii="Arial" w:hAnsi="Arial" w:eastAsia="Arial"/>
                <w:b w:val="0"/>
                <w:sz w:val="17"/>
              </w:rPr>
              <w:t>Citizen Investment Trust</w:t>
            </w:r>
          </w:p>
        </w:tc>
        <w:tc>
          <w:tcPr>
            <w:tcW w:type="dxa" w:w="2160"/>
            <w:vAlign w:val="top"/>
          </w:tcPr>
          <w:p>
            <w:pPr>
              <w:spacing w:after="0" w:line="240" w:lineRule="auto"/>
            </w:pPr>
            <w:r/>
            <w:r>
              <w:rPr>
                <w:rFonts w:ascii="Arial" w:hAnsi="Arial" w:eastAsia="Arial"/>
                <w:b w:val="0"/>
                <w:sz w:val="17"/>
              </w:rPr>
              <w:t>120,000</w:t>
            </w:r>
          </w:p>
        </w:tc>
      </w:tr>
      <w:tr>
        <w:tc>
          <w:tcPr>
            <w:tcW w:type="dxa" w:w="6768"/>
            <w:vAlign w:val="top"/>
          </w:tcPr>
          <w:p>
            <w:pPr>
              <w:spacing w:after="0" w:line="240" w:lineRule="auto"/>
            </w:pPr>
            <w:r/>
            <w:r>
              <w:rPr>
                <w:rFonts w:ascii="Arial" w:hAnsi="Arial" w:eastAsia="Arial"/>
                <w:b w:val="0"/>
                <w:sz w:val="17"/>
              </w:rPr>
              <w:t>One-third of assessable income (346,800 x 1/3)</w:t>
            </w:r>
          </w:p>
        </w:tc>
        <w:tc>
          <w:tcPr>
            <w:tcW w:type="dxa" w:w="2160"/>
            <w:vAlign w:val="top"/>
          </w:tcPr>
          <w:p>
            <w:pPr>
              <w:spacing w:after="0" w:line="240" w:lineRule="auto"/>
            </w:pPr>
            <w:r/>
            <w:r>
              <w:rPr>
                <w:rFonts w:ascii="Arial" w:hAnsi="Arial" w:eastAsia="Arial"/>
                <w:b w:val="0"/>
                <w:sz w:val="17"/>
              </w:rPr>
              <w:t>115,600</w:t>
            </w:r>
          </w:p>
        </w:tc>
      </w:tr>
      <w:tr>
        <w:tc>
          <w:tcPr>
            <w:tcW w:type="dxa" w:w="6768"/>
            <w:vAlign w:val="top"/>
          </w:tcPr>
          <w:p>
            <w:pPr>
              <w:spacing w:after="0" w:line="240" w:lineRule="auto"/>
            </w:pPr>
            <w:r/>
            <w:r>
              <w:rPr>
                <w:rFonts w:ascii="Arial" w:hAnsi="Arial" w:eastAsia="Arial"/>
                <w:b w:val="0"/>
                <w:sz w:val="17"/>
              </w:rPr>
              <w:t>Maximum limit</w:t>
            </w:r>
          </w:p>
        </w:tc>
        <w:tc>
          <w:tcPr>
            <w:tcW w:type="dxa" w:w="2160"/>
            <w:vAlign w:val="top"/>
          </w:tcPr>
          <w:p>
            <w:pPr>
              <w:spacing w:after="0" w:line="240" w:lineRule="auto"/>
            </w:pPr>
            <w:r/>
            <w:r>
              <w:rPr>
                <w:rFonts w:ascii="Arial" w:hAnsi="Arial" w:eastAsia="Arial"/>
                <w:b w:val="0"/>
                <w:sz w:val="17"/>
              </w:rPr>
              <w:t>300,000</w:t>
            </w:r>
          </w:p>
        </w:tc>
      </w:tr>
      <w:tr>
        <w:tc>
          <w:tcPr>
            <w:tcW w:type="dxa" w:w="6768"/>
            <w:vAlign w:val="top"/>
          </w:tcPr>
          <w:p>
            <w:pPr>
              <w:spacing w:after="0" w:line="240" w:lineRule="auto"/>
            </w:pPr>
            <w:r/>
            <w:r>
              <w:rPr>
                <w:rFonts w:ascii="Arial" w:hAnsi="Arial" w:eastAsia="Arial"/>
                <w:b w:val="0"/>
                <w:sz w:val="17"/>
              </w:rPr>
              <w:t>Deductible retirement contribution (lowest)</w:t>
            </w:r>
          </w:p>
        </w:tc>
        <w:tc>
          <w:tcPr>
            <w:tcW w:type="dxa" w:w="2160"/>
            <w:vAlign w:val="top"/>
          </w:tcPr>
          <w:p>
            <w:pPr>
              <w:spacing w:after="0" w:line="240" w:lineRule="auto"/>
            </w:pPr>
            <w:r/>
            <w:r>
              <w:rPr>
                <w:rFonts w:ascii="Arial" w:hAnsi="Arial" w:eastAsia="Arial"/>
                <w:b w:val="0"/>
                <w:sz w:val="17"/>
              </w:rPr>
              <w:t>115,600</w:t>
            </w:r>
          </w:p>
        </w:tc>
      </w:tr>
      <w:tr>
        <w:tc>
          <w:tcPr>
            <w:tcW w:type="dxa" w:w="6768"/>
            <w:vAlign w:val="top"/>
          </w:tcPr>
          <w:p>
            <w:pPr>
              <w:spacing w:after="0" w:line="240" w:lineRule="auto"/>
            </w:pPr>
            <w:r/>
            <w:r>
              <w:rPr>
                <w:rFonts w:ascii="Arial" w:hAnsi="Arial" w:eastAsia="Arial"/>
                <w:b w:val="0"/>
                <w:sz w:val="17"/>
              </w:rPr>
              <w:t>Taxable income</w:t>
            </w:r>
          </w:p>
        </w:tc>
        <w:tc>
          <w:tcPr>
            <w:tcW w:type="dxa" w:w="2160"/>
            <w:vAlign w:val="top"/>
          </w:tcPr>
          <w:p>
            <w:pPr>
              <w:spacing w:after="0" w:line="240" w:lineRule="auto"/>
            </w:pPr>
            <w:r/>
            <w:r>
              <w:rPr>
                <w:rFonts w:ascii="Arial" w:hAnsi="Arial" w:eastAsia="Arial"/>
                <w:b w:val="0"/>
                <w:sz w:val="17"/>
              </w:rPr>
              <w:t>231,200</w:t>
            </w:r>
          </w:p>
        </w:tc>
      </w:tr>
    </w:tbl>
    <w:p/>
    <w:p>
      <w:pPr>
        <w:spacing w:after="80" w:line="252" w:lineRule="auto"/>
      </w:pPr>
      <w:r>
        <w:rPr>
          <w:rFonts w:ascii="Arial" w:hAnsi="Arial" w:eastAsia="Arial"/>
          <w:b w:val="0"/>
          <w:i w:val="0"/>
          <w:sz w:val="20"/>
        </w:rPr>
        <w:t>Note: From fiscal year 2081/82, the maximum limit of retirement contribution is Rs. 500,000.</w:t>
      </w:r>
    </w:p>
    <w:p>
      <w:pPr>
        <w:spacing w:after="80" w:line="252" w:lineRule="auto"/>
      </w:pPr>
      <w:r>
        <w:rPr>
          <w:rFonts w:ascii="Arial" w:hAnsi="Arial" w:eastAsia="Arial"/>
          <w:b w:val="0"/>
          <w:i w:val="0"/>
          <w:sz w:val="20"/>
        </w:rPr>
        <w:t>Except for retirement contributions paid by the employer under Section 4(3)(c) of the Act, in order to claim a reduction from taxable income for other retirement contributions, the person must file an income return. However, if the employer itself deducts from remuneration and deposits the amount on behalf of the employee in the Citizen Investment Trust or in another retirement fund under an agreement with the employer, and the employee has no other income, it is not necessary to file an income return merely for that purpose.</w:t>
      </w:r>
    </w:p>
    <w:p>
      <w:pPr>
        <w:pStyle w:val="Heading2"/>
      </w:pPr>
      <w:r>
        <w:t>12.7 Tax on Retirement Fund</w:t>
      </w:r>
    </w:p>
    <w:p>
      <w:pPr>
        <w:spacing w:after="80" w:line="252" w:lineRule="auto"/>
      </w:pPr>
      <w:r>
        <w:rPr>
          <w:rFonts w:ascii="Arial" w:hAnsi="Arial" w:eastAsia="Arial"/>
          <w:b w:val="0"/>
          <w:i w:val="0"/>
          <w:sz w:val="20"/>
        </w:rPr>
        <w:t>Section 64 of the Act provides as follows regarding tax on a retirement fund:</w:t>
      </w:r>
    </w:p>
    <w:p>
      <w:pPr>
        <w:spacing w:after="80" w:line="252" w:lineRule="auto"/>
      </w:pPr>
      <w:r>
        <w:rPr>
          <w:rFonts w:ascii="Arial" w:hAnsi="Arial" w:eastAsia="Arial"/>
          <w:b w:val="0"/>
          <w:i w:val="0"/>
          <w:sz w:val="20"/>
        </w:rPr>
        <w:t>64(1) For the purpose of determining the income of a retirement fund, the amounts required to be included or deducted under this Act must be included or deducted while computing the income of the fund.</w:t>
      </w:r>
    </w:p>
    <w:p>
      <w:pPr>
        <w:spacing w:after="80" w:line="252" w:lineRule="auto"/>
      </w:pPr>
      <w:r>
        <w:rPr>
          <w:rFonts w:ascii="Arial" w:hAnsi="Arial" w:eastAsia="Arial"/>
          <w:b w:val="0"/>
          <w:i w:val="0"/>
          <w:sz w:val="20"/>
        </w:rPr>
        <w:t>Provided that:</w:t>
      </w:r>
    </w:p>
    <w:p>
      <w:pPr>
        <w:spacing w:after="80" w:line="252" w:lineRule="auto"/>
      </w:pPr>
      <w:r>
        <w:rPr>
          <w:rFonts w:ascii="Arial" w:hAnsi="Arial" w:eastAsia="Arial"/>
          <w:b w:val="0"/>
          <w:i w:val="0"/>
          <w:sz w:val="20"/>
        </w:rPr>
        <w:t>(a) contributions received by the fund shall not be income of the fund and such contributions shall not be included in the computation.</w:t>
      </w:r>
    </w:p>
    <w:p>
      <w:pPr>
        <w:spacing w:after="80" w:line="252" w:lineRule="auto"/>
      </w:pPr>
      <w:r>
        <w:rPr>
          <w:rFonts w:ascii="Arial" w:hAnsi="Arial" w:eastAsia="Arial"/>
          <w:b w:val="0"/>
          <w:i w:val="0"/>
          <w:sz w:val="20"/>
        </w:rPr>
        <w:t>Contribution amounts received by a retirement fund are not income of the fund. For example, the contribution amounts received by the Employees Provident Fund from various civil service and other organisations are not treated as income of the Employees Provident Fund.</w:t>
      </w:r>
    </w:p>
    <w:p>
      <w:pPr>
        <w:spacing w:after="80" w:line="252" w:lineRule="auto"/>
      </w:pPr>
      <w:r>
        <w:rPr>
          <w:rFonts w:ascii="Arial" w:hAnsi="Arial" w:eastAsia="Arial"/>
          <w:b w:val="0"/>
          <w:i w:val="0"/>
          <w:sz w:val="20"/>
        </w:rPr>
        <w:t>(b) retirement payments shall not be expenses of the fund and such payments shall not be deducted in computing income.</w:t>
      </w:r>
    </w:p>
    <w:p>
      <w:pPr>
        <w:spacing w:after="80" w:line="252" w:lineRule="auto"/>
      </w:pPr>
      <w:r>
        <w:rPr>
          <w:rFonts w:ascii="Arial" w:hAnsi="Arial" w:eastAsia="Arial"/>
          <w:b w:val="0"/>
          <w:i w:val="0"/>
          <w:sz w:val="20"/>
        </w:rPr>
        <w:t>Retirement payments received by various beneficiaries on retirement are not treated as expenses of the retirement fund. For example, retirement payment amounts made through the Employees Provident Fund to employees working in various offices at the time of retirement are not treated as expenses of the Employees Provident Fund.</w:t>
      </w:r>
    </w:p>
    <w:p>
      <w:pPr>
        <w:spacing w:after="80" w:line="252" w:lineRule="auto"/>
      </w:pPr>
      <w:r>
        <w:rPr>
          <w:rFonts w:ascii="Arial" w:hAnsi="Arial" w:eastAsia="Arial"/>
          <w:b/>
          <w:i w:val="0"/>
          <w:sz w:val="20"/>
        </w:rPr>
        <w:t>Example 12.7.1:</w:t>
      </w:r>
    </w:p>
    <w:p>
      <w:pPr>
        <w:spacing w:after="80" w:line="252" w:lineRule="auto"/>
      </w:pPr>
      <w:r>
        <w:rPr>
          <w:rFonts w:ascii="Arial" w:hAnsi="Arial" w:eastAsia="Arial"/>
          <w:b w:val="0"/>
          <w:i w:val="0"/>
          <w:sz w:val="20"/>
        </w:rPr>
        <w:t>Assume that Harihar Bishwakarma, an employee working in Nepal Airlines Company, retired from the company on 12 Jestha 2065. During the service period, the company sent Rs. 800,000 as provident fund for that employee to an approved retirement fund. At the time of retirement, that retirement fund was required to pay Rs. 1,000,000 to the employee. The retirement contribution of Rs. 800,000 received by the fund is not treated as income of the fund, and the retirement payment of Rs. 1,000,000 paid to the employee is not treated as an expense of the fund.</w:t>
      </w:r>
    </w:p>
    <w:p>
      <w:pPr>
        <w:spacing w:after="80" w:line="252" w:lineRule="auto"/>
      </w:pPr>
      <w:r>
        <w:rPr>
          <w:rFonts w:ascii="Arial" w:hAnsi="Arial" w:eastAsia="Arial"/>
          <w:b w:val="0"/>
          <w:i w:val="0"/>
          <w:sz w:val="20"/>
        </w:rPr>
        <w:t>(c) any interest of a beneficiary in a retirement fund shall not be a liability of that fund.</w:t>
      </w:r>
    </w:p>
    <w:p>
      <w:pPr>
        <w:spacing w:after="80" w:line="252" w:lineRule="auto"/>
      </w:pPr>
      <w:r>
        <w:rPr>
          <w:rFonts w:ascii="Arial" w:hAnsi="Arial" w:eastAsia="Arial"/>
          <w:b w:val="0"/>
          <w:i w:val="0"/>
          <w:sz w:val="20"/>
        </w:rPr>
        <w:t>In the above example, the retirement contribution (interest) of the employees of the Corporation is not a liability of the Employees Provident Fund (retirement fund). Since the retirement fund does not treat retirement contributions received as income, and payments made from the fund to beneficiaries are also not treated as expenses of the fund, the interest of the beneficiary is also not treated as a liability of the fund. The fund is an entity that remains in the form of a trust for the beneficiaries. The natural persons who are beneficiaries are the holders (owners) of their respective account units in the fund. The management of the fund merely invests in the areas prescribed by Rule 20(2) of the Income Tax Rules and earns returns for the beneficiaries.</w:t>
      </w:r>
    </w:p>
    <w:p>
      <w:pPr>
        <w:spacing w:after="80" w:line="252" w:lineRule="auto"/>
      </w:pPr>
      <w:r>
        <w:rPr>
          <w:rFonts w:ascii="Arial" w:hAnsi="Arial" w:eastAsia="Arial"/>
          <w:b w:val="0"/>
          <w:i w:val="0"/>
          <w:sz w:val="20"/>
        </w:rPr>
        <w:t>64(2) No tax shall be imposed on the income of an approved retirement fund.</w:t>
      </w:r>
    </w:p>
    <w:p>
      <w:pPr>
        <w:spacing w:after="80" w:line="252" w:lineRule="auto"/>
      </w:pPr>
      <w:r>
        <w:rPr>
          <w:rFonts w:ascii="Arial" w:hAnsi="Arial" w:eastAsia="Arial"/>
          <w:b w:val="0"/>
          <w:i w:val="0"/>
          <w:sz w:val="20"/>
        </w:rPr>
        <w:t>No tax is imposed on income of retirement funds operated by the Employees Provident Fund, Social Security Fund, Pension Fund and Citizen Investment Trust, or by retirement funds operating after obtaining approval from the Department.</w:t>
      </w:r>
    </w:p>
    <w:p>
      <w:pPr>
        <w:spacing w:after="80" w:line="252" w:lineRule="auto"/>
      </w:pPr>
      <w:r>
        <w:rPr>
          <w:rFonts w:ascii="Arial" w:hAnsi="Arial" w:eastAsia="Arial"/>
          <w:b w:val="0"/>
          <w:i w:val="0"/>
          <w:sz w:val="20"/>
        </w:rPr>
        <w:t>64(3) Where an approved retirement fund ceases to be such fund, the fund shall pay tax at the rate specified in Section 2(1) of Schedule 1 on the amount remaining after reducing the amount referred to in clause (b) from the amount referred to in clause (a):</w:t>
      </w:r>
    </w:p>
    <w:p>
      <w:pPr>
        <w:spacing w:after="80" w:line="252" w:lineRule="auto"/>
      </w:pPr>
      <w:r>
        <w:rPr>
          <w:rFonts w:ascii="Arial" w:hAnsi="Arial" w:eastAsia="Arial"/>
          <w:b w:val="0"/>
          <w:i w:val="0"/>
          <w:sz w:val="20"/>
        </w:rPr>
        <w:t>(a) all retirement contributions deposited in that fund during the period from the date on which it obtained approval as an approved retirement fund to the date on which its recognition ended, and all income amounts that would have been taxable income if subsection (2) had not applied;</w:t>
      </w:r>
    </w:p>
    <w:p>
      <w:pPr>
        <w:spacing w:after="80" w:line="252" w:lineRule="auto"/>
      </w:pPr>
      <w:r>
        <w:rPr>
          <w:rFonts w:ascii="Arial" w:hAnsi="Arial" w:eastAsia="Arial"/>
          <w:b w:val="0"/>
          <w:i w:val="0"/>
          <w:sz w:val="20"/>
        </w:rPr>
        <w:t>(b) all retirement payment amounts paid by the fund during the period from the date on which it obtained approval as an approved retirement fund to the date on which its recognition ended.</w:t>
      </w:r>
    </w:p>
    <w:p>
      <w:pPr>
        <w:spacing w:after="80" w:line="252" w:lineRule="auto"/>
      </w:pPr>
      <w:r>
        <w:rPr>
          <w:rFonts w:ascii="Arial" w:hAnsi="Arial" w:eastAsia="Arial"/>
          <w:b w:val="0"/>
          <w:i w:val="0"/>
          <w:sz w:val="20"/>
        </w:rPr>
        <w:t>If any approved retirement fund ceases to be such fund, that is, if it is converted into an unapproved retirement fund, tax is imposed on the income of that fund at the rate of 25 percent under Section 2(1) of Schedule 1.</w:t>
      </w:r>
    </w:p>
    <w:p>
      <w:pPr>
        <w:spacing w:after="80" w:line="252" w:lineRule="auto"/>
      </w:pPr>
      <w:r>
        <w:rPr>
          <w:rFonts w:ascii="Arial" w:hAnsi="Arial" w:eastAsia="Arial"/>
          <w:b/>
          <w:i w:val="0"/>
          <w:sz w:val="20"/>
        </w:rPr>
        <w:t>Example 12.7.2:</w:t>
      </w:r>
    </w:p>
    <w:p>
      <w:pPr>
        <w:spacing w:after="80" w:line="252" w:lineRule="auto"/>
      </w:pPr>
      <w:r>
        <w:rPr>
          <w:rFonts w:ascii="Arial" w:hAnsi="Arial" w:eastAsia="Arial"/>
          <w:b w:val="0"/>
          <w:i w:val="0"/>
          <w:sz w:val="20"/>
        </w:rPr>
        <w:t>Assume that Nepal Srijan Company Ltd., having obtained approval from the Department at the end of Ashad 2060, has been operating a retirement fund for its workers and employees. The accounts of the fund are as follows:</w:t>
      </w:r>
    </w:p>
    <w:tbl>
      <w:tblPr>
        <w:tblStyle w:val="TableGrid"/>
        <w:tblW w:type="auto" w:w="0"/>
        <w:jc w:val="center"/>
        <w:tblLayout w:type="autofit"/>
        <w:tblLook w:firstColumn="1" w:firstRow="1" w:lastColumn="0" w:lastRow="0" w:noHBand="0" w:noVBand="1" w:val="04A0"/>
      </w:tblPr>
      <w:tblGrid>
        <w:gridCol w:w="5112"/>
        <w:gridCol w:w="5112"/>
      </w:tblGrid>
      <w:tr>
        <w:tc>
          <w:tcPr>
            <w:tcW w:type="dxa" w:w="6768"/>
            <w:vAlign w:val="top"/>
            <w:shd w:fill="D9EAF7"/>
          </w:tcPr>
          <w:p>
            <w:pPr>
              <w:spacing w:after="0" w:line="240" w:lineRule="auto"/>
            </w:pPr>
            <w:r/>
            <w:r>
              <w:rPr>
                <w:rFonts w:ascii="Arial" w:hAnsi="Arial" w:eastAsia="Arial"/>
                <w:b/>
                <w:sz w:val="17"/>
              </w:rPr>
              <w:t>Particulars</w:t>
            </w:r>
          </w:p>
        </w:tc>
        <w:tc>
          <w:tcPr>
            <w:tcW w:type="dxa" w:w="2160"/>
            <w:vAlign w:val="top"/>
            <w:shd w:fill="D9EAF7"/>
          </w:tcPr>
          <w:p>
            <w:pPr>
              <w:spacing w:after="0" w:line="240" w:lineRule="auto"/>
            </w:pPr>
            <w:r/>
            <w:r>
              <w:rPr>
                <w:rFonts w:ascii="Arial" w:hAnsi="Arial" w:eastAsia="Arial"/>
                <w:b/>
                <w:sz w:val="17"/>
              </w:rPr>
              <w:t>Amount (Rs.)</w:t>
            </w:r>
          </w:p>
        </w:tc>
      </w:tr>
      <w:tr>
        <w:tc>
          <w:tcPr>
            <w:tcW w:type="dxa" w:w="6768"/>
            <w:vAlign w:val="top"/>
          </w:tcPr>
          <w:p>
            <w:pPr>
              <w:spacing w:after="0" w:line="240" w:lineRule="auto"/>
            </w:pPr>
            <w:r/>
            <w:r>
              <w:rPr>
                <w:rFonts w:ascii="Arial" w:hAnsi="Arial" w:eastAsia="Arial"/>
                <w:b w:val="0"/>
                <w:sz w:val="17"/>
              </w:rPr>
              <w:t>FY 2060/61 retirement contribution</w:t>
            </w:r>
          </w:p>
        </w:tc>
        <w:tc>
          <w:tcPr>
            <w:tcW w:type="dxa" w:w="2160"/>
            <w:vAlign w:val="top"/>
          </w:tcPr>
          <w:p>
            <w:pPr>
              <w:spacing w:after="0" w:line="240" w:lineRule="auto"/>
            </w:pPr>
            <w:r/>
            <w:r>
              <w:rPr>
                <w:rFonts w:ascii="Arial" w:hAnsi="Arial" w:eastAsia="Arial"/>
                <w:b w:val="0"/>
                <w:sz w:val="17"/>
              </w:rPr>
              <w:t>2,500,000</w:t>
            </w:r>
          </w:p>
        </w:tc>
      </w:tr>
      <w:tr>
        <w:tc>
          <w:tcPr>
            <w:tcW w:type="dxa" w:w="6768"/>
            <w:vAlign w:val="top"/>
          </w:tcPr>
          <w:p>
            <w:pPr>
              <w:spacing w:after="0" w:line="240" w:lineRule="auto"/>
            </w:pPr>
            <w:r/>
            <w:r>
              <w:rPr>
                <w:rFonts w:ascii="Arial" w:hAnsi="Arial" w:eastAsia="Arial"/>
                <w:b w:val="0"/>
                <w:sz w:val="17"/>
              </w:rPr>
              <w:t>FY 2060/61 interest received from investment</w:t>
            </w:r>
          </w:p>
        </w:tc>
        <w:tc>
          <w:tcPr>
            <w:tcW w:type="dxa" w:w="2160"/>
            <w:vAlign w:val="top"/>
          </w:tcPr>
          <w:p>
            <w:pPr>
              <w:spacing w:after="0" w:line="240" w:lineRule="auto"/>
            </w:pPr>
            <w:r/>
            <w:r>
              <w:rPr>
                <w:rFonts w:ascii="Arial" w:hAnsi="Arial" w:eastAsia="Arial"/>
                <w:b w:val="0"/>
                <w:sz w:val="17"/>
              </w:rPr>
              <w:t>150,000</w:t>
            </w:r>
          </w:p>
        </w:tc>
      </w:tr>
      <w:tr>
        <w:tc>
          <w:tcPr>
            <w:tcW w:type="dxa" w:w="6768"/>
            <w:vAlign w:val="top"/>
          </w:tcPr>
          <w:p>
            <w:pPr>
              <w:spacing w:after="0" w:line="240" w:lineRule="auto"/>
            </w:pPr>
            <w:r/>
            <w:r>
              <w:rPr>
                <w:rFonts w:ascii="Arial" w:hAnsi="Arial" w:eastAsia="Arial"/>
                <w:b w:val="0"/>
                <w:sz w:val="17"/>
              </w:rPr>
              <w:t>FY 2061/62 retirement contribution</w:t>
            </w:r>
          </w:p>
        </w:tc>
        <w:tc>
          <w:tcPr>
            <w:tcW w:type="dxa" w:w="2160"/>
            <w:vAlign w:val="top"/>
          </w:tcPr>
          <w:p>
            <w:pPr>
              <w:spacing w:after="0" w:line="240" w:lineRule="auto"/>
            </w:pPr>
            <w:r/>
            <w:r>
              <w:rPr>
                <w:rFonts w:ascii="Arial" w:hAnsi="Arial" w:eastAsia="Arial"/>
                <w:b w:val="0"/>
                <w:sz w:val="17"/>
              </w:rPr>
              <w:t>3,000,000</w:t>
            </w:r>
          </w:p>
        </w:tc>
      </w:tr>
      <w:tr>
        <w:tc>
          <w:tcPr>
            <w:tcW w:type="dxa" w:w="6768"/>
            <w:vAlign w:val="top"/>
          </w:tcPr>
          <w:p>
            <w:pPr>
              <w:spacing w:after="0" w:line="240" w:lineRule="auto"/>
            </w:pPr>
            <w:r/>
            <w:r>
              <w:rPr>
                <w:rFonts w:ascii="Arial" w:hAnsi="Arial" w:eastAsia="Arial"/>
                <w:b w:val="0"/>
                <w:sz w:val="17"/>
              </w:rPr>
              <w:t>FY 2061/62 interest received from investment</w:t>
            </w:r>
          </w:p>
        </w:tc>
        <w:tc>
          <w:tcPr>
            <w:tcW w:type="dxa" w:w="2160"/>
            <w:vAlign w:val="top"/>
          </w:tcPr>
          <w:p>
            <w:pPr>
              <w:spacing w:after="0" w:line="240" w:lineRule="auto"/>
            </w:pPr>
            <w:r/>
            <w:r>
              <w:rPr>
                <w:rFonts w:ascii="Arial" w:hAnsi="Arial" w:eastAsia="Arial"/>
                <w:b w:val="0"/>
                <w:sz w:val="17"/>
              </w:rPr>
              <w:t>400,000</w:t>
            </w:r>
          </w:p>
        </w:tc>
      </w:tr>
      <w:tr>
        <w:tc>
          <w:tcPr>
            <w:tcW w:type="dxa" w:w="6768"/>
            <w:vAlign w:val="top"/>
          </w:tcPr>
          <w:p>
            <w:pPr>
              <w:spacing w:after="0" w:line="240" w:lineRule="auto"/>
            </w:pPr>
            <w:r/>
            <w:r>
              <w:rPr>
                <w:rFonts w:ascii="Arial" w:hAnsi="Arial" w:eastAsia="Arial"/>
                <w:b w:val="0"/>
                <w:sz w:val="17"/>
              </w:rPr>
              <w:t>Retirement payment in FY 2060/61</w:t>
            </w:r>
          </w:p>
        </w:tc>
        <w:tc>
          <w:tcPr>
            <w:tcW w:type="dxa" w:w="2160"/>
            <w:vAlign w:val="top"/>
          </w:tcPr>
          <w:p>
            <w:pPr>
              <w:spacing w:after="0" w:line="240" w:lineRule="auto"/>
            </w:pPr>
            <w:r/>
            <w:r>
              <w:rPr>
                <w:rFonts w:ascii="Arial" w:hAnsi="Arial" w:eastAsia="Arial"/>
                <w:b w:val="0"/>
                <w:sz w:val="17"/>
              </w:rPr>
              <w:t>1,500,000</w:t>
            </w:r>
          </w:p>
        </w:tc>
      </w:tr>
      <w:tr>
        <w:tc>
          <w:tcPr>
            <w:tcW w:type="dxa" w:w="6768"/>
            <w:vAlign w:val="top"/>
          </w:tcPr>
          <w:p>
            <w:pPr>
              <w:spacing w:after="0" w:line="240" w:lineRule="auto"/>
            </w:pPr>
            <w:r/>
            <w:r>
              <w:rPr>
                <w:rFonts w:ascii="Arial" w:hAnsi="Arial" w:eastAsia="Arial"/>
                <w:b w:val="0"/>
                <w:sz w:val="17"/>
              </w:rPr>
              <w:t>Retirement payment in FY 2061/62</w:t>
            </w:r>
          </w:p>
        </w:tc>
        <w:tc>
          <w:tcPr>
            <w:tcW w:type="dxa" w:w="2160"/>
            <w:vAlign w:val="top"/>
          </w:tcPr>
          <w:p>
            <w:pPr>
              <w:spacing w:after="0" w:line="240" w:lineRule="auto"/>
            </w:pPr>
            <w:r/>
            <w:r>
              <w:rPr>
                <w:rFonts w:ascii="Arial" w:hAnsi="Arial" w:eastAsia="Arial"/>
                <w:b w:val="0"/>
                <w:sz w:val="17"/>
              </w:rPr>
              <w:t>1,400,000</w:t>
            </w:r>
          </w:p>
        </w:tc>
      </w:tr>
      <w:tr>
        <w:tc>
          <w:tcPr>
            <w:tcW w:type="dxa" w:w="6768"/>
            <w:vAlign w:val="top"/>
          </w:tcPr>
          <w:p>
            <w:pPr>
              <w:spacing w:after="0" w:line="240" w:lineRule="auto"/>
            </w:pPr>
            <w:r/>
            <w:r>
              <w:rPr>
                <w:rFonts w:ascii="Arial" w:hAnsi="Arial" w:eastAsia="Arial"/>
                <w:b w:val="0"/>
                <w:sz w:val="17"/>
              </w:rPr>
              <w:t>Retirement fund operating expenses in FY 2060/61</w:t>
            </w:r>
          </w:p>
        </w:tc>
        <w:tc>
          <w:tcPr>
            <w:tcW w:type="dxa" w:w="2160"/>
            <w:vAlign w:val="top"/>
          </w:tcPr>
          <w:p>
            <w:pPr>
              <w:spacing w:after="0" w:line="240" w:lineRule="auto"/>
            </w:pPr>
            <w:r/>
            <w:r>
              <w:rPr>
                <w:rFonts w:ascii="Arial" w:hAnsi="Arial" w:eastAsia="Arial"/>
                <w:b w:val="0"/>
                <w:sz w:val="17"/>
              </w:rPr>
              <w:t>100,000</w:t>
            </w:r>
          </w:p>
        </w:tc>
      </w:tr>
      <w:tr>
        <w:tc>
          <w:tcPr>
            <w:tcW w:type="dxa" w:w="6768"/>
            <w:vAlign w:val="top"/>
          </w:tcPr>
          <w:p>
            <w:pPr>
              <w:spacing w:after="0" w:line="240" w:lineRule="auto"/>
            </w:pPr>
            <w:r/>
            <w:r>
              <w:rPr>
                <w:rFonts w:ascii="Arial" w:hAnsi="Arial" w:eastAsia="Arial"/>
                <w:b w:val="0"/>
                <w:sz w:val="17"/>
              </w:rPr>
              <w:t>Retirement fund operating expenses in FY 2061/62</w:t>
            </w:r>
          </w:p>
        </w:tc>
        <w:tc>
          <w:tcPr>
            <w:tcW w:type="dxa" w:w="2160"/>
            <w:vAlign w:val="top"/>
          </w:tcPr>
          <w:p>
            <w:pPr>
              <w:spacing w:after="0" w:line="240" w:lineRule="auto"/>
            </w:pPr>
            <w:r/>
            <w:r>
              <w:rPr>
                <w:rFonts w:ascii="Arial" w:hAnsi="Arial" w:eastAsia="Arial"/>
                <w:b w:val="0"/>
                <w:sz w:val="17"/>
              </w:rPr>
              <w:t>110,000</w:t>
            </w:r>
          </w:p>
        </w:tc>
      </w:tr>
    </w:tbl>
    <w:p/>
    <w:p>
      <w:pPr>
        <w:spacing w:after="80" w:line="252" w:lineRule="auto"/>
      </w:pPr>
      <w:r>
        <w:rPr>
          <w:rFonts w:ascii="Arial" w:hAnsi="Arial" w:eastAsia="Arial"/>
          <w:b w:val="0"/>
          <w:i w:val="0"/>
          <w:sz w:val="20"/>
        </w:rPr>
        <w:t>Assume that the Department notifies that it cancelled the approval of the retirement fund from the end of Jestha 2062. Since the approved retirement fund is converted into an unapproved retirement fund from the end of Jestha 2062, the tax of the retirement fund is computed as follows:</w:t>
      </w:r>
    </w:p>
    <w:tbl>
      <w:tblPr>
        <w:tblStyle w:val="TableGrid"/>
        <w:tblW w:type="auto" w:w="0"/>
        <w:jc w:val="center"/>
        <w:tblLayout w:type="autofit"/>
        <w:tblLook w:firstColumn="1" w:firstRow="1" w:lastColumn="0" w:lastRow="0" w:noHBand="0" w:noVBand="1" w:val="04A0"/>
      </w:tblPr>
      <w:tblGrid>
        <w:gridCol w:w="5112"/>
        <w:gridCol w:w="5112"/>
      </w:tblGrid>
      <w:tr>
        <w:tc>
          <w:tcPr>
            <w:tcW w:type="dxa" w:w="6768"/>
            <w:vAlign w:val="top"/>
            <w:shd w:fill="D9EAF7"/>
          </w:tcPr>
          <w:p>
            <w:pPr>
              <w:spacing w:after="0" w:line="240" w:lineRule="auto"/>
            </w:pPr>
            <w:r/>
            <w:r>
              <w:rPr>
                <w:rFonts w:ascii="Arial" w:hAnsi="Arial" w:eastAsia="Arial"/>
                <w:b/>
                <w:sz w:val="17"/>
              </w:rPr>
              <w:t>Particulars</w:t>
            </w:r>
          </w:p>
        </w:tc>
        <w:tc>
          <w:tcPr>
            <w:tcW w:type="dxa" w:w="2160"/>
            <w:vAlign w:val="top"/>
            <w:shd w:fill="D9EAF7"/>
          </w:tcPr>
          <w:p>
            <w:pPr>
              <w:spacing w:after="0" w:line="240" w:lineRule="auto"/>
            </w:pPr>
            <w:r/>
            <w:r>
              <w:rPr>
                <w:rFonts w:ascii="Arial" w:hAnsi="Arial" w:eastAsia="Arial"/>
                <w:b/>
                <w:sz w:val="17"/>
              </w:rPr>
              <w:t>Amount (Rs.)</w:t>
            </w:r>
          </w:p>
        </w:tc>
      </w:tr>
      <w:tr>
        <w:tc>
          <w:tcPr>
            <w:tcW w:type="dxa" w:w="6768"/>
            <w:vAlign w:val="top"/>
          </w:tcPr>
          <w:p>
            <w:pPr>
              <w:spacing w:after="0" w:line="240" w:lineRule="auto"/>
            </w:pPr>
            <w:r/>
            <w:r>
              <w:rPr>
                <w:rFonts w:ascii="Arial" w:hAnsi="Arial" w:eastAsia="Arial"/>
                <w:b w:val="0"/>
                <w:sz w:val="17"/>
              </w:rPr>
              <w:t>Date approval obtained</w:t>
            </w:r>
          </w:p>
        </w:tc>
        <w:tc>
          <w:tcPr>
            <w:tcW w:type="dxa" w:w="2160"/>
            <w:vAlign w:val="top"/>
          </w:tcPr>
          <w:p>
            <w:pPr>
              <w:spacing w:after="0" w:line="240" w:lineRule="auto"/>
            </w:pPr>
            <w:r/>
            <w:r>
              <w:rPr>
                <w:rFonts w:ascii="Arial" w:hAnsi="Arial" w:eastAsia="Arial"/>
                <w:b w:val="0"/>
                <w:sz w:val="17"/>
              </w:rPr>
              <w:t>End of Ashad 2060</w:t>
            </w:r>
          </w:p>
        </w:tc>
      </w:tr>
      <w:tr>
        <w:tc>
          <w:tcPr>
            <w:tcW w:type="dxa" w:w="6768"/>
            <w:vAlign w:val="top"/>
          </w:tcPr>
          <w:p>
            <w:pPr>
              <w:spacing w:after="0" w:line="240" w:lineRule="auto"/>
            </w:pPr>
            <w:r/>
            <w:r>
              <w:rPr>
                <w:rFonts w:ascii="Arial" w:hAnsi="Arial" w:eastAsia="Arial"/>
                <w:b w:val="0"/>
                <w:sz w:val="17"/>
              </w:rPr>
              <w:t>Date approval ended</w:t>
            </w:r>
          </w:p>
        </w:tc>
        <w:tc>
          <w:tcPr>
            <w:tcW w:type="dxa" w:w="2160"/>
            <w:vAlign w:val="top"/>
          </w:tcPr>
          <w:p>
            <w:pPr>
              <w:spacing w:after="0" w:line="240" w:lineRule="auto"/>
            </w:pPr>
            <w:r/>
            <w:r>
              <w:rPr>
                <w:rFonts w:ascii="Arial" w:hAnsi="Arial" w:eastAsia="Arial"/>
                <w:b w:val="0"/>
                <w:sz w:val="17"/>
              </w:rPr>
              <w:t>End of Jestha 2062</w:t>
            </w:r>
          </w:p>
        </w:tc>
      </w:tr>
      <w:tr>
        <w:tc>
          <w:tcPr>
            <w:tcW w:type="dxa" w:w="6768"/>
            <w:vAlign w:val="top"/>
          </w:tcPr>
          <w:p>
            <w:pPr>
              <w:spacing w:after="0" w:line="240" w:lineRule="auto"/>
            </w:pPr>
            <w:r/>
            <w:r>
              <w:rPr>
                <w:rFonts w:ascii="Arial" w:hAnsi="Arial" w:eastAsia="Arial"/>
                <w:b w:val="0"/>
                <w:sz w:val="17"/>
              </w:rPr>
              <w:t>Contributions from the date of approval</w:t>
            </w:r>
          </w:p>
        </w:tc>
        <w:tc>
          <w:tcPr>
            <w:tcW w:type="dxa" w:w="2160"/>
            <w:vAlign w:val="top"/>
          </w:tcPr>
          <w:p>
            <w:pPr>
              <w:spacing w:after="0" w:line="240" w:lineRule="auto"/>
            </w:pPr>
            <w:r/>
            <w:r>
              <w:rPr>
                <w:rFonts w:ascii="Arial" w:hAnsi="Arial" w:eastAsia="Arial"/>
                <w:b w:val="0"/>
                <w:sz w:val="17"/>
              </w:rPr>
              <w:t>5,500,000</w:t>
            </w:r>
          </w:p>
        </w:tc>
      </w:tr>
      <w:tr>
        <w:tc>
          <w:tcPr>
            <w:tcW w:type="dxa" w:w="6768"/>
            <w:vAlign w:val="top"/>
          </w:tcPr>
          <w:p>
            <w:pPr>
              <w:spacing w:after="0" w:line="240" w:lineRule="auto"/>
            </w:pPr>
            <w:r/>
            <w:r>
              <w:rPr>
                <w:rFonts w:ascii="Arial" w:hAnsi="Arial" w:eastAsia="Arial"/>
                <w:b w:val="0"/>
                <w:sz w:val="17"/>
              </w:rPr>
              <w:t>Interest received from investments up to the date approval ended</w:t>
            </w:r>
          </w:p>
        </w:tc>
        <w:tc>
          <w:tcPr>
            <w:tcW w:type="dxa" w:w="2160"/>
            <w:vAlign w:val="top"/>
          </w:tcPr>
          <w:p>
            <w:pPr>
              <w:spacing w:after="0" w:line="240" w:lineRule="auto"/>
            </w:pPr>
            <w:r/>
            <w:r>
              <w:rPr>
                <w:rFonts w:ascii="Arial" w:hAnsi="Arial" w:eastAsia="Arial"/>
                <w:b w:val="0"/>
                <w:sz w:val="17"/>
              </w:rPr>
              <w:t>550,000</w:t>
            </w:r>
          </w:p>
        </w:tc>
      </w:tr>
      <w:tr>
        <w:tc>
          <w:tcPr>
            <w:tcW w:type="dxa" w:w="6768"/>
            <w:vAlign w:val="top"/>
          </w:tcPr>
          <w:p>
            <w:pPr>
              <w:spacing w:after="0" w:line="240" w:lineRule="auto"/>
            </w:pPr>
            <w:r/>
            <w:r>
              <w:rPr>
                <w:rFonts w:ascii="Arial" w:hAnsi="Arial" w:eastAsia="Arial"/>
                <w:b w:val="0"/>
                <w:sz w:val="17"/>
              </w:rPr>
              <w:t>Less: retirement fund operating expenses</w:t>
            </w:r>
          </w:p>
        </w:tc>
        <w:tc>
          <w:tcPr>
            <w:tcW w:type="dxa" w:w="2160"/>
            <w:vAlign w:val="top"/>
          </w:tcPr>
          <w:p>
            <w:pPr>
              <w:spacing w:after="0" w:line="240" w:lineRule="auto"/>
            </w:pPr>
            <w:r/>
            <w:r>
              <w:rPr>
                <w:rFonts w:ascii="Arial" w:hAnsi="Arial" w:eastAsia="Arial"/>
                <w:b w:val="0"/>
                <w:sz w:val="17"/>
              </w:rPr>
              <w:t>(210,000)</w:t>
            </w:r>
          </w:p>
        </w:tc>
      </w:tr>
      <w:tr>
        <w:tc>
          <w:tcPr>
            <w:tcW w:type="dxa" w:w="6768"/>
            <w:vAlign w:val="top"/>
          </w:tcPr>
          <w:p>
            <w:pPr>
              <w:spacing w:after="0" w:line="240" w:lineRule="auto"/>
            </w:pPr>
            <w:r/>
            <w:r>
              <w:rPr>
                <w:rFonts w:ascii="Arial" w:hAnsi="Arial" w:eastAsia="Arial"/>
                <w:b w:val="0"/>
                <w:sz w:val="17"/>
              </w:rPr>
              <w:t>Taxable income up to the date approval ended</w:t>
            </w:r>
          </w:p>
        </w:tc>
        <w:tc>
          <w:tcPr>
            <w:tcW w:type="dxa" w:w="2160"/>
            <w:vAlign w:val="top"/>
          </w:tcPr>
          <w:p>
            <w:pPr>
              <w:spacing w:after="0" w:line="240" w:lineRule="auto"/>
            </w:pPr>
            <w:r/>
            <w:r>
              <w:rPr>
                <w:rFonts w:ascii="Arial" w:hAnsi="Arial" w:eastAsia="Arial"/>
                <w:b w:val="0"/>
                <w:sz w:val="17"/>
              </w:rPr>
              <w:t>340,000</w:t>
            </w:r>
          </w:p>
        </w:tc>
      </w:tr>
      <w:tr>
        <w:tc>
          <w:tcPr>
            <w:tcW w:type="dxa" w:w="6768"/>
            <w:vAlign w:val="top"/>
          </w:tcPr>
          <w:p>
            <w:pPr>
              <w:spacing w:after="0" w:line="240" w:lineRule="auto"/>
            </w:pPr>
            <w:r/>
            <w:r>
              <w:rPr>
                <w:rFonts w:ascii="Arial" w:hAnsi="Arial" w:eastAsia="Arial"/>
                <w:b w:val="0"/>
                <w:sz w:val="17"/>
              </w:rPr>
              <w:t>Total income (A)</w:t>
            </w:r>
          </w:p>
        </w:tc>
        <w:tc>
          <w:tcPr>
            <w:tcW w:type="dxa" w:w="2160"/>
            <w:vAlign w:val="top"/>
          </w:tcPr>
          <w:p>
            <w:pPr>
              <w:spacing w:after="0" w:line="240" w:lineRule="auto"/>
            </w:pPr>
            <w:r/>
            <w:r>
              <w:rPr>
                <w:rFonts w:ascii="Arial" w:hAnsi="Arial" w:eastAsia="Arial"/>
                <w:b w:val="0"/>
                <w:sz w:val="17"/>
              </w:rPr>
              <w:t>5,840,000</w:t>
            </w:r>
          </w:p>
        </w:tc>
      </w:tr>
      <w:tr>
        <w:tc>
          <w:tcPr>
            <w:tcW w:type="dxa" w:w="6768"/>
            <w:vAlign w:val="top"/>
          </w:tcPr>
          <w:p>
            <w:pPr>
              <w:spacing w:after="0" w:line="240" w:lineRule="auto"/>
            </w:pPr>
            <w:r/>
            <w:r>
              <w:rPr>
                <w:rFonts w:ascii="Arial" w:hAnsi="Arial" w:eastAsia="Arial"/>
                <w:b w:val="0"/>
                <w:sz w:val="17"/>
              </w:rPr>
              <w:t>Retirement payment FY 2060/61</w:t>
            </w:r>
          </w:p>
        </w:tc>
        <w:tc>
          <w:tcPr>
            <w:tcW w:type="dxa" w:w="2160"/>
            <w:vAlign w:val="top"/>
          </w:tcPr>
          <w:p>
            <w:pPr>
              <w:spacing w:after="0" w:line="240" w:lineRule="auto"/>
            </w:pPr>
            <w:r/>
            <w:r>
              <w:rPr>
                <w:rFonts w:ascii="Arial" w:hAnsi="Arial" w:eastAsia="Arial"/>
                <w:b w:val="0"/>
                <w:sz w:val="17"/>
              </w:rPr>
              <w:t>1,500,000</w:t>
            </w:r>
          </w:p>
        </w:tc>
      </w:tr>
      <w:tr>
        <w:tc>
          <w:tcPr>
            <w:tcW w:type="dxa" w:w="6768"/>
            <w:vAlign w:val="top"/>
          </w:tcPr>
          <w:p>
            <w:pPr>
              <w:spacing w:after="0" w:line="240" w:lineRule="auto"/>
            </w:pPr>
            <w:r/>
            <w:r>
              <w:rPr>
                <w:rFonts w:ascii="Arial" w:hAnsi="Arial" w:eastAsia="Arial"/>
                <w:b w:val="0"/>
                <w:sz w:val="17"/>
              </w:rPr>
              <w:t>Retirement payment FY 2061/62</w:t>
            </w:r>
          </w:p>
        </w:tc>
        <w:tc>
          <w:tcPr>
            <w:tcW w:type="dxa" w:w="2160"/>
            <w:vAlign w:val="top"/>
          </w:tcPr>
          <w:p>
            <w:pPr>
              <w:spacing w:after="0" w:line="240" w:lineRule="auto"/>
            </w:pPr>
            <w:r/>
            <w:r>
              <w:rPr>
                <w:rFonts w:ascii="Arial" w:hAnsi="Arial" w:eastAsia="Arial"/>
                <w:b w:val="0"/>
                <w:sz w:val="17"/>
              </w:rPr>
              <w:t>1,400,000</w:t>
            </w:r>
          </w:p>
        </w:tc>
      </w:tr>
      <w:tr>
        <w:tc>
          <w:tcPr>
            <w:tcW w:type="dxa" w:w="6768"/>
            <w:vAlign w:val="top"/>
          </w:tcPr>
          <w:p>
            <w:pPr>
              <w:spacing w:after="0" w:line="240" w:lineRule="auto"/>
            </w:pPr>
            <w:r/>
            <w:r>
              <w:rPr>
                <w:rFonts w:ascii="Arial" w:hAnsi="Arial" w:eastAsia="Arial"/>
                <w:b w:val="0"/>
                <w:sz w:val="17"/>
              </w:rPr>
              <w:t>Total retirement payments (B)</w:t>
            </w:r>
          </w:p>
        </w:tc>
        <w:tc>
          <w:tcPr>
            <w:tcW w:type="dxa" w:w="2160"/>
            <w:vAlign w:val="top"/>
          </w:tcPr>
          <w:p>
            <w:pPr>
              <w:spacing w:after="0" w:line="240" w:lineRule="auto"/>
            </w:pPr>
            <w:r/>
            <w:r>
              <w:rPr>
                <w:rFonts w:ascii="Arial" w:hAnsi="Arial" w:eastAsia="Arial"/>
                <w:b w:val="0"/>
                <w:sz w:val="17"/>
              </w:rPr>
              <w:t>2,900,000</w:t>
            </w:r>
          </w:p>
        </w:tc>
      </w:tr>
      <w:tr>
        <w:tc>
          <w:tcPr>
            <w:tcW w:type="dxa" w:w="6768"/>
            <w:vAlign w:val="top"/>
          </w:tcPr>
          <w:p>
            <w:pPr>
              <w:spacing w:after="0" w:line="240" w:lineRule="auto"/>
            </w:pPr>
            <w:r/>
            <w:r>
              <w:rPr>
                <w:rFonts w:ascii="Arial" w:hAnsi="Arial" w:eastAsia="Arial"/>
                <w:b w:val="0"/>
                <w:sz w:val="17"/>
              </w:rPr>
              <w:t>Taxable income (A-B)</w:t>
            </w:r>
          </w:p>
        </w:tc>
        <w:tc>
          <w:tcPr>
            <w:tcW w:type="dxa" w:w="2160"/>
            <w:vAlign w:val="top"/>
          </w:tcPr>
          <w:p>
            <w:pPr>
              <w:spacing w:after="0" w:line="240" w:lineRule="auto"/>
            </w:pPr>
            <w:r/>
            <w:r>
              <w:rPr>
                <w:rFonts w:ascii="Arial" w:hAnsi="Arial" w:eastAsia="Arial"/>
                <w:b w:val="0"/>
                <w:sz w:val="17"/>
              </w:rPr>
              <w:t>2,940,000</w:t>
            </w:r>
          </w:p>
        </w:tc>
      </w:tr>
      <w:tr>
        <w:tc>
          <w:tcPr>
            <w:tcW w:type="dxa" w:w="6768"/>
            <w:vAlign w:val="top"/>
          </w:tcPr>
          <w:p>
            <w:pPr>
              <w:spacing w:after="0" w:line="240" w:lineRule="auto"/>
            </w:pPr>
            <w:r/>
            <w:r>
              <w:rPr>
                <w:rFonts w:ascii="Arial" w:hAnsi="Arial" w:eastAsia="Arial"/>
                <w:b w:val="0"/>
                <w:sz w:val="17"/>
              </w:rPr>
              <w:t>Tax at 25%</w:t>
            </w:r>
          </w:p>
        </w:tc>
        <w:tc>
          <w:tcPr>
            <w:tcW w:type="dxa" w:w="2160"/>
            <w:vAlign w:val="top"/>
          </w:tcPr>
          <w:p>
            <w:pPr>
              <w:spacing w:after="0" w:line="240" w:lineRule="auto"/>
            </w:pPr>
            <w:r/>
            <w:r>
              <w:rPr>
                <w:rFonts w:ascii="Arial" w:hAnsi="Arial" w:eastAsia="Arial"/>
                <w:b w:val="0"/>
                <w:sz w:val="17"/>
              </w:rPr>
              <w:t>735,000</w:t>
            </w:r>
          </w:p>
        </w:tc>
      </w:tr>
    </w:tbl>
    <w:p/>
    <w:p>
      <w:r>
        <w:br w:type="page"/>
      </w:r>
    </w:p>
    <w:p>
      <w:pPr>
        <w:spacing w:after="80" w:line="252" w:lineRule="auto"/>
        <w:jc w:val="center"/>
      </w:pPr>
      <w:r>
        <w:rPr>
          <w:rFonts w:ascii="Arial" w:hAnsi="Arial" w:eastAsia="Arial"/>
          <w:b/>
          <w:i w:val="0"/>
          <w:sz w:val="20"/>
        </w:rPr>
        <w:t>Income Tax Directive, 2066 (with Fifth Amendment, 2081)</w:t>
      </w:r>
    </w:p>
    <w:p>
      <w:pPr>
        <w:spacing w:after="80" w:line="252" w:lineRule="auto"/>
        <w:jc w:val="center"/>
      </w:pPr>
      <w:r>
        <w:rPr>
          <w:rFonts w:ascii="Arial" w:hAnsi="Arial" w:eastAsia="Arial"/>
          <w:b/>
          <w:i w:val="0"/>
          <w:sz w:val="20"/>
        </w:rPr>
        <w:t>English Translation - Part 13</w:t>
      </w:r>
    </w:p>
    <w:p>
      <w:pPr>
        <w:spacing w:after="80" w:line="252" w:lineRule="auto"/>
        <w:jc w:val="center"/>
      </w:pPr>
      <w:r>
        <w:rPr>
          <w:rFonts w:ascii="Arial" w:hAnsi="Arial" w:eastAsia="Arial"/>
          <w:b/>
          <w:i w:val="0"/>
          <w:sz w:val="20"/>
        </w:rPr>
        <w:t>Chapter 13: Entity and Distribution</w:t>
      </w:r>
    </w:p>
    <w:p>
      <w:pPr>
        <w:spacing w:after="80" w:line="252" w:lineRule="auto"/>
        <w:jc w:val="center"/>
      </w:pPr>
      <w:r>
        <w:rPr>
          <w:rFonts w:ascii="Arial" w:hAnsi="Arial" w:eastAsia="Arial"/>
          <w:b w:val="0"/>
          <w:i/>
          <w:sz w:val="20"/>
        </w:rPr>
        <w:t>Source pages: Directive pages 178-201</w:t>
      </w:r>
    </w:p>
    <w:p>
      <w:pPr>
        <w:spacing w:after="80" w:line="252" w:lineRule="auto"/>
      </w:pPr>
      <w:r>
        <w:rPr>
          <w:rFonts w:ascii="Arial" w:hAnsi="Arial" w:eastAsia="Arial"/>
          <w:b w:val="0"/>
          <w:i/>
          <w:sz w:val="20"/>
        </w:rPr>
        <w:t>Note: This translation preserves the meaning, sequence, section numbering, examples and tabular presentation of the Nepali directive as far as practicable in Word format. Statutory expressions such as entity, beneficiary, interest in an entity, underlying ownership, distribution, dividend, liquidation, change in ownership, disposal, capital contribution, final withholding payment and foreign permanent establishment have been aligned with the official English terminology of the Income Tax Act, 2002 (2058) where applicable.</w:t>
      </w:r>
    </w:p>
    <w:p>
      <w:pPr>
        <w:pStyle w:val="Heading1"/>
      </w:pPr>
      <w:r>
        <w:t>Chapter 13</w:t>
      </w:r>
    </w:p>
    <w:p>
      <w:pPr>
        <w:pStyle w:val="Heading2"/>
      </w:pPr>
      <w:r>
        <w:t>Entity and Distribution</w:t>
      </w:r>
    </w:p>
    <w:p>
      <w:pPr>
        <w:pStyle w:val="Heading2"/>
      </w:pPr>
      <w:r>
        <w:t>13.1 Entity</w:t>
      </w:r>
    </w:p>
    <w:p>
      <w:pPr>
        <w:spacing w:after="80" w:line="252" w:lineRule="auto"/>
      </w:pPr>
      <w:r>
        <w:rPr>
          <w:rFonts w:ascii="Arial" w:hAnsi="Arial" w:eastAsia="Arial"/>
          <w:b w:val="0"/>
          <w:i w:val="0"/>
          <w:sz w:val="20"/>
        </w:rPr>
        <w:t>"Entity" means a person other than a natural person. For income tax purposes, the Income Tax Act, 2058 treats an entity as an artificial person and imposes tax accordingly. Section 2(bha) of the Act defines entity to include a partnership, trust or company; a rural municipality, municipality or district coordination committee; the Government of Nepal, a Provincial Government or a Local Level; a foreign government or a provincial or local government under such government; a public international organisation established by treaty; and a permanent establishment of an institution or organisation situated outside the country in which it is resident.</w:t>
      </w:r>
    </w:p>
    <w:p>
      <w:pPr>
        <w:spacing w:after="80" w:line="252" w:lineRule="auto"/>
      </w:pPr>
      <w:r>
        <w:rPr>
          <w:rFonts w:ascii="Arial" w:hAnsi="Arial" w:eastAsia="Arial"/>
          <w:b w:val="0"/>
          <w:i w:val="0"/>
          <w:sz w:val="20"/>
        </w:rPr>
        <w:t>Generally, although the ownership of an entity may be controlled by natural persons or other entities, the entity has a separate legal existence. In explaining the taxation of an entity, it is necessary to understand the concepts of interest in an entity and underlying ownership in an entity.</w:t>
      </w:r>
    </w:p>
    <w:p>
      <w:pPr>
        <w:spacing w:after="80" w:line="252" w:lineRule="auto"/>
      </w:pPr>
      <w:r>
        <w:rPr>
          <w:rFonts w:ascii="Arial" w:hAnsi="Arial" w:eastAsia="Arial"/>
          <w:b w:val="0"/>
          <w:i w:val="0"/>
          <w:sz w:val="20"/>
        </w:rPr>
        <w:t>Dividend generally denotes the part of profit distributed by an entity to its beneficiaries. Section 2(kagha) of the Act provides that the term "dividend" means a distribution by an entity. Income derived by an entity may be taxable, partly exempt, or fully exempt, subject to the Act. From income on which tax liability has been discharged, an entity may distribute part of the profit to its beneficiaries or add such profit to its capital, that is, capitalise the profit. Such distribution is income of the beneficiary. Because the legal status of the entity is different from its beneficiaries, the entity itself is liable to pay tax on the income derived by it, whereas the concerned beneficiary is liable to pay tax on dividend income received by that beneficiary.</w:t>
      </w:r>
    </w:p>
    <w:p>
      <w:pPr>
        <w:spacing w:after="80" w:line="252" w:lineRule="auto"/>
      </w:pPr>
      <w:r>
        <w:rPr>
          <w:rFonts w:ascii="Arial" w:hAnsi="Arial" w:eastAsia="Arial"/>
          <w:b w:val="0"/>
          <w:i w:val="0"/>
          <w:sz w:val="20"/>
        </w:rPr>
        <w:t>The main objective of this chapter is to explain the provisions of the Act relating to income of an entity, distributions by an entity, and the consequences where there is a change in ownership of an entity.</w:t>
      </w:r>
    </w:p>
    <w:p>
      <w:pPr>
        <w:pStyle w:val="Heading2"/>
      </w:pPr>
      <w:r>
        <w:t>13.2 Interest in an Entity</w:t>
      </w:r>
    </w:p>
    <w:p>
      <w:pPr>
        <w:spacing w:after="80" w:line="252" w:lineRule="auto"/>
      </w:pPr>
      <w:r>
        <w:rPr>
          <w:rFonts w:ascii="Arial" w:hAnsi="Arial" w:eastAsia="Arial"/>
          <w:b w:val="0"/>
          <w:i w:val="0"/>
          <w:sz w:val="20"/>
        </w:rPr>
        <w:t>Section 2(m) of the Act defines "interest in an entity" as follows:</w:t>
      </w:r>
    </w:p>
    <w:p>
      <w:pPr>
        <w:spacing w:after="80" w:line="252" w:lineRule="auto"/>
      </w:pPr>
      <w:r>
        <w:rPr>
          <w:rFonts w:ascii="Arial" w:hAnsi="Arial" w:eastAsia="Arial"/>
          <w:b w:val="0"/>
          <w:i w:val="0"/>
          <w:sz w:val="20"/>
        </w:rPr>
        <w:t>2(m) "Interest in an entity" means a right, including a contingent right, to receive income or capital of an entity.</w:t>
      </w:r>
    </w:p>
    <w:p>
      <w:pPr>
        <w:spacing w:after="80" w:line="252" w:lineRule="auto"/>
      </w:pPr>
      <w:r>
        <w:rPr>
          <w:rFonts w:ascii="Arial" w:hAnsi="Arial" w:eastAsia="Arial"/>
          <w:b w:val="0"/>
          <w:i w:val="0"/>
          <w:sz w:val="20"/>
        </w:rPr>
        <w:t>Interest in an entity, in the case of a partnership firm, denotes the right of a partner in the profit of the firm as well as in the property of the firm. In the case of a limited liability company, it denotes the return on the investment made by a shareholder in that company and also the contingent right that arises in the event of liquidation. In a retirement fund, it also denotes the amount invested by an investor or beneficiary and the return on that investment.</w:t>
      </w:r>
    </w:p>
    <w:p>
      <w:pPr>
        <w:spacing w:after="80" w:line="252" w:lineRule="auto"/>
      </w:pPr>
      <w:r>
        <w:rPr>
          <w:rFonts w:ascii="Arial" w:hAnsi="Arial" w:eastAsia="Arial"/>
          <w:b w:val="0"/>
          <w:i w:val="0"/>
          <w:sz w:val="20"/>
        </w:rPr>
        <w:t>The phrase particularly indicates the right to participate in capital and income. In a partnership firm, the partners have an interest in the firm. Similarly, shareholders have an interest in a company, and beneficiaries have an interest in a trust. A partner is treated as having an interest in a partnership firm because the partner contributes money or goods as capital and is entitled to a share in the income derived by the firm. Similarly, a shareholder contributes capital by way of share investment and has a right to receive dividends from income derived by the company and a right to receive distribution upon dissolution of the company. In a joint venture, each member is treated as having an interest in the proportion of its investment or as specified in the agreement submitted for undertaking that work.</w:t>
      </w:r>
    </w:p>
    <w:p>
      <w:pPr>
        <w:spacing w:after="80" w:line="252" w:lineRule="auto"/>
      </w:pPr>
      <w:r>
        <w:rPr>
          <w:rFonts w:ascii="Arial" w:hAnsi="Arial" w:eastAsia="Arial"/>
          <w:b/>
          <w:i w:val="0"/>
          <w:sz w:val="20"/>
        </w:rPr>
        <w:t>Example 13.2.1:</w:t>
      </w:r>
    </w:p>
    <w:p>
      <w:pPr>
        <w:spacing w:after="80" w:line="252" w:lineRule="auto"/>
      </w:pPr>
      <w:r>
        <w:rPr>
          <w:rFonts w:ascii="Arial" w:hAnsi="Arial" w:eastAsia="Arial"/>
          <w:b w:val="0"/>
          <w:i w:val="0"/>
          <w:sz w:val="20"/>
        </w:rPr>
        <w:t>Assume that in a company named Kasmik Byapar Pvt. Ltd., Dineshman holds 60 percent of the shares and Ramesh Malla holds the remaining 40 percent. Dineshman and Ramesh Malla are treated as having interests in that company in the same proportions.</w:t>
      </w:r>
    </w:p>
    <w:p>
      <w:pPr>
        <w:spacing w:after="80" w:line="252" w:lineRule="auto"/>
      </w:pPr>
      <w:r>
        <w:rPr>
          <w:rFonts w:ascii="Arial" w:hAnsi="Arial" w:eastAsia="Arial"/>
          <w:b/>
          <w:i w:val="0"/>
          <w:sz w:val="20"/>
        </w:rPr>
        <w:t>Example 13.2.2:</w:t>
      </w:r>
    </w:p>
    <w:p>
      <w:pPr>
        <w:spacing w:after="80" w:line="252" w:lineRule="auto"/>
      </w:pPr>
      <w:r>
        <w:rPr>
          <w:rFonts w:ascii="Arial" w:hAnsi="Arial" w:eastAsia="Arial"/>
          <w:b w:val="0"/>
          <w:i w:val="0"/>
          <w:sz w:val="20"/>
        </w:rPr>
        <w:t>Assume that, for obtaining the contract to construct a bridge over the Dhobi Khola, Diwas Company Ltd. and Dinesh Company Ltd. submit a bid to the Department of Roads as a joint venture with ownership in the ratio of 60:40. The companies are treated as having interests in Diwas-Dinesh Joint Venture in that same ratio.</w:t>
      </w:r>
    </w:p>
    <w:p>
      <w:pPr>
        <w:pStyle w:val="Heading2"/>
      </w:pPr>
      <w:r>
        <w:t>13.3 Underlying Ownership</w:t>
      </w:r>
    </w:p>
    <w:p>
      <w:pPr>
        <w:spacing w:after="80" w:line="252" w:lineRule="auto"/>
      </w:pPr>
      <w:r>
        <w:rPr>
          <w:rFonts w:ascii="Arial" w:hAnsi="Arial" w:eastAsia="Arial"/>
          <w:b w:val="0"/>
          <w:i w:val="0"/>
          <w:sz w:val="20"/>
        </w:rPr>
        <w:t>It is necessary to explain underlying ownership under the pass-through approach in order to clarify the provisions relating particularly to transfer pricing in transactions between associated persons (Section 33), transfers between associated persons (Section 45), and international tax agreements (Section 73). Section 2(na) of the Act defines underlying ownership as follows:</w:t>
      </w:r>
    </w:p>
    <w:p>
      <w:pPr>
        <w:spacing w:after="80" w:line="252" w:lineRule="auto"/>
      </w:pPr>
      <w:r>
        <w:rPr>
          <w:rFonts w:ascii="Arial" w:hAnsi="Arial" w:eastAsia="Arial"/>
          <w:b w:val="0"/>
          <w:i w:val="0"/>
          <w:sz w:val="20"/>
        </w:rPr>
        <w:t>2(na) "Underlying ownership" means the following ownership:</w:t>
      </w:r>
    </w:p>
    <w:p>
      <w:pPr>
        <w:spacing w:after="80" w:line="252" w:lineRule="auto"/>
      </w:pPr>
      <w:r>
        <w:rPr>
          <w:rFonts w:ascii="Arial" w:hAnsi="Arial" w:eastAsia="Arial"/>
          <w:b w:val="0"/>
          <w:i w:val="0"/>
          <w:sz w:val="20"/>
        </w:rPr>
        <w:t>(1) in relation to an entity, ownership created by the interest held in that entity directly or indirectly, through one or more interposed entities, by a natural person or by an entity in which no natural person has an interest; or</w:t>
      </w:r>
    </w:p>
    <w:p>
      <w:pPr>
        <w:spacing w:after="80" w:line="252" w:lineRule="auto"/>
      </w:pPr>
      <w:r>
        <w:rPr>
          <w:rFonts w:ascii="Arial" w:hAnsi="Arial" w:eastAsia="Arial"/>
          <w:b w:val="0"/>
          <w:i w:val="0"/>
          <w:sz w:val="20"/>
        </w:rPr>
        <w:t>The right over the property and income of an entity held by a natural person or by an entity in which no natural person has an interest is treated as that person’s underlying ownership in that entity.</w:t>
      </w:r>
    </w:p>
    <w:p>
      <w:pPr>
        <w:spacing w:after="80" w:line="252" w:lineRule="auto"/>
      </w:pPr>
      <w:r>
        <w:rPr>
          <w:rFonts w:ascii="Arial" w:hAnsi="Arial" w:eastAsia="Arial"/>
          <w:b/>
          <w:i w:val="0"/>
          <w:sz w:val="20"/>
        </w:rPr>
        <w:t>Example 13.3.1:</w:t>
      </w:r>
    </w:p>
    <w:p>
      <w:pPr>
        <w:spacing w:after="80" w:line="252" w:lineRule="auto"/>
      </w:pPr>
      <w:r>
        <w:rPr>
          <w:rFonts w:ascii="Arial" w:hAnsi="Arial" w:eastAsia="Arial"/>
          <w:b w:val="0"/>
          <w:i w:val="0"/>
          <w:sz w:val="20"/>
        </w:rPr>
        <w:t>Assume that Komal &amp; Company Pvt. Ltd. and Shital Investment Pvt. Ltd. are the shareholders of Himal Byapar Pvt. Ltd. Komal &amp; Company Pvt. Ltd. has purchased 60 percent of the shares of Himal Byapar Pvt. Ltd., and Shital Investment Pvt. Ltd. has purchased the remaining 40 percent. This investment creates direct ownership of Komal &amp; Company Pvt. Ltd. and Shital Investment Pvt. Ltd. in Himal Byapar Pvt. Ltd. If 80 percent of Shital Investment Pvt. Ltd. is owned by Sharmili Pvt. Ltd. and the remaining 20 percent by Diwakar Pvt. Ltd., then Sharmili Pvt. Ltd. and Diwakar Pvt. Ltd. are treated as having indirect underlying ownership in Himal Byapar Pvt. Ltd. through an interposed entity to the extent of 32 percent (80% x 40%) and 8 percent (20% x 40%) respectively.</w:t>
      </w:r>
    </w:p>
    <w:p>
      <w:pPr>
        <w:spacing w:after="80" w:line="252" w:lineRule="auto"/>
      </w:pPr>
      <w:r>
        <w:rPr>
          <w:rFonts w:ascii="Arial" w:hAnsi="Arial" w:eastAsia="Arial"/>
          <w:b w:val="0"/>
          <w:i w:val="0"/>
          <w:sz w:val="20"/>
        </w:rPr>
        <w:t>(2) in relation to property owned by an entity, ownership of such property determined in proportion to the ownership of persons having underlying ownership in that entity.</w:t>
      </w:r>
    </w:p>
    <w:p>
      <w:pPr>
        <w:spacing w:after="80" w:line="252" w:lineRule="auto"/>
      </w:pPr>
      <w:r>
        <w:rPr>
          <w:rFonts w:ascii="Arial" w:hAnsi="Arial" w:eastAsia="Arial"/>
          <w:b w:val="0"/>
          <w:i w:val="0"/>
          <w:sz w:val="20"/>
        </w:rPr>
        <w:t>A person is treated as having underlying ownership in an entity on the basis of that person’s proportionate right, including a contingent right, over the property or income of the entity. For example, if a person has a 40 percent share in an entity, and that entity owns land, the person is treated as having underlying ownership in that land to the extent of 40 percent of the value of the entity’s property.</w:t>
      </w:r>
    </w:p>
    <w:p>
      <w:pPr>
        <w:spacing w:after="80" w:line="252" w:lineRule="auto"/>
      </w:pPr>
      <w:r>
        <w:rPr>
          <w:rFonts w:ascii="Arial" w:hAnsi="Arial" w:eastAsia="Arial"/>
          <w:b/>
          <w:i w:val="0"/>
          <w:sz w:val="20"/>
        </w:rPr>
        <w:t>Example 13.3.2:</w:t>
      </w:r>
    </w:p>
    <w:p>
      <w:pPr>
        <w:spacing w:after="80" w:line="252" w:lineRule="auto"/>
      </w:pPr>
      <w:r>
        <w:rPr>
          <w:rFonts w:ascii="Arial" w:hAnsi="Arial" w:eastAsia="Arial"/>
          <w:b w:val="0"/>
          <w:i w:val="0"/>
          <w:sz w:val="20"/>
        </w:rPr>
        <w:t>Assume that in Kasmik Byapar Pvt. Ltd., Dineshman holds 60 percent of the shares and Ramesh Malla holds the remaining 40 percent. The company has an investment of Rs. 10 million in a company named Sugam Byapar Nigam. Dineshman and Ramesh Malla are treated as having underlying ownership in that investment in the same proportions as their interests in Kasmik Byapar Pvt. Ltd.</w:t>
      </w:r>
    </w:p>
    <w:p>
      <w:pPr>
        <w:pStyle w:val="Heading2"/>
      </w:pPr>
      <w:r>
        <w:t>13.4 Tax Principles Applicable to an Entity</w:t>
      </w:r>
    </w:p>
    <w:p>
      <w:pPr>
        <w:spacing w:after="80" w:line="252" w:lineRule="auto"/>
      </w:pPr>
      <w:r>
        <w:rPr>
          <w:rFonts w:ascii="Arial" w:hAnsi="Arial" w:eastAsia="Arial"/>
          <w:b w:val="0"/>
          <w:i w:val="0"/>
          <w:sz w:val="20"/>
        </w:rPr>
        <w:t>Section 52 of the Act provides the following principles applicable to an entity:</w:t>
      </w:r>
    </w:p>
    <w:p>
      <w:pPr>
        <w:spacing w:after="80" w:line="252" w:lineRule="auto"/>
      </w:pPr>
      <w:r>
        <w:rPr>
          <w:rFonts w:ascii="Arial" w:hAnsi="Arial" w:eastAsia="Arial"/>
          <w:b w:val="0"/>
          <w:i w:val="0"/>
          <w:sz w:val="20"/>
        </w:rPr>
        <w:t>52(1) For the purpose of payment of tax, an entity shall be responsible separately from its beneficiaries.</w:t>
      </w:r>
    </w:p>
    <w:p>
      <w:pPr>
        <w:spacing w:after="80" w:line="252" w:lineRule="auto"/>
      </w:pPr>
      <w:r>
        <w:rPr>
          <w:rFonts w:ascii="Arial" w:hAnsi="Arial" w:eastAsia="Arial"/>
          <w:b w:val="0"/>
          <w:i w:val="0"/>
          <w:sz w:val="20"/>
        </w:rPr>
        <w:t>For tax payment purposes, an entity is treated separately from the beneficiaries of that entity.</w:t>
      </w:r>
    </w:p>
    <w:p>
      <w:pPr>
        <w:spacing w:after="80" w:line="252" w:lineRule="auto"/>
      </w:pPr>
      <w:r>
        <w:rPr>
          <w:rFonts w:ascii="Arial" w:hAnsi="Arial" w:eastAsia="Arial"/>
          <w:b/>
          <w:i w:val="0"/>
          <w:sz w:val="20"/>
        </w:rPr>
        <w:t>Example 13.4.1:</w:t>
      </w:r>
    </w:p>
    <w:p>
      <w:pPr>
        <w:spacing w:after="80" w:line="252" w:lineRule="auto"/>
      </w:pPr>
      <w:r>
        <w:rPr>
          <w:rFonts w:ascii="Arial" w:hAnsi="Arial" w:eastAsia="Arial"/>
          <w:b w:val="0"/>
          <w:i w:val="0"/>
          <w:sz w:val="20"/>
        </w:rPr>
        <w:t>Assume that Shital Investment Pvt. Ltd. has two shareholders, one holding 60 percent and the other 40 percent of the shares. In income year 2067/68, the company made a profit of Rs. 5 million. From its after-tax profit the company distributed dividend at 10 percent. The company must withhold the tax applicable to the dividend and pay the balance to the beneficiaries. Although the entity has already paid tax on its profit at the rate applicable to the entity, the distribution received by the beneficiaries is not exempt merely for that reason. The entity is liable for tax on the income derived by it, and the beneficiaries are liable for tax on their income from the entity. In making the payment, the entity also acts as a person withholding advance tax for the beneficiaries. However, where the entity itself has derived income by way of dividend from an investment, no further withholding is required when that same dividend income is redistributed to beneficiaries to the extent permitted by the Act.</w:t>
      </w:r>
    </w:p>
    <w:p>
      <w:pPr>
        <w:spacing w:after="80" w:line="252" w:lineRule="auto"/>
      </w:pPr>
      <w:r>
        <w:rPr>
          <w:rFonts w:ascii="Arial" w:hAnsi="Arial" w:eastAsia="Arial"/>
          <w:b w:val="0"/>
          <w:i w:val="0"/>
          <w:sz w:val="20"/>
        </w:rPr>
        <w:t>52(2) Distribution by an entity shall be as provided in Section 53, and its beneficiaries shall be taxed under Section 54 on such distribution.</w:t>
      </w:r>
    </w:p>
    <w:p>
      <w:pPr>
        <w:spacing w:after="80" w:line="252" w:lineRule="auto"/>
      </w:pPr>
      <w:r>
        <w:rPr>
          <w:rFonts w:ascii="Arial" w:hAnsi="Arial" w:eastAsia="Arial"/>
          <w:b w:val="0"/>
          <w:i w:val="0"/>
          <w:sz w:val="20"/>
        </w:rPr>
        <w:t>Any distribution made by an entity to its beneficiaries under Section 53, other than prescribed exceptions, whether as a payment in any capacity or by capitalisation of profit, is treated as a distribution by the entity. Under Section 54, it is treated as a dividend distribution and tax must be withheld at the rate of 5 percent pursuant to Section 88(2)(a). Detailed explanation is provided in paragraph 13.5 below.</w:t>
      </w:r>
    </w:p>
    <w:p>
      <w:pPr>
        <w:spacing w:after="80" w:line="252" w:lineRule="auto"/>
      </w:pPr>
      <w:r>
        <w:rPr>
          <w:rFonts w:ascii="Arial" w:hAnsi="Arial" w:eastAsia="Arial"/>
          <w:b w:val="0"/>
          <w:i w:val="0"/>
          <w:sz w:val="20"/>
        </w:rPr>
        <w:t>52(3) Amounts derived and expenses incurred by an entity shall be treated as derived or incurred by the entity, whether or not the amounts were derived or expenses were incurred for another person.</w:t>
      </w:r>
    </w:p>
    <w:p>
      <w:pPr>
        <w:spacing w:after="80" w:line="252" w:lineRule="auto"/>
      </w:pPr>
      <w:r>
        <w:rPr>
          <w:rFonts w:ascii="Arial" w:hAnsi="Arial" w:eastAsia="Arial"/>
          <w:b w:val="0"/>
          <w:i w:val="0"/>
          <w:sz w:val="20"/>
        </w:rPr>
        <w:t>Amounts received by an entity are treated as received by that entity, whether or not they were received for another person. Similarly, expenses incurred by an entity are treated as expenses incurred by that entity, whether or not they were incurred for another person.</w:t>
      </w:r>
    </w:p>
    <w:p>
      <w:pPr>
        <w:spacing w:after="80" w:line="252" w:lineRule="auto"/>
      </w:pPr>
      <w:r>
        <w:rPr>
          <w:rFonts w:ascii="Arial" w:hAnsi="Arial" w:eastAsia="Arial"/>
          <w:b w:val="0"/>
          <w:i w:val="0"/>
          <w:sz w:val="20"/>
        </w:rPr>
        <w:t>52(4) Assets owned and liabilities owed by an entity shall be treated as owned or owed by that entity. Such assets and liabilities shall not be treated as owned or owed by any other person.</w:t>
      </w:r>
    </w:p>
    <w:p>
      <w:pPr>
        <w:spacing w:after="80" w:line="252" w:lineRule="auto"/>
      </w:pPr>
      <w:r>
        <w:rPr>
          <w:rFonts w:ascii="Arial" w:hAnsi="Arial" w:eastAsia="Arial"/>
          <w:b w:val="0"/>
          <w:i w:val="0"/>
          <w:sz w:val="20"/>
        </w:rPr>
        <w:t>Assets held in the name of an entity for carrying on the entity’s operations, such as buildings, furniture and other property, are treated as being owned by the entity itself. They are not treated as owned by another person. Likewise, liabilities borne by the entity are treated as liabilities of that entity.</w:t>
      </w:r>
    </w:p>
    <w:p>
      <w:pPr>
        <w:spacing w:after="80" w:line="252" w:lineRule="auto"/>
      </w:pPr>
      <w:r>
        <w:rPr>
          <w:rFonts w:ascii="Arial" w:hAnsi="Arial" w:eastAsia="Arial"/>
          <w:b w:val="0"/>
          <w:i w:val="0"/>
          <w:sz w:val="20"/>
        </w:rPr>
        <w:t>52(5) Foreign income tax paid in relation to the income of an entity by the entity, its manager or its beneficiary shall be treated as paid by the entity.</w:t>
      </w:r>
    </w:p>
    <w:p>
      <w:pPr>
        <w:spacing w:after="80" w:line="252" w:lineRule="auto"/>
      </w:pPr>
      <w:r>
        <w:rPr>
          <w:rFonts w:ascii="Arial" w:hAnsi="Arial" w:eastAsia="Arial"/>
          <w:b w:val="0"/>
          <w:i w:val="0"/>
          <w:sz w:val="20"/>
        </w:rPr>
        <w:t>Foreign income tax payable or paid in respect of income of an entity is treated as paid by that entity, whether it is paid by the entity itself or through its manager or a beneficiary having an interest in the entity.</w:t>
      </w:r>
    </w:p>
    <w:p>
      <w:pPr>
        <w:spacing w:after="80" w:line="252" w:lineRule="auto"/>
      </w:pPr>
      <w:r>
        <w:rPr>
          <w:rFonts w:ascii="Arial" w:hAnsi="Arial" w:eastAsia="Arial"/>
          <w:b w:val="0"/>
          <w:i w:val="0"/>
          <w:sz w:val="20"/>
        </w:rPr>
        <w:t>52(6) Transactions between an entity and its managers or beneficiaries shall be recognised subject to Chapter 7 and Section 45.</w:t>
      </w:r>
    </w:p>
    <w:p>
      <w:pPr>
        <w:spacing w:after="80" w:line="252" w:lineRule="auto"/>
      </w:pPr>
      <w:r>
        <w:rPr>
          <w:rFonts w:ascii="Arial" w:hAnsi="Arial" w:eastAsia="Arial"/>
          <w:b w:val="0"/>
          <w:i w:val="0"/>
          <w:sz w:val="20"/>
        </w:rPr>
        <w:t>Transactions between an entity and its managers or beneficiaries are recognised subject to the provisions relating to quantification, allocation and characterisation of amounts, transfers between associated persons and other non-market transfers. Section 2(ka) defines "associated person" broadly to mean one or more persons or a group of persons acting in accordance with the intention of another person, including natural persons and their relatives or partners, a foreign permanent establishment and a person owning it, and entities controlling or benefiting from 50 percent or more of another entity’s income, capital or voting rights, subject to the exclusions for employees and persons specified by the Department as not being associated persons. A detailed explanation of associated persons is provided in Chapter 2 of this Directive.</w:t>
      </w:r>
    </w:p>
    <w:p>
      <w:pPr>
        <w:pStyle w:val="Heading2"/>
      </w:pPr>
      <w:r>
        <w:t>13.5 Distribution by an Entity</w:t>
      </w:r>
    </w:p>
    <w:p>
      <w:pPr>
        <w:spacing w:after="80" w:line="252" w:lineRule="auto"/>
      </w:pPr>
      <w:r>
        <w:rPr>
          <w:rFonts w:ascii="Arial" w:hAnsi="Arial" w:eastAsia="Arial"/>
          <w:b w:val="0"/>
          <w:i w:val="0"/>
          <w:sz w:val="20"/>
        </w:rPr>
        <w:t>Section 53 of the Act makes the following provisions regarding distribution by an entity:</w:t>
      </w:r>
    </w:p>
    <w:p>
      <w:pPr>
        <w:spacing w:after="80" w:line="252" w:lineRule="auto"/>
      </w:pPr>
      <w:r>
        <w:rPr>
          <w:rFonts w:ascii="Arial" w:hAnsi="Arial" w:eastAsia="Arial"/>
          <w:b w:val="0"/>
          <w:i w:val="0"/>
          <w:sz w:val="20"/>
        </w:rPr>
        <w:t>53(1) Distribution by an entity shall include the following: (a) a payment made by the entity to any of its beneficiaries in any capacity; or (b) capitalisation of profits.</w:t>
      </w:r>
    </w:p>
    <w:p>
      <w:pPr>
        <w:spacing w:after="80" w:line="252" w:lineRule="auto"/>
      </w:pPr>
      <w:r>
        <w:rPr>
          <w:rFonts w:ascii="Arial" w:hAnsi="Arial" w:eastAsia="Arial"/>
          <w:b w:val="0"/>
          <w:i w:val="0"/>
          <w:sz w:val="20"/>
        </w:rPr>
        <w:t>Where an entity, instead of distributing cash dividend from accumulated profit or another reserve, distributes profit to its beneficiaries by way of bonus shares, by increasing the paid-up value of shares, or by crediting the share premium account, such act is treated as capitalisation of profits.</w:t>
      </w:r>
    </w:p>
    <w:p>
      <w:pPr>
        <w:spacing w:after="80" w:line="252" w:lineRule="auto"/>
      </w:pPr>
      <w:r>
        <w:rPr>
          <w:rFonts w:ascii="Arial" w:hAnsi="Arial" w:eastAsia="Arial"/>
          <w:b w:val="0"/>
          <w:i w:val="0"/>
          <w:sz w:val="20"/>
        </w:rPr>
        <w:t>Where a person has an interest in an entity, payments made by that entity to its beneficiaries subject to Section 53 are treated as distributions. Under this provision, distribution is of two types: (1) capitalisation of profits; and (2) payments under subsection (1)(a), subject to subsection (2).</w:t>
      </w:r>
    </w:p>
    <w:p>
      <w:pPr>
        <w:spacing w:after="80" w:line="252" w:lineRule="auto"/>
      </w:pPr>
      <w:r>
        <w:rPr>
          <w:rFonts w:ascii="Arial" w:hAnsi="Arial" w:eastAsia="Arial"/>
          <w:b w:val="0"/>
          <w:i w:val="0"/>
          <w:sz w:val="20"/>
        </w:rPr>
        <w:t>Although a distribution received as dividend is generally required to be included in income under Section 9, a distribution by a resident company is a final withholding payment under Section 92(1)(a), and therefore is not required to be included in income under Section 9(3)(a). A dividend is a particular type of payment distributed by an entity. Therefore, for purposes of the Act, any payment by an entity to a beneficiary, whether in cash or in kind, is treated as distribution by that entity subject to this section.</w:t>
      </w:r>
    </w:p>
    <w:p>
      <w:pPr>
        <w:spacing w:after="80" w:line="252" w:lineRule="auto"/>
      </w:pPr>
      <w:r>
        <w:rPr>
          <w:rFonts w:ascii="Arial" w:hAnsi="Arial" w:eastAsia="Arial"/>
          <w:b w:val="0"/>
          <w:i w:val="0"/>
          <w:sz w:val="20"/>
        </w:rPr>
        <w:t>53(2) Notwithstanding subsection (1), a payment referred to in subsection (1)(a) shall be treated as distribution only in the following circumstances: (a) where the payment exceeds the amount paid by the beneficiary to the entity in consideration of the amount receivable from the entity; and (b) where the payment does not include amounts included in computing the beneficiary’s income, or final withholding payments other than payments which are final solely because of being distributions.</w:t>
      </w:r>
    </w:p>
    <w:p>
      <w:pPr>
        <w:spacing w:after="80" w:line="252" w:lineRule="auto"/>
      </w:pPr>
      <w:r>
        <w:rPr>
          <w:rFonts w:ascii="Arial" w:hAnsi="Arial" w:eastAsia="Arial"/>
          <w:b w:val="0"/>
          <w:i w:val="0"/>
          <w:sz w:val="20"/>
        </w:rPr>
        <w:t>Accordingly, the following payments are not treated as distributions:</w:t>
      </w:r>
    </w:p>
    <w:p>
      <w:pPr>
        <w:spacing w:after="40" w:line="252" w:lineRule="auto"/>
        <w:ind w:left="360" w:hanging="216"/>
      </w:pPr>
      <w:r>
        <w:rPr>
          <w:rFonts w:ascii="Arial" w:hAnsi="Arial" w:eastAsia="Arial"/>
          <w:sz w:val="20"/>
        </w:rPr>
        <w:t>• A payment received by a beneficiary which is included in computing that beneficiary’s taxable income.</w:t>
      </w:r>
    </w:p>
    <w:p>
      <w:pPr>
        <w:spacing w:after="40" w:line="252" w:lineRule="auto"/>
        <w:ind w:left="360" w:hanging="216"/>
      </w:pPr>
      <w:r>
        <w:rPr>
          <w:rFonts w:ascii="Arial" w:hAnsi="Arial" w:eastAsia="Arial"/>
          <w:sz w:val="20"/>
        </w:rPr>
        <w:t>• A final withholding payment which is final for a reason other than being a distribution.</w:t>
      </w:r>
    </w:p>
    <w:p>
      <w:pPr>
        <w:spacing w:after="80" w:line="252" w:lineRule="auto"/>
      </w:pPr>
      <w:r>
        <w:rPr>
          <w:rFonts w:ascii="Arial" w:hAnsi="Arial" w:eastAsia="Arial"/>
          <w:b/>
          <w:i w:val="0"/>
          <w:sz w:val="20"/>
        </w:rPr>
        <w:t>Example 13.5.1:</w:t>
      </w:r>
    </w:p>
    <w:p>
      <w:pPr>
        <w:spacing w:after="80" w:line="252" w:lineRule="auto"/>
      </w:pPr>
      <w:r>
        <w:rPr>
          <w:rFonts w:ascii="Arial" w:hAnsi="Arial" w:eastAsia="Arial"/>
          <w:b w:val="0"/>
          <w:i w:val="0"/>
          <w:sz w:val="20"/>
        </w:rPr>
        <w:t>Raju Sharma, a beneficiary of Surya Pvt. Ltd., provides consultancy services to the entity and receives Rs. 100,000 as service charge. The entity must withhold advance tax under Section 88 on the service charge, but the amount is not a distribution by the entity. It must be included in the beneficiary’s taxable income. Similarly, if Raju Sharma, who has no business, receives vehicle rent from the entity for use of his vehicle, advance tax must be withheld under Section 88, but that payment is not a distribution. It falls under a final withholding payment other than distribution.</w:t>
      </w:r>
    </w:p>
    <w:p>
      <w:pPr>
        <w:spacing w:after="80" w:line="252" w:lineRule="auto"/>
      </w:pPr>
      <w:r>
        <w:rPr>
          <w:rFonts w:ascii="Arial" w:hAnsi="Arial" w:eastAsia="Arial"/>
          <w:b w:val="0"/>
          <w:i w:val="0"/>
          <w:sz w:val="20"/>
        </w:rPr>
        <w:t>53(3) A distribution by an entity shall be treated as a distribution of profits or return of capital only where the distribution reduces the value of the entity’s assets and liabilities.</w:t>
      </w:r>
    </w:p>
    <w:p>
      <w:pPr>
        <w:spacing w:after="80" w:line="252" w:lineRule="auto"/>
      </w:pPr>
      <w:r>
        <w:rPr>
          <w:rFonts w:ascii="Arial" w:hAnsi="Arial" w:eastAsia="Arial"/>
          <w:b w:val="0"/>
          <w:i w:val="0"/>
          <w:sz w:val="20"/>
        </w:rPr>
        <w:t>53(4) Subject to Section 55, a distribution by an entity shall be treated as distribution of profits in either of the following circumstances: (a) where a distribution of the kind referred to in subsection (3) is made and, at the time of distribution, the market value of the entity’s assets exceeds the aggregate of the market value of its liabilities and capital contribution including capitalised profits; or (b) where profits are capitalised.</w:t>
      </w:r>
    </w:p>
    <w:p>
      <w:pPr>
        <w:spacing w:after="80" w:line="252" w:lineRule="auto"/>
      </w:pPr>
      <w:r>
        <w:rPr>
          <w:rFonts w:ascii="Arial" w:hAnsi="Arial" w:eastAsia="Arial"/>
          <w:b w:val="0"/>
          <w:i w:val="0"/>
          <w:sz w:val="20"/>
        </w:rPr>
        <w:t>Accordingly, capitalisation of profits is also taxed as a distribution by an entity. Where a payment is made by an entity, the amount is analysed subject to subsections (1), (2) and (3) as follows: distribution equals distribution of profit including deemed dividend; a profit distribution requires that the value of assets and liabilities be reduced by the distribution, and that the market value of assets exceed the sum of capital contribution and market value of liabilities. Return of capital equals the amount by which assets and liabilities are reduced less the distribution of profit.</w:t>
      </w:r>
    </w:p>
    <w:p>
      <w:pPr>
        <w:spacing w:after="80" w:line="252" w:lineRule="auto"/>
      </w:pPr>
      <w:r>
        <w:rPr>
          <w:rFonts w:ascii="Arial" w:hAnsi="Arial" w:eastAsia="Arial"/>
          <w:b w:val="0"/>
          <w:i w:val="0"/>
          <w:sz w:val="20"/>
        </w:rPr>
        <w:t>53(5) A distribution referred to in subsection (3) shall be treated as return of capital to the extent it is not a distribution of profits.</w:t>
      </w:r>
    </w:p>
    <w:p>
      <w:pPr>
        <w:spacing w:after="80" w:line="252" w:lineRule="auto"/>
      </w:pPr>
      <w:r>
        <w:rPr>
          <w:rFonts w:ascii="Arial" w:hAnsi="Arial" w:eastAsia="Arial"/>
          <w:b w:val="0"/>
          <w:i w:val="0"/>
          <w:sz w:val="20"/>
        </w:rPr>
        <w:t>53(6) A distribution by an entity shall be treated as dividend to the extent it is not a return of capital.</w:t>
      </w:r>
    </w:p>
    <w:p>
      <w:pPr>
        <w:spacing w:after="80" w:line="252" w:lineRule="auto"/>
      </w:pPr>
      <w:r>
        <w:rPr>
          <w:rFonts w:ascii="Arial" w:hAnsi="Arial" w:eastAsia="Arial"/>
          <w:b w:val="0"/>
          <w:i w:val="0"/>
          <w:sz w:val="20"/>
        </w:rPr>
        <w:t>Explanation: For the purposes of this section, "capitalisation of profits" includes capitalising by issuing bonus shares or similar interests, increasing the paid-up amount of an interest in the entity, or crediting profit to the premium or capital account of the entity.</w:t>
      </w:r>
    </w:p>
    <w:p>
      <w:pPr>
        <w:pStyle w:val="Heading3"/>
      </w:pPr>
      <w:r>
        <w:t>Return of Capital and Distribution of Profit</w:t>
      </w:r>
    </w:p>
    <w:p>
      <w:pPr>
        <w:spacing w:after="80" w:line="252" w:lineRule="auto"/>
      </w:pPr>
      <w:r>
        <w:rPr>
          <w:rFonts w:ascii="Arial" w:hAnsi="Arial" w:eastAsia="Arial"/>
          <w:b w:val="0"/>
          <w:i w:val="0"/>
          <w:sz w:val="20"/>
        </w:rPr>
        <w:t>Under Section 53, any payment made by an entity to any of its beneficiaries in any capacity is treated as distribution, except in the following cases:</w:t>
      </w:r>
    </w:p>
    <w:p>
      <w:pPr>
        <w:spacing w:after="40" w:line="252" w:lineRule="auto"/>
        <w:ind w:left="360" w:hanging="216"/>
      </w:pPr>
      <w:r>
        <w:rPr>
          <w:rFonts w:ascii="Arial" w:hAnsi="Arial" w:eastAsia="Arial"/>
          <w:sz w:val="20"/>
        </w:rPr>
        <w:t>• repayment to the beneficiary of an amount earlier paid by that beneficiary;</w:t>
      </w:r>
    </w:p>
    <w:p>
      <w:pPr>
        <w:spacing w:after="40" w:line="252" w:lineRule="auto"/>
        <w:ind w:left="360" w:hanging="216"/>
      </w:pPr>
      <w:r>
        <w:rPr>
          <w:rFonts w:ascii="Arial" w:hAnsi="Arial" w:eastAsia="Arial"/>
          <w:sz w:val="20"/>
        </w:rPr>
        <w:t>• a payment taxable to the recipient under a head other than distribution;</w:t>
      </w:r>
    </w:p>
    <w:p>
      <w:pPr>
        <w:spacing w:after="40" w:line="252" w:lineRule="auto"/>
        <w:ind w:left="360" w:hanging="216"/>
      </w:pPr>
      <w:r>
        <w:rPr>
          <w:rFonts w:ascii="Arial" w:hAnsi="Arial" w:eastAsia="Arial"/>
          <w:sz w:val="20"/>
        </w:rPr>
        <w:t>• a payment that does not reduce the value of assets;</w:t>
      </w:r>
    </w:p>
    <w:p>
      <w:pPr>
        <w:spacing w:after="40" w:line="252" w:lineRule="auto"/>
        <w:ind w:left="360" w:hanging="216"/>
      </w:pPr>
      <w:r>
        <w:rPr>
          <w:rFonts w:ascii="Arial" w:hAnsi="Arial" w:eastAsia="Arial"/>
          <w:sz w:val="20"/>
        </w:rPr>
        <w:t>• a payment in excess of profit measured by the market value of assets and liabilities; and</w:t>
      </w:r>
    </w:p>
    <w:p>
      <w:pPr>
        <w:spacing w:after="40" w:line="252" w:lineRule="auto"/>
        <w:ind w:left="360" w:hanging="216"/>
      </w:pPr>
      <w:r>
        <w:rPr>
          <w:rFonts w:ascii="Arial" w:hAnsi="Arial" w:eastAsia="Arial"/>
          <w:sz w:val="20"/>
        </w:rPr>
        <w:t>• a payment treated as return of capital under Section 55.</w:t>
      </w:r>
    </w:p>
    <w:p>
      <w:pPr>
        <w:spacing w:after="80" w:line="252" w:lineRule="auto"/>
      </w:pPr>
      <w:r>
        <w:rPr>
          <w:rFonts w:ascii="Arial" w:hAnsi="Arial" w:eastAsia="Arial"/>
          <w:b/>
          <w:i w:val="0"/>
          <w:sz w:val="20"/>
        </w:rPr>
        <w:t>Example 13.5.2:</w:t>
      </w:r>
    </w:p>
    <w:p>
      <w:pPr>
        <w:spacing w:after="80" w:line="252" w:lineRule="auto"/>
      </w:pPr>
      <w:r>
        <w:rPr>
          <w:rFonts w:ascii="Arial" w:hAnsi="Arial" w:eastAsia="Arial"/>
          <w:b w:val="0"/>
          <w:i w:val="0"/>
          <w:sz w:val="20"/>
        </w:rPr>
        <w:t>Assume that Chheten Dorje is a shareholder and managing director of Shital Garment Pvt. Ltd. He provided Rs. 500,000 to the company as working capital. When the company repays that amount, although the payment is made to a beneficiary of the company, it is repayment of an amount paid by the beneficiary and therefore is not a distribution.</w:t>
      </w:r>
    </w:p>
    <w:p>
      <w:pPr>
        <w:spacing w:after="80" w:line="252" w:lineRule="auto"/>
      </w:pPr>
      <w:r>
        <w:rPr>
          <w:rFonts w:ascii="Arial" w:hAnsi="Arial" w:eastAsia="Arial"/>
          <w:b/>
          <w:i w:val="0"/>
          <w:sz w:val="20"/>
        </w:rPr>
        <w:t>Example 13.5.3:</w:t>
      </w:r>
    </w:p>
    <w:p>
      <w:pPr>
        <w:spacing w:after="80" w:line="252" w:lineRule="auto"/>
      </w:pPr>
      <w:r>
        <w:rPr>
          <w:rFonts w:ascii="Arial" w:hAnsi="Arial" w:eastAsia="Arial"/>
          <w:b w:val="0"/>
          <w:i w:val="0"/>
          <w:sz w:val="20"/>
        </w:rPr>
        <w:t>Sampurna Bank Ltd. employs Jamal, who is also a shareholder of the bank. In income year 2080/81, the bank credits salary of Rs. 500,000 to his bank account. The bank also credits Rs. 20,000 interest after withholding tax. During the same year Jamal obtains a housing loan of Rs. 1,000,000 from the bank on the same interest terms as applicable to other borrowers, and the bank pays the loan directly to the seller of the house. The bank declares dividend at 10 percent, and Jamal receives Rs. 5,000 as dividend after withholding tax. In this case, the salary, deposit interest and housing loan facility are not distributions. The salary is included in employment income, the interest is subject to withholding, and the loan is repayable with interest. Only the dividend received by Jamal is treated as distribution.</w:t>
      </w:r>
    </w:p>
    <w:p>
      <w:pPr>
        <w:spacing w:after="80" w:line="252" w:lineRule="auto"/>
      </w:pPr>
      <w:r>
        <w:rPr>
          <w:rFonts w:ascii="Arial" w:hAnsi="Arial" w:eastAsia="Arial"/>
          <w:b w:val="0"/>
          <w:i w:val="0"/>
          <w:sz w:val="20"/>
        </w:rPr>
        <w:t>Under Section 53(3), a distribution by an entity is treated as a distribution or return of capital only where it reduces the value of the assets and liabilities of the entity.</w:t>
      </w:r>
    </w:p>
    <w:p>
      <w:pPr>
        <w:spacing w:after="80" w:line="252" w:lineRule="auto"/>
      </w:pPr>
      <w:r>
        <w:rPr>
          <w:rFonts w:ascii="Arial" w:hAnsi="Arial" w:eastAsia="Arial"/>
          <w:b/>
          <w:i w:val="0"/>
          <w:sz w:val="20"/>
        </w:rPr>
        <w:t>Example 13.5.4:</w:t>
      </w:r>
    </w:p>
    <w:p>
      <w:pPr>
        <w:spacing w:after="80" w:line="252" w:lineRule="auto"/>
      </w:pPr>
      <w:r>
        <w:rPr>
          <w:rFonts w:ascii="Arial" w:hAnsi="Arial" w:eastAsia="Arial"/>
          <w:b w:val="0"/>
          <w:i w:val="0"/>
          <w:sz w:val="20"/>
        </w:rPr>
        <w:t>Assume that the balance sheet of ABC Co. Pvt. Ltd. is as follows:</w:t>
      </w:r>
    </w:p>
    <w:tbl>
      <w:tblPr>
        <w:tblStyle w:val="TableGrid"/>
        <w:tblW w:type="auto" w:w="0"/>
        <w:jc w:val="center"/>
        <w:tblLayout w:type="autofit"/>
        <w:tblLook w:firstColumn="1" w:firstRow="1" w:lastColumn="0" w:lastRow="0" w:noHBand="0" w:noVBand="1" w:val="04A0"/>
      </w:tblPr>
      <w:tblGrid>
        <w:gridCol w:w="2556"/>
        <w:gridCol w:w="2556"/>
        <w:gridCol w:w="2556"/>
        <w:gridCol w:w="2556"/>
      </w:tblGrid>
      <w:tr>
        <w:tc>
          <w:tcPr>
            <w:tcW w:type="dxa" w:w="2880"/>
            <w:vAlign w:val="top"/>
            <w:shd w:fill="D9EAF7"/>
          </w:tcPr>
          <w:p>
            <w:pPr>
              <w:spacing w:after="0" w:line="240" w:lineRule="auto"/>
            </w:pPr>
            <w:r/>
            <w:r>
              <w:rPr>
                <w:rFonts w:ascii="Arial" w:hAnsi="Arial" w:eastAsia="Arial"/>
                <w:b/>
                <w:sz w:val="16"/>
              </w:rPr>
              <w:t>Liabilities</w:t>
            </w:r>
          </w:p>
        </w:tc>
        <w:tc>
          <w:tcPr>
            <w:tcW w:type="dxa" w:w="1440"/>
            <w:vAlign w:val="top"/>
            <w:shd w:fill="D9EAF7"/>
          </w:tcPr>
          <w:p>
            <w:pPr>
              <w:spacing w:after="0" w:line="240" w:lineRule="auto"/>
            </w:pPr>
            <w:r/>
            <w:r>
              <w:rPr>
                <w:rFonts w:ascii="Arial" w:hAnsi="Arial" w:eastAsia="Arial"/>
                <w:b/>
                <w:sz w:val="16"/>
              </w:rPr>
              <w:t>Rs. lakhs</w:t>
            </w:r>
          </w:p>
        </w:tc>
        <w:tc>
          <w:tcPr>
            <w:tcW w:type="dxa" w:w="2880"/>
            <w:vAlign w:val="top"/>
            <w:shd w:fill="D9EAF7"/>
          </w:tcPr>
          <w:p>
            <w:pPr>
              <w:spacing w:after="0" w:line="240" w:lineRule="auto"/>
            </w:pPr>
            <w:r/>
            <w:r>
              <w:rPr>
                <w:rFonts w:ascii="Arial" w:hAnsi="Arial" w:eastAsia="Arial"/>
                <w:b/>
                <w:sz w:val="16"/>
              </w:rPr>
              <w:t>Assets</w:t>
            </w:r>
          </w:p>
        </w:tc>
        <w:tc>
          <w:tcPr>
            <w:tcW w:type="dxa" w:w="1440"/>
            <w:vAlign w:val="top"/>
            <w:shd w:fill="D9EAF7"/>
          </w:tcPr>
          <w:p>
            <w:pPr>
              <w:spacing w:after="0" w:line="240" w:lineRule="auto"/>
            </w:pPr>
            <w:r/>
            <w:r>
              <w:rPr>
                <w:rFonts w:ascii="Arial" w:hAnsi="Arial" w:eastAsia="Arial"/>
                <w:b/>
                <w:sz w:val="16"/>
              </w:rPr>
              <w:t>Rs. lakhs</w:t>
            </w:r>
          </w:p>
        </w:tc>
      </w:tr>
      <w:tr>
        <w:tc>
          <w:tcPr>
            <w:tcW w:type="dxa" w:w="2880"/>
            <w:vAlign w:val="top"/>
          </w:tcPr>
          <w:p>
            <w:pPr>
              <w:spacing w:after="0" w:line="240" w:lineRule="auto"/>
            </w:pPr>
            <w:r/>
            <w:r>
              <w:rPr>
                <w:rFonts w:ascii="Arial" w:hAnsi="Arial" w:eastAsia="Arial"/>
                <w:b w:val="0"/>
                <w:sz w:val="16"/>
              </w:rPr>
              <w:t>Share capital</w:t>
            </w:r>
          </w:p>
        </w:tc>
        <w:tc>
          <w:tcPr>
            <w:tcW w:type="dxa" w:w="1440"/>
            <w:vAlign w:val="top"/>
          </w:tcPr>
          <w:p>
            <w:pPr>
              <w:spacing w:after="0" w:line="240" w:lineRule="auto"/>
            </w:pPr>
            <w:r/>
            <w:r>
              <w:rPr>
                <w:rFonts w:ascii="Arial" w:hAnsi="Arial" w:eastAsia="Arial"/>
                <w:b w:val="0"/>
                <w:sz w:val="16"/>
              </w:rPr>
              <w:t>20</w:t>
            </w:r>
          </w:p>
        </w:tc>
        <w:tc>
          <w:tcPr>
            <w:tcW w:type="dxa" w:w="2880"/>
            <w:vAlign w:val="top"/>
          </w:tcPr>
          <w:p>
            <w:pPr>
              <w:spacing w:after="0" w:line="240" w:lineRule="auto"/>
            </w:pPr>
            <w:r/>
            <w:r>
              <w:rPr>
                <w:rFonts w:ascii="Arial" w:hAnsi="Arial" w:eastAsia="Arial"/>
                <w:b w:val="0"/>
                <w:sz w:val="16"/>
              </w:rPr>
              <w:t>Fixed assets</w:t>
            </w:r>
          </w:p>
        </w:tc>
        <w:tc>
          <w:tcPr>
            <w:tcW w:type="dxa" w:w="1440"/>
            <w:vAlign w:val="top"/>
          </w:tcPr>
          <w:p>
            <w:pPr>
              <w:spacing w:after="0" w:line="240" w:lineRule="auto"/>
            </w:pPr>
            <w:r/>
            <w:r>
              <w:rPr>
                <w:rFonts w:ascii="Arial" w:hAnsi="Arial" w:eastAsia="Arial"/>
                <w:b w:val="0"/>
                <w:sz w:val="16"/>
              </w:rPr>
              <w:t>30</w:t>
            </w:r>
          </w:p>
        </w:tc>
      </w:tr>
      <w:tr>
        <w:tc>
          <w:tcPr>
            <w:tcW w:type="dxa" w:w="2880"/>
            <w:vAlign w:val="top"/>
          </w:tcPr>
          <w:p>
            <w:pPr>
              <w:spacing w:after="0" w:line="240" w:lineRule="auto"/>
            </w:pPr>
            <w:r/>
            <w:r>
              <w:rPr>
                <w:rFonts w:ascii="Arial" w:hAnsi="Arial" w:eastAsia="Arial"/>
                <w:b w:val="0"/>
                <w:sz w:val="16"/>
              </w:rPr>
              <w:t>General reserve</w:t>
            </w:r>
          </w:p>
        </w:tc>
        <w:tc>
          <w:tcPr>
            <w:tcW w:type="dxa" w:w="1440"/>
            <w:vAlign w:val="top"/>
          </w:tcPr>
          <w:p>
            <w:pPr>
              <w:spacing w:after="0" w:line="240" w:lineRule="auto"/>
            </w:pPr>
            <w:r/>
            <w:r>
              <w:rPr>
                <w:rFonts w:ascii="Arial" w:hAnsi="Arial" w:eastAsia="Arial"/>
                <w:b w:val="0"/>
                <w:sz w:val="16"/>
              </w:rPr>
              <w:t>20</w:t>
            </w:r>
          </w:p>
        </w:tc>
        <w:tc>
          <w:tcPr>
            <w:tcW w:type="dxa" w:w="2880"/>
            <w:vAlign w:val="top"/>
          </w:tcPr>
          <w:p>
            <w:pPr>
              <w:spacing w:after="0" w:line="240" w:lineRule="auto"/>
            </w:pPr>
            <w:r/>
            <w:r>
              <w:rPr>
                <w:rFonts w:ascii="Arial" w:hAnsi="Arial" w:eastAsia="Arial"/>
                <w:b w:val="0"/>
                <w:sz w:val="16"/>
              </w:rPr>
              <w:t>Current assets</w:t>
            </w:r>
          </w:p>
        </w:tc>
        <w:tc>
          <w:tcPr>
            <w:tcW w:type="dxa" w:w="1440"/>
            <w:vAlign w:val="top"/>
          </w:tcPr>
          <w:p>
            <w:pPr>
              <w:spacing w:after="0" w:line="240" w:lineRule="auto"/>
            </w:pPr>
            <w:r/>
            <w:r>
              <w:rPr>
                <w:rFonts w:ascii="Arial" w:hAnsi="Arial" w:eastAsia="Arial"/>
                <w:b w:val="0"/>
                <w:sz w:val="16"/>
              </w:rPr>
              <w:t>20</w:t>
            </w:r>
          </w:p>
        </w:tc>
      </w:tr>
      <w:tr>
        <w:tc>
          <w:tcPr>
            <w:tcW w:type="dxa" w:w="2880"/>
            <w:vAlign w:val="top"/>
          </w:tcPr>
          <w:p>
            <w:pPr>
              <w:spacing w:after="0" w:line="240" w:lineRule="auto"/>
            </w:pPr>
            <w:r/>
            <w:r>
              <w:rPr>
                <w:rFonts w:ascii="Arial" w:hAnsi="Arial" w:eastAsia="Arial"/>
                <w:b w:val="0"/>
                <w:sz w:val="16"/>
              </w:rPr>
              <w:t>Other liabilities</w:t>
            </w:r>
          </w:p>
        </w:tc>
        <w:tc>
          <w:tcPr>
            <w:tcW w:type="dxa" w:w="1440"/>
            <w:vAlign w:val="top"/>
          </w:tcPr>
          <w:p>
            <w:pPr>
              <w:spacing w:after="0" w:line="240" w:lineRule="auto"/>
            </w:pPr>
            <w:r/>
            <w:r>
              <w:rPr>
                <w:rFonts w:ascii="Arial" w:hAnsi="Arial" w:eastAsia="Arial"/>
                <w:b w:val="0"/>
                <w:sz w:val="16"/>
              </w:rPr>
              <w:t>10</w:t>
            </w:r>
          </w:p>
        </w:tc>
        <w:tc>
          <w:tcPr>
            <w:tcW w:type="dxa" w:w="2880"/>
            <w:vAlign w:val="top"/>
          </w:tcPr>
          <w:p>
            <w:pPr>
              <w:spacing w:after="0" w:line="240" w:lineRule="auto"/>
            </w:pPr>
            <w:r/>
            <w:r>
              <w:rPr>
                <w:rFonts w:ascii="Arial" w:hAnsi="Arial" w:eastAsia="Arial"/>
                <w:b w:val="0"/>
                <w:sz w:val="16"/>
              </w:rPr>
            </w:r>
          </w:p>
        </w:tc>
        <w:tc>
          <w:tcPr>
            <w:tcW w:type="dxa" w:w="1440"/>
            <w:vAlign w:val="top"/>
          </w:tcPr>
          <w:p>
            <w:pPr>
              <w:spacing w:after="0" w:line="240" w:lineRule="auto"/>
            </w:pPr>
            <w:r/>
            <w:r>
              <w:rPr>
                <w:rFonts w:ascii="Arial" w:hAnsi="Arial" w:eastAsia="Arial"/>
                <w:b w:val="0"/>
                <w:sz w:val="16"/>
              </w:rPr>
            </w:r>
          </w:p>
        </w:tc>
      </w:tr>
      <w:tr>
        <w:tc>
          <w:tcPr>
            <w:tcW w:type="dxa" w:w="2880"/>
            <w:vAlign w:val="top"/>
          </w:tcPr>
          <w:p>
            <w:pPr>
              <w:spacing w:after="0" w:line="240" w:lineRule="auto"/>
            </w:pPr>
            <w:r/>
            <w:r>
              <w:rPr>
                <w:rFonts w:ascii="Arial" w:hAnsi="Arial" w:eastAsia="Arial"/>
                <w:b w:val="0"/>
                <w:sz w:val="16"/>
              </w:rPr>
              <w:t>Total</w:t>
            </w:r>
          </w:p>
        </w:tc>
        <w:tc>
          <w:tcPr>
            <w:tcW w:type="dxa" w:w="1440"/>
            <w:vAlign w:val="top"/>
          </w:tcPr>
          <w:p>
            <w:pPr>
              <w:spacing w:after="0" w:line="240" w:lineRule="auto"/>
            </w:pPr>
            <w:r/>
            <w:r>
              <w:rPr>
                <w:rFonts w:ascii="Arial" w:hAnsi="Arial" w:eastAsia="Arial"/>
                <w:b w:val="0"/>
                <w:sz w:val="16"/>
              </w:rPr>
              <w:t>50</w:t>
            </w:r>
          </w:p>
        </w:tc>
        <w:tc>
          <w:tcPr>
            <w:tcW w:type="dxa" w:w="2880"/>
            <w:vAlign w:val="top"/>
          </w:tcPr>
          <w:p>
            <w:pPr>
              <w:spacing w:after="0" w:line="240" w:lineRule="auto"/>
            </w:pPr>
            <w:r/>
            <w:r>
              <w:rPr>
                <w:rFonts w:ascii="Arial" w:hAnsi="Arial" w:eastAsia="Arial"/>
                <w:b w:val="0"/>
                <w:sz w:val="16"/>
              </w:rPr>
              <w:t>Total</w:t>
            </w:r>
          </w:p>
        </w:tc>
        <w:tc>
          <w:tcPr>
            <w:tcW w:type="dxa" w:w="1440"/>
            <w:vAlign w:val="top"/>
          </w:tcPr>
          <w:p>
            <w:pPr>
              <w:spacing w:after="0" w:line="240" w:lineRule="auto"/>
            </w:pPr>
            <w:r/>
            <w:r>
              <w:rPr>
                <w:rFonts w:ascii="Arial" w:hAnsi="Arial" w:eastAsia="Arial"/>
                <w:b w:val="0"/>
                <w:sz w:val="16"/>
              </w:rPr>
              <w:t>50</w:t>
            </w:r>
          </w:p>
        </w:tc>
      </w:tr>
    </w:tbl>
    <w:p/>
    <w:p>
      <w:pPr>
        <w:spacing w:after="80" w:line="252" w:lineRule="auto"/>
      </w:pPr>
      <w:r>
        <w:rPr>
          <w:rFonts w:ascii="Arial" w:hAnsi="Arial" w:eastAsia="Arial"/>
          <w:b w:val="0"/>
          <w:i w:val="0"/>
          <w:sz w:val="20"/>
        </w:rPr>
        <w:t>If the company declares a 10 percent dividend in the income year, its assets and accumulated profit are reduced. The balance sheet after distribution is as follows:</w:t>
      </w:r>
    </w:p>
    <w:tbl>
      <w:tblPr>
        <w:tblStyle w:val="TableGrid"/>
        <w:tblW w:type="auto" w:w="0"/>
        <w:jc w:val="center"/>
        <w:tblLayout w:type="autofit"/>
        <w:tblLook w:firstColumn="1" w:firstRow="1" w:lastColumn="0" w:lastRow="0" w:noHBand="0" w:noVBand="1" w:val="04A0"/>
      </w:tblPr>
      <w:tblGrid>
        <w:gridCol w:w="2556"/>
        <w:gridCol w:w="2556"/>
        <w:gridCol w:w="2556"/>
        <w:gridCol w:w="2556"/>
      </w:tblGrid>
      <w:tr>
        <w:tc>
          <w:tcPr>
            <w:tcW w:type="dxa" w:w="2880"/>
            <w:vAlign w:val="top"/>
            <w:shd w:fill="D9EAF7"/>
          </w:tcPr>
          <w:p>
            <w:pPr>
              <w:spacing w:after="0" w:line="240" w:lineRule="auto"/>
            </w:pPr>
            <w:r/>
            <w:r>
              <w:rPr>
                <w:rFonts w:ascii="Arial" w:hAnsi="Arial" w:eastAsia="Arial"/>
                <w:b/>
                <w:sz w:val="16"/>
              </w:rPr>
              <w:t>Liabilities</w:t>
            </w:r>
          </w:p>
        </w:tc>
        <w:tc>
          <w:tcPr>
            <w:tcW w:type="dxa" w:w="1440"/>
            <w:vAlign w:val="top"/>
            <w:shd w:fill="D9EAF7"/>
          </w:tcPr>
          <w:p>
            <w:pPr>
              <w:spacing w:after="0" w:line="240" w:lineRule="auto"/>
            </w:pPr>
            <w:r/>
            <w:r>
              <w:rPr>
                <w:rFonts w:ascii="Arial" w:hAnsi="Arial" w:eastAsia="Arial"/>
                <w:b/>
                <w:sz w:val="16"/>
              </w:rPr>
              <w:t>Rs. lakhs</w:t>
            </w:r>
          </w:p>
        </w:tc>
        <w:tc>
          <w:tcPr>
            <w:tcW w:type="dxa" w:w="2880"/>
            <w:vAlign w:val="top"/>
            <w:shd w:fill="D9EAF7"/>
          </w:tcPr>
          <w:p>
            <w:pPr>
              <w:spacing w:after="0" w:line="240" w:lineRule="auto"/>
            </w:pPr>
            <w:r/>
            <w:r>
              <w:rPr>
                <w:rFonts w:ascii="Arial" w:hAnsi="Arial" w:eastAsia="Arial"/>
                <w:b/>
                <w:sz w:val="16"/>
              </w:rPr>
              <w:t>Assets</w:t>
            </w:r>
          </w:p>
        </w:tc>
        <w:tc>
          <w:tcPr>
            <w:tcW w:type="dxa" w:w="1440"/>
            <w:vAlign w:val="top"/>
            <w:shd w:fill="D9EAF7"/>
          </w:tcPr>
          <w:p>
            <w:pPr>
              <w:spacing w:after="0" w:line="240" w:lineRule="auto"/>
            </w:pPr>
            <w:r/>
            <w:r>
              <w:rPr>
                <w:rFonts w:ascii="Arial" w:hAnsi="Arial" w:eastAsia="Arial"/>
                <w:b/>
                <w:sz w:val="16"/>
              </w:rPr>
              <w:t>Rs. lakhs</w:t>
            </w:r>
          </w:p>
        </w:tc>
      </w:tr>
      <w:tr>
        <w:tc>
          <w:tcPr>
            <w:tcW w:type="dxa" w:w="2880"/>
            <w:vAlign w:val="top"/>
          </w:tcPr>
          <w:p>
            <w:pPr>
              <w:spacing w:after="0" w:line="240" w:lineRule="auto"/>
            </w:pPr>
            <w:r/>
            <w:r>
              <w:rPr>
                <w:rFonts w:ascii="Arial" w:hAnsi="Arial" w:eastAsia="Arial"/>
                <w:b w:val="0"/>
                <w:sz w:val="16"/>
              </w:rPr>
              <w:t>Share capital</w:t>
            </w:r>
          </w:p>
        </w:tc>
        <w:tc>
          <w:tcPr>
            <w:tcW w:type="dxa" w:w="1440"/>
            <w:vAlign w:val="top"/>
          </w:tcPr>
          <w:p>
            <w:pPr>
              <w:spacing w:after="0" w:line="240" w:lineRule="auto"/>
            </w:pPr>
            <w:r/>
            <w:r>
              <w:rPr>
                <w:rFonts w:ascii="Arial" w:hAnsi="Arial" w:eastAsia="Arial"/>
                <w:b w:val="0"/>
                <w:sz w:val="16"/>
              </w:rPr>
              <w:t>20</w:t>
            </w:r>
          </w:p>
        </w:tc>
        <w:tc>
          <w:tcPr>
            <w:tcW w:type="dxa" w:w="2880"/>
            <w:vAlign w:val="top"/>
          </w:tcPr>
          <w:p>
            <w:pPr>
              <w:spacing w:after="0" w:line="240" w:lineRule="auto"/>
            </w:pPr>
            <w:r/>
            <w:r>
              <w:rPr>
                <w:rFonts w:ascii="Arial" w:hAnsi="Arial" w:eastAsia="Arial"/>
                <w:b w:val="0"/>
                <w:sz w:val="16"/>
              </w:rPr>
              <w:t>Fixed assets</w:t>
            </w:r>
          </w:p>
        </w:tc>
        <w:tc>
          <w:tcPr>
            <w:tcW w:type="dxa" w:w="1440"/>
            <w:vAlign w:val="top"/>
          </w:tcPr>
          <w:p>
            <w:pPr>
              <w:spacing w:after="0" w:line="240" w:lineRule="auto"/>
            </w:pPr>
            <w:r/>
            <w:r>
              <w:rPr>
                <w:rFonts w:ascii="Arial" w:hAnsi="Arial" w:eastAsia="Arial"/>
                <w:b w:val="0"/>
                <w:sz w:val="16"/>
              </w:rPr>
              <w:t>30</w:t>
            </w:r>
          </w:p>
        </w:tc>
      </w:tr>
      <w:tr>
        <w:tc>
          <w:tcPr>
            <w:tcW w:type="dxa" w:w="2880"/>
            <w:vAlign w:val="top"/>
          </w:tcPr>
          <w:p>
            <w:pPr>
              <w:spacing w:after="0" w:line="240" w:lineRule="auto"/>
            </w:pPr>
            <w:r/>
            <w:r>
              <w:rPr>
                <w:rFonts w:ascii="Arial" w:hAnsi="Arial" w:eastAsia="Arial"/>
                <w:b w:val="0"/>
                <w:sz w:val="16"/>
              </w:rPr>
              <w:t>General reserve less dividend</w:t>
            </w:r>
          </w:p>
        </w:tc>
        <w:tc>
          <w:tcPr>
            <w:tcW w:type="dxa" w:w="1440"/>
            <w:vAlign w:val="top"/>
          </w:tcPr>
          <w:p>
            <w:pPr>
              <w:spacing w:after="0" w:line="240" w:lineRule="auto"/>
            </w:pPr>
            <w:r/>
            <w:r>
              <w:rPr>
                <w:rFonts w:ascii="Arial" w:hAnsi="Arial" w:eastAsia="Arial"/>
                <w:b w:val="0"/>
                <w:sz w:val="16"/>
              </w:rPr>
              <w:t>18</w:t>
            </w:r>
          </w:p>
        </w:tc>
        <w:tc>
          <w:tcPr>
            <w:tcW w:type="dxa" w:w="2880"/>
            <w:vAlign w:val="top"/>
          </w:tcPr>
          <w:p>
            <w:pPr>
              <w:spacing w:after="0" w:line="240" w:lineRule="auto"/>
            </w:pPr>
            <w:r/>
            <w:r>
              <w:rPr>
                <w:rFonts w:ascii="Arial" w:hAnsi="Arial" w:eastAsia="Arial"/>
                <w:b w:val="0"/>
                <w:sz w:val="16"/>
              </w:rPr>
              <w:t>Current assets</w:t>
            </w:r>
          </w:p>
        </w:tc>
        <w:tc>
          <w:tcPr>
            <w:tcW w:type="dxa" w:w="1440"/>
            <w:vAlign w:val="top"/>
          </w:tcPr>
          <w:p>
            <w:pPr>
              <w:spacing w:after="0" w:line="240" w:lineRule="auto"/>
            </w:pPr>
            <w:r/>
            <w:r>
              <w:rPr>
                <w:rFonts w:ascii="Arial" w:hAnsi="Arial" w:eastAsia="Arial"/>
                <w:b w:val="0"/>
                <w:sz w:val="16"/>
              </w:rPr>
              <w:t>18</w:t>
            </w:r>
          </w:p>
        </w:tc>
      </w:tr>
      <w:tr>
        <w:tc>
          <w:tcPr>
            <w:tcW w:type="dxa" w:w="2880"/>
            <w:vAlign w:val="top"/>
          </w:tcPr>
          <w:p>
            <w:pPr>
              <w:spacing w:after="0" w:line="240" w:lineRule="auto"/>
            </w:pPr>
            <w:r/>
            <w:r>
              <w:rPr>
                <w:rFonts w:ascii="Arial" w:hAnsi="Arial" w:eastAsia="Arial"/>
                <w:b w:val="0"/>
                <w:sz w:val="16"/>
              </w:rPr>
              <w:t>Current liabilities</w:t>
            </w:r>
          </w:p>
        </w:tc>
        <w:tc>
          <w:tcPr>
            <w:tcW w:type="dxa" w:w="1440"/>
            <w:vAlign w:val="top"/>
          </w:tcPr>
          <w:p>
            <w:pPr>
              <w:spacing w:after="0" w:line="240" w:lineRule="auto"/>
            </w:pPr>
            <w:r/>
            <w:r>
              <w:rPr>
                <w:rFonts w:ascii="Arial" w:hAnsi="Arial" w:eastAsia="Arial"/>
                <w:b w:val="0"/>
                <w:sz w:val="16"/>
              </w:rPr>
              <w:t>10</w:t>
            </w:r>
          </w:p>
        </w:tc>
        <w:tc>
          <w:tcPr>
            <w:tcW w:type="dxa" w:w="2880"/>
            <w:vAlign w:val="top"/>
          </w:tcPr>
          <w:p>
            <w:pPr>
              <w:spacing w:after="0" w:line="240" w:lineRule="auto"/>
            </w:pPr>
            <w:r/>
            <w:r>
              <w:rPr>
                <w:rFonts w:ascii="Arial" w:hAnsi="Arial" w:eastAsia="Arial"/>
                <w:b w:val="0"/>
                <w:sz w:val="16"/>
              </w:rPr>
            </w:r>
          </w:p>
        </w:tc>
        <w:tc>
          <w:tcPr>
            <w:tcW w:type="dxa" w:w="1440"/>
            <w:vAlign w:val="top"/>
          </w:tcPr>
          <w:p>
            <w:pPr>
              <w:spacing w:after="0" w:line="240" w:lineRule="auto"/>
            </w:pPr>
            <w:r/>
            <w:r>
              <w:rPr>
                <w:rFonts w:ascii="Arial" w:hAnsi="Arial" w:eastAsia="Arial"/>
                <w:b w:val="0"/>
                <w:sz w:val="16"/>
              </w:rPr>
            </w:r>
          </w:p>
        </w:tc>
      </w:tr>
      <w:tr>
        <w:tc>
          <w:tcPr>
            <w:tcW w:type="dxa" w:w="2880"/>
            <w:vAlign w:val="top"/>
          </w:tcPr>
          <w:p>
            <w:pPr>
              <w:spacing w:after="0" w:line="240" w:lineRule="auto"/>
            </w:pPr>
            <w:r/>
            <w:r>
              <w:rPr>
                <w:rFonts w:ascii="Arial" w:hAnsi="Arial" w:eastAsia="Arial"/>
                <w:b w:val="0"/>
                <w:sz w:val="16"/>
              </w:rPr>
              <w:t>Total</w:t>
            </w:r>
          </w:p>
        </w:tc>
        <w:tc>
          <w:tcPr>
            <w:tcW w:type="dxa" w:w="1440"/>
            <w:vAlign w:val="top"/>
          </w:tcPr>
          <w:p>
            <w:pPr>
              <w:spacing w:after="0" w:line="240" w:lineRule="auto"/>
            </w:pPr>
            <w:r/>
            <w:r>
              <w:rPr>
                <w:rFonts w:ascii="Arial" w:hAnsi="Arial" w:eastAsia="Arial"/>
                <w:b w:val="0"/>
                <w:sz w:val="16"/>
              </w:rPr>
              <w:t>48</w:t>
            </w:r>
          </w:p>
        </w:tc>
        <w:tc>
          <w:tcPr>
            <w:tcW w:type="dxa" w:w="2880"/>
            <w:vAlign w:val="top"/>
          </w:tcPr>
          <w:p>
            <w:pPr>
              <w:spacing w:after="0" w:line="240" w:lineRule="auto"/>
            </w:pPr>
            <w:r/>
            <w:r>
              <w:rPr>
                <w:rFonts w:ascii="Arial" w:hAnsi="Arial" w:eastAsia="Arial"/>
                <w:b w:val="0"/>
                <w:sz w:val="16"/>
              </w:rPr>
              <w:t>Total</w:t>
            </w:r>
          </w:p>
        </w:tc>
        <w:tc>
          <w:tcPr>
            <w:tcW w:type="dxa" w:w="1440"/>
            <w:vAlign w:val="top"/>
          </w:tcPr>
          <w:p>
            <w:pPr>
              <w:spacing w:after="0" w:line="240" w:lineRule="auto"/>
            </w:pPr>
            <w:r/>
            <w:r>
              <w:rPr>
                <w:rFonts w:ascii="Arial" w:hAnsi="Arial" w:eastAsia="Arial"/>
                <w:b w:val="0"/>
                <w:sz w:val="16"/>
              </w:rPr>
              <w:t>48</w:t>
            </w:r>
          </w:p>
        </w:tc>
      </w:tr>
    </w:tbl>
    <w:p/>
    <w:p>
      <w:pPr>
        <w:spacing w:after="80" w:line="252" w:lineRule="auto"/>
      </w:pPr>
      <w:r>
        <w:rPr>
          <w:rFonts w:ascii="Arial" w:hAnsi="Arial" w:eastAsia="Arial"/>
          <w:b w:val="0"/>
          <w:i w:val="0"/>
          <w:sz w:val="20"/>
        </w:rPr>
        <w:t>Because the assets and liabilities of the company are reduced, Rs. 200,000 is treated as a distribution.</w:t>
      </w:r>
    </w:p>
    <w:p>
      <w:pPr>
        <w:spacing w:after="80" w:line="252" w:lineRule="auto"/>
      </w:pPr>
      <w:r>
        <w:rPr>
          <w:rFonts w:ascii="Arial" w:hAnsi="Arial" w:eastAsia="Arial"/>
          <w:b w:val="0"/>
          <w:i w:val="0"/>
          <w:sz w:val="20"/>
        </w:rPr>
        <w:t>At the time of distribution, where the market value of assets exceeds the aggregate of the market value of liabilities and the capital contribution including capitalised profit, the excess is treated as distribution of profit.</w:t>
      </w:r>
    </w:p>
    <w:p>
      <w:pPr>
        <w:spacing w:after="80" w:line="252" w:lineRule="auto"/>
      </w:pPr>
      <w:r>
        <w:rPr>
          <w:rFonts w:ascii="Arial" w:hAnsi="Arial" w:eastAsia="Arial"/>
          <w:b/>
          <w:i w:val="0"/>
          <w:sz w:val="20"/>
        </w:rPr>
        <w:t>Example 13.5.5:</w:t>
      </w:r>
    </w:p>
    <w:p>
      <w:pPr>
        <w:spacing w:after="80" w:line="252" w:lineRule="auto"/>
      </w:pPr>
      <w:r>
        <w:rPr>
          <w:rFonts w:ascii="Arial" w:hAnsi="Arial" w:eastAsia="Arial"/>
          <w:b w:val="0"/>
          <w:i w:val="0"/>
          <w:sz w:val="20"/>
        </w:rPr>
        <w:t>Assume that Jumbo Feed Pvt. Ltd. has assets of Rs. 1,000,000, share capital of Rs. 900,000, reserves of Rs. 50,000 and other liabilities of Rs. 50,000. The market value of assets is Rs. 1,200,000 and the market value of liabilities is Rs. 50,000. The aggregate of share capital and liabilities is Rs. 950,000, while the market value of assets is Rs. 1,200,000. Therefore, payment up to Rs. 250,000 is treated as distribution of profit. Any payment above that amount is treated as return of capital. If the shareholder takes Rs. 300,000, distribution = Rs. 1,200,000 - Rs. 50,000 - Rs. 900,000 = Rs. 250,000. The payment of Rs. 300,000 is treated as distribution to the extent of Rs. 250,000 under the profit-first principle, and the excess Rs. 50,000 as return of capital.</w:t>
      </w:r>
    </w:p>
    <w:p>
      <w:pPr>
        <w:spacing w:after="80" w:line="252" w:lineRule="auto"/>
      </w:pPr>
      <w:r>
        <w:rPr>
          <w:rFonts w:ascii="Arial" w:hAnsi="Arial" w:eastAsia="Arial"/>
          <w:b/>
          <w:i w:val="0"/>
          <w:sz w:val="20"/>
        </w:rPr>
        <w:t>Example 13.5.6:</w:t>
      </w:r>
    </w:p>
    <w:p>
      <w:pPr>
        <w:spacing w:after="80" w:line="252" w:lineRule="auto"/>
      </w:pPr>
      <w:r>
        <w:rPr>
          <w:rFonts w:ascii="Arial" w:hAnsi="Arial" w:eastAsia="Arial"/>
          <w:b w:val="0"/>
          <w:i w:val="0"/>
          <w:sz w:val="20"/>
        </w:rPr>
        <w:t>Assume that Jumbo Feed Pvt. Ltd. has net assets of Rs. 1,000,000 and share capital of Rs. 950,000. Hari has purchased shares of Rs. 400,000 in the company and also owes Rs. 200,000 to the company. If the company waives the amount receivable from Hari, the waived amount of Rs. 200,000 is treated as distribution under Section 53 because the net assets of the company are reduced by the amount of the payment. Because the market-value profit is only Rs. 50,000, only Rs. 50,000 is treated as distribution; the balance Rs. 150,000 is treated as return of capital. The dividend component of Rs. 50,000 is subject to final withholding tax under Section 92. If Hari had purchased shares of only Rs. 90,000, the Rs. 200,000 write-off would still comprise Rs. 50,000 distribution and Rs. 150,000 return of capital; because return of capital exceeds investment cost by Rs. 60,000, the share investment is treated as disposed of and the gain of Rs. 60,000 under Section 37 is included in income pursuant to Section 40(3)(b), since incomings exceed outgoings.</w:t>
      </w:r>
    </w:p>
    <w:p>
      <w:pPr>
        <w:pStyle w:val="Heading3"/>
      </w:pPr>
      <w:r>
        <w:t>Capitalisation of Profits</w:t>
      </w:r>
    </w:p>
    <w:p>
      <w:pPr>
        <w:spacing w:after="80" w:line="252" w:lineRule="auto"/>
      </w:pPr>
      <w:r>
        <w:rPr>
          <w:rFonts w:ascii="Arial" w:hAnsi="Arial" w:eastAsia="Arial"/>
          <w:b w:val="0"/>
          <w:i w:val="0"/>
          <w:sz w:val="20"/>
        </w:rPr>
        <w:t>Capitalisation of profits means the process by which an entity distributes profit or a similar account to its shareholders in the form of bonus shares instead of making a cash distribution.</w:t>
      </w:r>
    </w:p>
    <w:p>
      <w:pPr>
        <w:spacing w:after="80" w:line="252" w:lineRule="auto"/>
      </w:pPr>
      <w:r>
        <w:rPr>
          <w:rFonts w:ascii="Arial" w:hAnsi="Arial" w:eastAsia="Arial"/>
          <w:b/>
          <w:i w:val="0"/>
          <w:sz w:val="20"/>
        </w:rPr>
        <w:t>Example 13.5.7:</w:t>
      </w:r>
    </w:p>
    <w:p>
      <w:pPr>
        <w:spacing w:after="80" w:line="252" w:lineRule="auto"/>
      </w:pPr>
      <w:r>
        <w:rPr>
          <w:rFonts w:ascii="Arial" w:hAnsi="Arial" w:eastAsia="Arial"/>
          <w:b w:val="0"/>
          <w:i w:val="0"/>
          <w:sz w:val="20"/>
        </w:rPr>
        <w:t>Assume that the balance sheet of Jumbo Feed Pvt. Ltd. shows Rs. 5,000,000 in reserve. Its share capital consists of 200,000 shares of Rs. 100 each, totalling Rs. 20,000,000. The company decides to issue bonus shares at the ratio of 5:1 in the income year. This is treated as capitalisation of profits. The accounting entry is: Reserve A/c Dr Rs. 4,000,000; To Share Capital A/c Cr Rs. 4,000,000. Such capitalisation of profits is treated as distribution by the entity.</w:t>
      </w:r>
    </w:p>
    <w:p>
      <w:pPr>
        <w:spacing w:after="80" w:line="252" w:lineRule="auto"/>
      </w:pPr>
      <w:r>
        <w:rPr>
          <w:rFonts w:ascii="Arial" w:hAnsi="Arial" w:eastAsia="Arial"/>
          <w:b/>
          <w:i w:val="0"/>
          <w:sz w:val="20"/>
        </w:rPr>
        <w:t>Example 13.5.8:</w:t>
      </w:r>
    </w:p>
    <w:p>
      <w:pPr>
        <w:spacing w:after="80" w:line="252" w:lineRule="auto"/>
      </w:pPr>
      <w:r>
        <w:rPr>
          <w:rFonts w:ascii="Arial" w:hAnsi="Arial" w:eastAsia="Arial"/>
          <w:b w:val="0"/>
          <w:i w:val="0"/>
          <w:sz w:val="20"/>
        </w:rPr>
        <w:t>Assume that the balance sheet of Jumbo Feed Pvt. Ltd. shows accumulated profit of Rs. 5,000,000 and share premium of Rs. 9,000,000. Its share capital consists of 200,000 shares of Rs. 100 each, totalling Rs. 20,000,000. The company decides to issue bonus shares at the ratio of 5:1 from accumulated profit and 5:2 from share premium. Bonus shares corresponding to capitalisation of profit are treated as distribution. The accounting entry is: Accumulated Profit A/c Dr Rs. 4,000,000; Securities Premium A/c Dr Rs. 8,000,000; To Share Capital A/c Cr Rs. 12,000,000. Such capitalisation of profits is treated as distribution by the entity.</w:t>
      </w:r>
    </w:p>
    <w:p>
      <w:pPr>
        <w:pStyle w:val="Heading2"/>
      </w:pPr>
      <w:r>
        <w:t>13.6 Tax on Dividend</w:t>
      </w:r>
    </w:p>
    <w:p>
      <w:pPr>
        <w:spacing w:after="80" w:line="252" w:lineRule="auto"/>
      </w:pPr>
      <w:r>
        <w:rPr>
          <w:rFonts w:ascii="Arial" w:hAnsi="Arial" w:eastAsia="Arial"/>
          <w:b w:val="0"/>
          <w:i w:val="0"/>
          <w:sz w:val="20"/>
        </w:rPr>
        <w:t>Section 54 of the Act makes the following provisions regarding tax on dividend distributed by an entity:</w:t>
      </w:r>
    </w:p>
    <w:p>
      <w:pPr>
        <w:spacing w:after="80" w:line="252" w:lineRule="auto"/>
      </w:pPr>
      <w:r>
        <w:rPr>
          <w:rFonts w:ascii="Arial" w:hAnsi="Arial" w:eastAsia="Arial"/>
          <w:b w:val="0"/>
          <w:i w:val="0"/>
          <w:sz w:val="20"/>
        </w:rPr>
        <w:t>54(1) Dividend distributed by a resident entity shall be treated as follows:</w:t>
      </w:r>
    </w:p>
    <w:p>
      <w:pPr>
        <w:spacing w:after="80" w:line="252" w:lineRule="auto"/>
      </w:pPr>
      <w:r>
        <w:rPr>
          <w:rFonts w:ascii="Arial" w:hAnsi="Arial" w:eastAsia="Arial"/>
          <w:b w:val="0"/>
          <w:i w:val="0"/>
          <w:sz w:val="20"/>
        </w:rPr>
        <w:t>(a) where dividend is distributed to a shareholder of a company or to a partner of a partnership firm, tax shall be imposed by the method of final withholding tax; and</w:t>
      </w:r>
    </w:p>
    <w:p>
      <w:pPr>
        <w:spacing w:after="80" w:line="252" w:lineRule="auto"/>
      </w:pPr>
      <w:r>
        <w:rPr>
          <w:rFonts w:ascii="Arial" w:hAnsi="Arial" w:eastAsia="Arial"/>
          <w:b w:val="0"/>
          <w:i w:val="0"/>
          <w:sz w:val="20"/>
        </w:rPr>
        <w:t>Where a resident company distributes dividend to its shareholders, or a partnership firm distributes dividend or profit share to its partners, tax is imposed by final withholding. The following examples clarify the provision.</w:t>
      </w:r>
    </w:p>
    <w:p>
      <w:pPr>
        <w:spacing w:after="80" w:line="252" w:lineRule="auto"/>
      </w:pPr>
      <w:r>
        <w:rPr>
          <w:rFonts w:ascii="Arial" w:hAnsi="Arial" w:eastAsia="Arial"/>
          <w:b/>
          <w:i w:val="0"/>
          <w:sz w:val="20"/>
        </w:rPr>
        <w:t>Example 13.6.1:</w:t>
      </w:r>
    </w:p>
    <w:p>
      <w:pPr>
        <w:spacing w:after="80" w:line="252" w:lineRule="auto"/>
      </w:pPr>
      <w:r>
        <w:rPr>
          <w:rFonts w:ascii="Arial" w:hAnsi="Arial" w:eastAsia="Arial"/>
          <w:b w:val="0"/>
          <w:i w:val="0"/>
          <w:sz w:val="20"/>
        </w:rPr>
        <w:t>Assume that Jamin Miya has invested Rs. 100,000 in Jumbo Feed Pvt. Ltd. In income year 2080/81, the company declares dividend at 10 percent. When paying Rs. 10,000 dividend to Jamin Miya, the company must withhold Rs. 500 at the rate of 5 percent under Section 88 and pay the balance Rs. 9,500. Dividend paid after withholding tax is a final withholding payment under Section 92.</w:t>
      </w:r>
    </w:p>
    <w:p>
      <w:pPr>
        <w:spacing w:after="80" w:line="252" w:lineRule="auto"/>
      </w:pPr>
      <w:r>
        <w:rPr>
          <w:rFonts w:ascii="Arial" w:hAnsi="Arial" w:eastAsia="Arial"/>
          <w:b/>
          <w:i w:val="0"/>
          <w:sz w:val="20"/>
        </w:rPr>
        <w:t>Example 13.6.2:</w:t>
      </w:r>
    </w:p>
    <w:p>
      <w:pPr>
        <w:spacing w:after="80" w:line="252" w:lineRule="auto"/>
      </w:pPr>
      <w:r>
        <w:rPr>
          <w:rFonts w:ascii="Arial" w:hAnsi="Arial" w:eastAsia="Arial"/>
          <w:b w:val="0"/>
          <w:i w:val="0"/>
          <w:sz w:val="20"/>
        </w:rPr>
        <w:t>Assume that XY is a partnership firm and X and Y are its partners. Under the partnership deed, profits and losses are shared in the ratio 2:1. In income year 2080/81 the firm has after-tax profit of Rs. 60,000 and distributes Rs. 40,000 to X and Rs. 20,000 to Y according to the deed. Dividend tax applies to such distributed dividend or profit share.</w:t>
      </w:r>
    </w:p>
    <w:p>
      <w:pPr>
        <w:spacing w:after="80" w:line="252" w:lineRule="auto"/>
      </w:pPr>
      <w:r>
        <w:rPr>
          <w:rFonts w:ascii="Arial" w:hAnsi="Arial" w:eastAsia="Arial"/>
          <w:b w:val="0"/>
          <w:i w:val="0"/>
          <w:sz w:val="20"/>
        </w:rPr>
        <w:t>(b) where other entities distribute dividend, tax shall not be imposed.</w:t>
      </w:r>
    </w:p>
    <w:p>
      <w:pPr>
        <w:spacing w:after="80" w:line="252" w:lineRule="auto"/>
      </w:pPr>
      <w:r>
        <w:rPr>
          <w:rFonts w:ascii="Arial" w:hAnsi="Arial" w:eastAsia="Arial"/>
          <w:b w:val="0"/>
          <w:i w:val="0"/>
          <w:sz w:val="20"/>
        </w:rPr>
        <w:t>54(2) Dividend distributed by a non-resident entity to a resident beneficiary shall be included in computing the income of that beneficiary and taxed accordingly.</w:t>
      </w:r>
    </w:p>
    <w:p>
      <w:pPr>
        <w:spacing w:after="80" w:line="252" w:lineRule="auto"/>
      </w:pPr>
      <w:r>
        <w:rPr>
          <w:rFonts w:ascii="Arial" w:hAnsi="Arial" w:eastAsia="Arial"/>
          <w:b w:val="0"/>
          <w:i w:val="0"/>
          <w:sz w:val="20"/>
        </w:rPr>
        <w:t>A resident person who receives dividend from a non-resident person must include the amount in computing income. The following examples clarify the provision.</w:t>
      </w:r>
    </w:p>
    <w:p>
      <w:pPr>
        <w:spacing w:after="80" w:line="252" w:lineRule="auto"/>
      </w:pPr>
      <w:r>
        <w:rPr>
          <w:rFonts w:ascii="Arial" w:hAnsi="Arial" w:eastAsia="Arial"/>
          <w:b/>
          <w:i w:val="0"/>
          <w:sz w:val="20"/>
        </w:rPr>
        <w:t>Example 13.6.3:</w:t>
      </w:r>
    </w:p>
    <w:p>
      <w:pPr>
        <w:spacing w:after="80" w:line="252" w:lineRule="auto"/>
      </w:pPr>
      <w:r>
        <w:rPr>
          <w:rFonts w:ascii="Arial" w:hAnsi="Arial" w:eastAsia="Arial"/>
          <w:b w:val="0"/>
          <w:i w:val="0"/>
          <w:sz w:val="20"/>
        </w:rPr>
        <w:t>Assume that Dabur India Ltd. is a company established in India. Kamal Srivastav, an Indian citizen who is resident in Nepal, has share investment of Rs. 20 million in that company, but the company is not a controlled foreign entity in relation to Kamal. If Dabur India Ltd. distributes dividend at 20 percent, the dividend of Rs. 4 million received by Kamal must be included in his investment income.</w:t>
      </w:r>
    </w:p>
    <w:p>
      <w:pPr>
        <w:spacing w:after="80" w:line="252" w:lineRule="auto"/>
      </w:pPr>
      <w:r>
        <w:rPr>
          <w:rFonts w:ascii="Arial" w:hAnsi="Arial" w:eastAsia="Arial"/>
          <w:b/>
          <w:i w:val="0"/>
          <w:sz w:val="20"/>
        </w:rPr>
        <w:t>Example 13.6.4:</w:t>
      </w:r>
    </w:p>
    <w:p>
      <w:pPr>
        <w:spacing w:after="80" w:line="252" w:lineRule="auto"/>
      </w:pPr>
      <w:r>
        <w:rPr>
          <w:rFonts w:ascii="Arial" w:hAnsi="Arial" w:eastAsia="Arial"/>
          <w:b w:val="0"/>
          <w:i w:val="0"/>
          <w:sz w:val="20"/>
        </w:rPr>
        <w:t>Assume that Pankaj Jalan, an Indian citizen who is resident in Nepal, has a partnership firm in India with an Indian person. During the year Pankaj receives Rs. 400,000 from that partnership. He must include his share from that partnership in his investment income.</w:t>
      </w:r>
    </w:p>
    <w:p>
      <w:pPr>
        <w:spacing w:after="80" w:line="252" w:lineRule="auto"/>
      </w:pPr>
      <w:r>
        <w:rPr>
          <w:rFonts w:ascii="Arial" w:hAnsi="Arial" w:eastAsia="Arial"/>
          <w:b w:val="0"/>
          <w:i w:val="0"/>
          <w:sz w:val="20"/>
        </w:rPr>
        <w:t>However, dividend distributed by a controlled foreign entity under Section 69 is not required to be included in income under this section. The tax treatment of dividend distributed by such entity is explained in Chapter 14 of this Directive.</w:t>
      </w:r>
    </w:p>
    <w:p>
      <w:pPr>
        <w:spacing w:after="80" w:line="252" w:lineRule="auto"/>
      </w:pPr>
      <w:r>
        <w:rPr>
          <w:rFonts w:ascii="Arial" w:hAnsi="Arial" w:eastAsia="Arial"/>
          <w:b w:val="0"/>
          <w:i w:val="0"/>
          <w:sz w:val="20"/>
        </w:rPr>
        <w:t>54(3) Notwithstanding subsection (1), where a dividend is distributed out of dividend already received after withholding tax under that subsection, no tax shall be imposed on the redistribution of that dividend.</w:t>
      </w:r>
    </w:p>
    <w:p>
      <w:pPr>
        <w:spacing w:after="80" w:line="252" w:lineRule="auto"/>
      </w:pPr>
      <w:r>
        <w:rPr>
          <w:rFonts w:ascii="Arial" w:hAnsi="Arial" w:eastAsia="Arial"/>
          <w:b w:val="0"/>
          <w:i w:val="0"/>
          <w:sz w:val="20"/>
        </w:rPr>
        <w:t>Where dividend that has already been distributed after final withholding tax is redistributed, dividend tax is not required to be withheld to the extent of that amount.</w:t>
      </w:r>
    </w:p>
    <w:p>
      <w:pPr>
        <w:spacing w:after="80" w:line="252" w:lineRule="auto"/>
      </w:pPr>
      <w:r>
        <w:rPr>
          <w:rFonts w:ascii="Arial" w:hAnsi="Arial" w:eastAsia="Arial"/>
          <w:b/>
          <w:i w:val="0"/>
          <w:sz w:val="20"/>
        </w:rPr>
        <w:t>Example 13.6.5:</w:t>
      </w:r>
    </w:p>
    <w:p>
      <w:pPr>
        <w:spacing w:after="80" w:line="252" w:lineRule="auto"/>
      </w:pPr>
      <w:r>
        <w:rPr>
          <w:rFonts w:ascii="Arial" w:hAnsi="Arial" w:eastAsia="Arial"/>
          <w:b w:val="0"/>
          <w:i w:val="0"/>
          <w:sz w:val="20"/>
        </w:rPr>
        <w:t>Kamal &amp; Sons Pvt. Ltd. receives Rs. 1,000,000 dividend from Lobo Co. Ltd., a resident company, after dividend tax has been withheld. Kamal &amp; Sons Pvt. Ltd. has other profit of Rs. 9,000,000, so it declares total cash dividend of Rs. 10,000,000 to its shareholders. Bimal Thapa is one shareholder and is to receive Rs. 500,000. Because 10 percent of the total distributable dividend represents dividend income already received after withholding, tax is not imposed on 10 percent of Bimal’s dividend. The taxable portion is Rs. 450,000 and tax at 5 percent is Rs. 22,500. The net payment to Bimal is Rs. 477,500.</w:t>
      </w:r>
    </w:p>
    <w:tbl>
      <w:tblPr>
        <w:tblStyle w:val="TableGrid"/>
        <w:tblW w:type="auto" w:w="0"/>
        <w:jc w:val="center"/>
        <w:tblLayout w:type="autofit"/>
        <w:tblLook w:firstColumn="1" w:firstRow="1" w:lastColumn="0" w:lastRow="0" w:noHBand="0" w:noVBand="1" w:val="04A0"/>
      </w:tblPr>
      <w:tblGrid>
        <w:gridCol w:w="5112"/>
        <w:gridCol w:w="5112"/>
      </w:tblGrid>
      <w:tr>
        <w:tc>
          <w:tcPr>
            <w:tcW w:type="dxa" w:w="6480"/>
            <w:vAlign w:val="top"/>
            <w:shd w:fill="D9EAF7"/>
          </w:tcPr>
          <w:p>
            <w:pPr>
              <w:spacing w:after="0" w:line="240" w:lineRule="auto"/>
            </w:pPr>
            <w:r/>
            <w:r>
              <w:rPr>
                <w:rFonts w:ascii="Arial" w:hAnsi="Arial" w:eastAsia="Arial"/>
                <w:b/>
                <w:sz w:val="16"/>
              </w:rPr>
              <w:t>Particulars</w:t>
            </w:r>
          </w:p>
        </w:tc>
        <w:tc>
          <w:tcPr>
            <w:tcW w:type="dxa" w:w="2448"/>
            <w:vAlign w:val="top"/>
            <w:shd w:fill="D9EAF7"/>
          </w:tcPr>
          <w:p>
            <w:pPr>
              <w:spacing w:after="0" w:line="240" w:lineRule="auto"/>
            </w:pPr>
            <w:r/>
            <w:r>
              <w:rPr>
                <w:rFonts w:ascii="Arial" w:hAnsi="Arial" w:eastAsia="Arial"/>
                <w:b/>
                <w:sz w:val="16"/>
              </w:rPr>
              <w:t>Amount</w:t>
            </w:r>
          </w:p>
        </w:tc>
      </w:tr>
      <w:tr>
        <w:tc>
          <w:tcPr>
            <w:tcW w:type="dxa" w:w="6480"/>
            <w:vAlign w:val="top"/>
          </w:tcPr>
          <w:p>
            <w:pPr>
              <w:spacing w:after="0" w:line="240" w:lineRule="auto"/>
            </w:pPr>
            <w:r/>
            <w:r>
              <w:rPr>
                <w:rFonts w:ascii="Arial" w:hAnsi="Arial" w:eastAsia="Arial"/>
                <w:b w:val="0"/>
                <w:sz w:val="16"/>
              </w:rPr>
              <w:t>Total profit distributed as dividend</w:t>
            </w:r>
          </w:p>
        </w:tc>
        <w:tc>
          <w:tcPr>
            <w:tcW w:type="dxa" w:w="2448"/>
            <w:vAlign w:val="top"/>
          </w:tcPr>
          <w:p>
            <w:pPr>
              <w:spacing w:after="0" w:line="240" w:lineRule="auto"/>
            </w:pPr>
            <w:r/>
            <w:r>
              <w:rPr>
                <w:rFonts w:ascii="Arial" w:hAnsi="Arial" w:eastAsia="Arial"/>
                <w:b w:val="0"/>
                <w:sz w:val="16"/>
              </w:rPr>
              <w:t>Rs. 10,000,000</w:t>
            </w:r>
          </w:p>
        </w:tc>
      </w:tr>
      <w:tr>
        <w:tc>
          <w:tcPr>
            <w:tcW w:type="dxa" w:w="6480"/>
            <w:vAlign w:val="top"/>
          </w:tcPr>
          <w:p>
            <w:pPr>
              <w:spacing w:after="0" w:line="240" w:lineRule="auto"/>
            </w:pPr>
            <w:r/>
            <w:r>
              <w:rPr>
                <w:rFonts w:ascii="Arial" w:hAnsi="Arial" w:eastAsia="Arial"/>
                <w:b w:val="0"/>
                <w:sz w:val="16"/>
              </w:rPr>
              <w:t>Dividend income received after withholding</w:t>
            </w:r>
          </w:p>
        </w:tc>
        <w:tc>
          <w:tcPr>
            <w:tcW w:type="dxa" w:w="2448"/>
            <w:vAlign w:val="top"/>
          </w:tcPr>
          <w:p>
            <w:pPr>
              <w:spacing w:after="0" w:line="240" w:lineRule="auto"/>
            </w:pPr>
            <w:r/>
            <w:r>
              <w:rPr>
                <w:rFonts w:ascii="Arial" w:hAnsi="Arial" w:eastAsia="Arial"/>
                <w:b w:val="0"/>
                <w:sz w:val="16"/>
              </w:rPr>
              <w:t>Rs. 1,000,000</w:t>
            </w:r>
          </w:p>
        </w:tc>
      </w:tr>
      <w:tr>
        <w:tc>
          <w:tcPr>
            <w:tcW w:type="dxa" w:w="6480"/>
            <w:vAlign w:val="top"/>
          </w:tcPr>
          <w:p>
            <w:pPr>
              <w:spacing w:after="0" w:line="240" w:lineRule="auto"/>
            </w:pPr>
            <w:r/>
            <w:r>
              <w:rPr>
                <w:rFonts w:ascii="Arial" w:hAnsi="Arial" w:eastAsia="Arial"/>
                <w:b w:val="0"/>
                <w:sz w:val="16"/>
              </w:rPr>
              <w:t>Share of dividend income in total distribution</w:t>
            </w:r>
          </w:p>
        </w:tc>
        <w:tc>
          <w:tcPr>
            <w:tcW w:type="dxa" w:w="2448"/>
            <w:vAlign w:val="top"/>
          </w:tcPr>
          <w:p>
            <w:pPr>
              <w:spacing w:after="0" w:line="240" w:lineRule="auto"/>
            </w:pPr>
            <w:r/>
            <w:r>
              <w:rPr>
                <w:rFonts w:ascii="Arial" w:hAnsi="Arial" w:eastAsia="Arial"/>
                <w:b w:val="0"/>
                <w:sz w:val="16"/>
              </w:rPr>
              <w:t>10%</w:t>
            </w:r>
          </w:p>
        </w:tc>
      </w:tr>
      <w:tr>
        <w:tc>
          <w:tcPr>
            <w:tcW w:type="dxa" w:w="6480"/>
            <w:vAlign w:val="top"/>
          </w:tcPr>
          <w:p>
            <w:pPr>
              <w:spacing w:after="0" w:line="240" w:lineRule="auto"/>
            </w:pPr>
            <w:r/>
            <w:r>
              <w:rPr>
                <w:rFonts w:ascii="Arial" w:hAnsi="Arial" w:eastAsia="Arial"/>
                <w:b w:val="0"/>
                <w:sz w:val="16"/>
              </w:rPr>
              <w:t>Amount payable to Bimal Thapa</w:t>
            </w:r>
          </w:p>
        </w:tc>
        <w:tc>
          <w:tcPr>
            <w:tcW w:type="dxa" w:w="2448"/>
            <w:vAlign w:val="top"/>
          </w:tcPr>
          <w:p>
            <w:pPr>
              <w:spacing w:after="0" w:line="240" w:lineRule="auto"/>
            </w:pPr>
            <w:r/>
            <w:r>
              <w:rPr>
                <w:rFonts w:ascii="Arial" w:hAnsi="Arial" w:eastAsia="Arial"/>
                <w:b w:val="0"/>
                <w:sz w:val="16"/>
              </w:rPr>
              <w:t>Rs. 500,000</w:t>
            </w:r>
          </w:p>
        </w:tc>
      </w:tr>
      <w:tr>
        <w:tc>
          <w:tcPr>
            <w:tcW w:type="dxa" w:w="6480"/>
            <w:vAlign w:val="top"/>
          </w:tcPr>
          <w:p>
            <w:pPr>
              <w:spacing w:after="0" w:line="240" w:lineRule="auto"/>
            </w:pPr>
            <w:r/>
            <w:r>
              <w:rPr>
                <w:rFonts w:ascii="Arial" w:hAnsi="Arial" w:eastAsia="Arial"/>
                <w:b w:val="0"/>
                <w:sz w:val="16"/>
              </w:rPr>
              <w:t>Non-taxable portion (10%)</w:t>
            </w:r>
          </w:p>
        </w:tc>
        <w:tc>
          <w:tcPr>
            <w:tcW w:type="dxa" w:w="2448"/>
            <w:vAlign w:val="top"/>
          </w:tcPr>
          <w:p>
            <w:pPr>
              <w:spacing w:after="0" w:line="240" w:lineRule="auto"/>
            </w:pPr>
            <w:r/>
            <w:r>
              <w:rPr>
                <w:rFonts w:ascii="Arial" w:hAnsi="Arial" w:eastAsia="Arial"/>
                <w:b w:val="0"/>
                <w:sz w:val="16"/>
              </w:rPr>
              <w:t>Rs. 50,000</w:t>
            </w:r>
          </w:p>
        </w:tc>
      </w:tr>
      <w:tr>
        <w:tc>
          <w:tcPr>
            <w:tcW w:type="dxa" w:w="6480"/>
            <w:vAlign w:val="top"/>
          </w:tcPr>
          <w:p>
            <w:pPr>
              <w:spacing w:after="0" w:line="240" w:lineRule="auto"/>
            </w:pPr>
            <w:r/>
            <w:r>
              <w:rPr>
                <w:rFonts w:ascii="Arial" w:hAnsi="Arial" w:eastAsia="Arial"/>
                <w:b w:val="0"/>
                <w:sz w:val="16"/>
              </w:rPr>
              <w:t>Taxable portion (90%)</w:t>
            </w:r>
          </w:p>
        </w:tc>
        <w:tc>
          <w:tcPr>
            <w:tcW w:type="dxa" w:w="2448"/>
            <w:vAlign w:val="top"/>
          </w:tcPr>
          <w:p>
            <w:pPr>
              <w:spacing w:after="0" w:line="240" w:lineRule="auto"/>
            </w:pPr>
            <w:r/>
            <w:r>
              <w:rPr>
                <w:rFonts w:ascii="Arial" w:hAnsi="Arial" w:eastAsia="Arial"/>
                <w:b w:val="0"/>
                <w:sz w:val="16"/>
              </w:rPr>
              <w:t>Rs. 450,000</w:t>
            </w:r>
          </w:p>
        </w:tc>
      </w:tr>
      <w:tr>
        <w:tc>
          <w:tcPr>
            <w:tcW w:type="dxa" w:w="6480"/>
            <w:vAlign w:val="top"/>
          </w:tcPr>
          <w:p>
            <w:pPr>
              <w:spacing w:after="0" w:line="240" w:lineRule="auto"/>
            </w:pPr>
            <w:r/>
            <w:r>
              <w:rPr>
                <w:rFonts w:ascii="Arial" w:hAnsi="Arial" w:eastAsia="Arial"/>
                <w:b w:val="0"/>
                <w:sz w:val="16"/>
              </w:rPr>
              <w:t>Tax at 5%</w:t>
            </w:r>
          </w:p>
        </w:tc>
        <w:tc>
          <w:tcPr>
            <w:tcW w:type="dxa" w:w="2448"/>
            <w:vAlign w:val="top"/>
          </w:tcPr>
          <w:p>
            <w:pPr>
              <w:spacing w:after="0" w:line="240" w:lineRule="auto"/>
            </w:pPr>
            <w:r/>
            <w:r>
              <w:rPr>
                <w:rFonts w:ascii="Arial" w:hAnsi="Arial" w:eastAsia="Arial"/>
                <w:b w:val="0"/>
                <w:sz w:val="16"/>
              </w:rPr>
              <w:t>Rs. 22,500</w:t>
            </w:r>
          </w:p>
        </w:tc>
      </w:tr>
      <w:tr>
        <w:tc>
          <w:tcPr>
            <w:tcW w:type="dxa" w:w="6480"/>
            <w:vAlign w:val="top"/>
          </w:tcPr>
          <w:p>
            <w:pPr>
              <w:spacing w:after="0" w:line="240" w:lineRule="auto"/>
            </w:pPr>
            <w:r/>
            <w:r>
              <w:rPr>
                <w:rFonts w:ascii="Arial" w:hAnsi="Arial" w:eastAsia="Arial"/>
                <w:b w:val="0"/>
                <w:sz w:val="16"/>
              </w:rPr>
              <w:t>Net amount payable</w:t>
            </w:r>
          </w:p>
        </w:tc>
        <w:tc>
          <w:tcPr>
            <w:tcW w:type="dxa" w:w="2448"/>
            <w:vAlign w:val="top"/>
          </w:tcPr>
          <w:p>
            <w:pPr>
              <w:spacing w:after="0" w:line="240" w:lineRule="auto"/>
            </w:pPr>
            <w:r/>
            <w:r>
              <w:rPr>
                <w:rFonts w:ascii="Arial" w:hAnsi="Arial" w:eastAsia="Arial"/>
                <w:b w:val="0"/>
                <w:sz w:val="16"/>
              </w:rPr>
              <w:t>Rs. 477,500</w:t>
            </w:r>
          </w:p>
        </w:tc>
      </w:tr>
    </w:tbl>
    <w:p/>
    <w:p>
      <w:pPr>
        <w:spacing w:after="80" w:line="252" w:lineRule="auto"/>
      </w:pPr>
      <w:r>
        <w:rPr>
          <w:rFonts w:ascii="Arial" w:hAnsi="Arial" w:eastAsia="Arial"/>
          <w:b w:val="0"/>
          <w:i w:val="0"/>
          <w:sz w:val="20"/>
        </w:rPr>
        <w:t>A company having dividend income must maintain a separate record of dividend income and dividend distributed from such income for each year in order to ensure that dividend tax is not levied again on the same dividend income.</w:t>
      </w:r>
    </w:p>
    <w:tbl>
      <w:tblPr>
        <w:tblStyle w:val="TableGrid"/>
        <w:tblW w:type="auto" w:w="0"/>
        <w:jc w:val="center"/>
        <w:tblLayout w:type="autofit"/>
        <w:tblLook w:firstColumn="1" w:firstRow="1" w:lastColumn="0" w:lastRow="0" w:noHBand="0" w:noVBand="1" w:val="04A0"/>
      </w:tblPr>
      <w:tblGrid>
        <w:gridCol w:w="2045"/>
        <w:gridCol w:w="2045"/>
        <w:gridCol w:w="2045"/>
        <w:gridCol w:w="2045"/>
        <w:gridCol w:w="2045"/>
      </w:tblGrid>
      <w:tr>
        <w:tc>
          <w:tcPr>
            <w:tcW w:type="dxa" w:w="1872"/>
            <w:vAlign w:val="top"/>
            <w:shd w:fill="D9EAF7"/>
          </w:tcPr>
          <w:p>
            <w:pPr>
              <w:spacing w:after="0" w:line="240" w:lineRule="auto"/>
            </w:pPr>
            <w:r/>
            <w:r>
              <w:rPr>
                <w:rFonts w:ascii="Arial" w:hAnsi="Arial" w:eastAsia="Arial"/>
                <w:b/>
                <w:sz w:val="15"/>
              </w:rPr>
              <w:t>Year dividend received</w:t>
            </w:r>
          </w:p>
        </w:tc>
        <w:tc>
          <w:tcPr>
            <w:tcW w:type="dxa" w:w="2016"/>
            <w:vAlign w:val="top"/>
            <w:shd w:fill="D9EAF7"/>
          </w:tcPr>
          <w:p>
            <w:pPr>
              <w:spacing w:after="0" w:line="240" w:lineRule="auto"/>
            </w:pPr>
            <w:r/>
            <w:r>
              <w:rPr>
                <w:rFonts w:ascii="Arial" w:hAnsi="Arial" w:eastAsia="Arial"/>
                <w:b/>
                <w:sz w:val="15"/>
              </w:rPr>
              <w:t>Opening balance of received dividend</w:t>
            </w:r>
          </w:p>
        </w:tc>
        <w:tc>
          <w:tcPr>
            <w:tcW w:type="dxa" w:w="1728"/>
            <w:vAlign w:val="top"/>
            <w:shd w:fill="D9EAF7"/>
          </w:tcPr>
          <w:p>
            <w:pPr>
              <w:spacing w:after="0" w:line="240" w:lineRule="auto"/>
            </w:pPr>
            <w:r/>
            <w:r>
              <w:rPr>
                <w:rFonts w:ascii="Arial" w:hAnsi="Arial" w:eastAsia="Arial"/>
                <w:b/>
                <w:sz w:val="15"/>
              </w:rPr>
              <w:t>Dividend received this year</w:t>
            </w:r>
          </w:p>
        </w:tc>
        <w:tc>
          <w:tcPr>
            <w:tcW w:type="dxa" w:w="2448"/>
            <w:vAlign w:val="top"/>
            <w:shd w:fill="D9EAF7"/>
          </w:tcPr>
          <w:p>
            <w:pPr>
              <w:spacing w:after="0" w:line="240" w:lineRule="auto"/>
            </w:pPr>
            <w:r/>
            <w:r>
              <w:rPr>
                <w:rFonts w:ascii="Arial" w:hAnsi="Arial" w:eastAsia="Arial"/>
                <w:b/>
                <w:sz w:val="15"/>
              </w:rPr>
              <w:t>Distributed this year from received dividend</w:t>
            </w:r>
          </w:p>
        </w:tc>
        <w:tc>
          <w:tcPr>
            <w:tcW w:type="dxa" w:w="1728"/>
            <w:vAlign w:val="top"/>
            <w:shd w:fill="D9EAF7"/>
          </w:tcPr>
          <w:p>
            <w:pPr>
              <w:spacing w:after="0" w:line="240" w:lineRule="auto"/>
            </w:pPr>
            <w:r/>
            <w:r>
              <w:rPr>
                <w:rFonts w:ascii="Arial" w:hAnsi="Arial" w:eastAsia="Arial"/>
                <w:b/>
                <w:sz w:val="15"/>
              </w:rPr>
              <w:t>Balance remaining</w:t>
            </w:r>
          </w:p>
        </w:tc>
      </w:tr>
      <w:tr>
        <w:tc>
          <w:tcPr>
            <w:tcW w:type="dxa" w:w="1872"/>
            <w:vAlign w:val="top"/>
          </w:tcPr>
          <w:p>
            <w:pPr>
              <w:spacing w:after="0" w:line="240" w:lineRule="auto"/>
            </w:pPr>
            <w:r/>
            <w:r>
              <w:rPr>
                <w:rFonts w:ascii="Arial" w:hAnsi="Arial" w:eastAsia="Arial"/>
                <w:b w:val="0"/>
                <w:sz w:val="15"/>
              </w:rPr>
              <w:t>Year 1</w:t>
            </w:r>
          </w:p>
        </w:tc>
        <w:tc>
          <w:tcPr>
            <w:tcW w:type="dxa" w:w="2016"/>
            <w:vAlign w:val="top"/>
          </w:tcPr>
          <w:p>
            <w:pPr>
              <w:spacing w:after="0" w:line="240" w:lineRule="auto"/>
            </w:pPr>
            <w:r/>
            <w:r>
              <w:rPr>
                <w:rFonts w:ascii="Arial" w:hAnsi="Arial" w:eastAsia="Arial"/>
                <w:b w:val="0"/>
                <w:sz w:val="15"/>
              </w:rPr>
              <w:t>1,000</w:t>
            </w:r>
          </w:p>
        </w:tc>
        <w:tc>
          <w:tcPr>
            <w:tcW w:type="dxa" w:w="1728"/>
            <w:vAlign w:val="top"/>
          </w:tcPr>
          <w:p>
            <w:pPr>
              <w:spacing w:after="0" w:line="240" w:lineRule="auto"/>
            </w:pPr>
            <w:r/>
            <w:r>
              <w:rPr>
                <w:rFonts w:ascii="Arial" w:hAnsi="Arial" w:eastAsia="Arial"/>
                <w:b w:val="0"/>
                <w:sz w:val="15"/>
              </w:rPr>
              <w:t>1,000</w:t>
            </w:r>
          </w:p>
        </w:tc>
        <w:tc>
          <w:tcPr>
            <w:tcW w:type="dxa" w:w="2448"/>
            <w:vAlign w:val="top"/>
          </w:tcPr>
          <w:p>
            <w:pPr>
              <w:spacing w:after="0" w:line="240" w:lineRule="auto"/>
            </w:pPr>
            <w:r/>
            <w:r>
              <w:rPr>
                <w:rFonts w:ascii="Arial" w:hAnsi="Arial" w:eastAsia="Arial"/>
                <w:b w:val="0"/>
                <w:sz w:val="15"/>
              </w:rPr>
              <w:t>-</w:t>
            </w:r>
          </w:p>
        </w:tc>
        <w:tc>
          <w:tcPr>
            <w:tcW w:type="dxa" w:w="1728"/>
            <w:vAlign w:val="top"/>
          </w:tcPr>
          <w:p>
            <w:pPr>
              <w:spacing w:after="0" w:line="240" w:lineRule="auto"/>
            </w:pPr>
            <w:r/>
            <w:r>
              <w:rPr>
                <w:rFonts w:ascii="Arial" w:hAnsi="Arial" w:eastAsia="Arial"/>
                <w:b w:val="0"/>
                <w:sz w:val="15"/>
              </w:rPr>
              <w:t>2,000</w:t>
            </w:r>
          </w:p>
        </w:tc>
      </w:tr>
      <w:tr>
        <w:tc>
          <w:tcPr>
            <w:tcW w:type="dxa" w:w="1872"/>
            <w:vAlign w:val="top"/>
          </w:tcPr>
          <w:p>
            <w:pPr>
              <w:spacing w:after="0" w:line="240" w:lineRule="auto"/>
            </w:pPr>
            <w:r/>
            <w:r>
              <w:rPr>
                <w:rFonts w:ascii="Arial" w:hAnsi="Arial" w:eastAsia="Arial"/>
                <w:b w:val="0"/>
                <w:sz w:val="15"/>
              </w:rPr>
              <w:t>Year 2</w:t>
            </w:r>
          </w:p>
        </w:tc>
        <w:tc>
          <w:tcPr>
            <w:tcW w:type="dxa" w:w="2016"/>
            <w:vAlign w:val="top"/>
          </w:tcPr>
          <w:p>
            <w:pPr>
              <w:spacing w:after="0" w:line="240" w:lineRule="auto"/>
            </w:pPr>
            <w:r/>
            <w:r>
              <w:rPr>
                <w:rFonts w:ascii="Arial" w:hAnsi="Arial" w:eastAsia="Arial"/>
                <w:b w:val="0"/>
                <w:sz w:val="15"/>
              </w:rPr>
              <w:t>2,000</w:t>
            </w:r>
          </w:p>
        </w:tc>
        <w:tc>
          <w:tcPr>
            <w:tcW w:type="dxa" w:w="1728"/>
            <w:vAlign w:val="top"/>
          </w:tcPr>
          <w:p>
            <w:pPr>
              <w:spacing w:after="0" w:line="240" w:lineRule="auto"/>
            </w:pPr>
            <w:r/>
            <w:r>
              <w:rPr>
                <w:rFonts w:ascii="Arial" w:hAnsi="Arial" w:eastAsia="Arial"/>
                <w:b w:val="0"/>
                <w:sz w:val="15"/>
              </w:rPr>
              <w:t>2,000</w:t>
            </w:r>
          </w:p>
        </w:tc>
        <w:tc>
          <w:tcPr>
            <w:tcW w:type="dxa" w:w="2448"/>
            <w:vAlign w:val="top"/>
          </w:tcPr>
          <w:p>
            <w:pPr>
              <w:spacing w:after="0" w:line="240" w:lineRule="auto"/>
            </w:pPr>
            <w:r/>
            <w:r>
              <w:rPr>
                <w:rFonts w:ascii="Arial" w:hAnsi="Arial" w:eastAsia="Arial"/>
                <w:b w:val="0"/>
                <w:sz w:val="15"/>
              </w:rPr>
              <w:t>1,500</w:t>
            </w:r>
          </w:p>
        </w:tc>
        <w:tc>
          <w:tcPr>
            <w:tcW w:type="dxa" w:w="1728"/>
            <w:vAlign w:val="top"/>
          </w:tcPr>
          <w:p>
            <w:pPr>
              <w:spacing w:after="0" w:line="240" w:lineRule="auto"/>
            </w:pPr>
            <w:r/>
            <w:r>
              <w:rPr>
                <w:rFonts w:ascii="Arial" w:hAnsi="Arial" w:eastAsia="Arial"/>
                <w:b w:val="0"/>
                <w:sz w:val="15"/>
              </w:rPr>
              <w:t>2,500</w:t>
            </w:r>
          </w:p>
        </w:tc>
      </w:tr>
      <w:tr>
        <w:tc>
          <w:tcPr>
            <w:tcW w:type="dxa" w:w="1872"/>
            <w:vAlign w:val="top"/>
          </w:tcPr>
          <w:p>
            <w:pPr>
              <w:spacing w:after="0" w:line="240" w:lineRule="auto"/>
            </w:pPr>
            <w:r/>
            <w:r>
              <w:rPr>
                <w:rFonts w:ascii="Arial" w:hAnsi="Arial" w:eastAsia="Arial"/>
                <w:b w:val="0"/>
                <w:sz w:val="15"/>
              </w:rPr>
              <w:t>Year 3</w:t>
            </w:r>
          </w:p>
        </w:tc>
        <w:tc>
          <w:tcPr>
            <w:tcW w:type="dxa" w:w="2016"/>
            <w:vAlign w:val="top"/>
          </w:tcPr>
          <w:p>
            <w:pPr>
              <w:spacing w:after="0" w:line="240" w:lineRule="auto"/>
            </w:pPr>
            <w:r/>
            <w:r>
              <w:rPr>
                <w:rFonts w:ascii="Arial" w:hAnsi="Arial" w:eastAsia="Arial"/>
                <w:b w:val="0"/>
                <w:sz w:val="15"/>
              </w:rPr>
              <w:t>2,500</w:t>
            </w:r>
          </w:p>
        </w:tc>
        <w:tc>
          <w:tcPr>
            <w:tcW w:type="dxa" w:w="1728"/>
            <w:vAlign w:val="top"/>
          </w:tcPr>
          <w:p>
            <w:pPr>
              <w:spacing w:after="0" w:line="240" w:lineRule="auto"/>
            </w:pPr>
            <w:r/>
            <w:r>
              <w:rPr>
                <w:rFonts w:ascii="Arial" w:hAnsi="Arial" w:eastAsia="Arial"/>
                <w:b w:val="0"/>
                <w:sz w:val="15"/>
              </w:rPr>
              <w:t>-</w:t>
            </w:r>
          </w:p>
        </w:tc>
        <w:tc>
          <w:tcPr>
            <w:tcW w:type="dxa" w:w="2448"/>
            <w:vAlign w:val="top"/>
          </w:tcPr>
          <w:p>
            <w:pPr>
              <w:spacing w:after="0" w:line="240" w:lineRule="auto"/>
            </w:pPr>
            <w:r/>
            <w:r>
              <w:rPr>
                <w:rFonts w:ascii="Arial" w:hAnsi="Arial" w:eastAsia="Arial"/>
                <w:b w:val="0"/>
                <w:sz w:val="15"/>
              </w:rPr>
              <w:t>2,500</w:t>
            </w:r>
          </w:p>
        </w:tc>
        <w:tc>
          <w:tcPr>
            <w:tcW w:type="dxa" w:w="1728"/>
            <w:vAlign w:val="top"/>
          </w:tcPr>
          <w:p>
            <w:pPr>
              <w:spacing w:after="0" w:line="240" w:lineRule="auto"/>
            </w:pPr>
            <w:r/>
            <w:r>
              <w:rPr>
                <w:rFonts w:ascii="Arial" w:hAnsi="Arial" w:eastAsia="Arial"/>
                <w:b w:val="0"/>
                <w:sz w:val="15"/>
              </w:rPr>
              <w:t>0</w:t>
            </w:r>
          </w:p>
        </w:tc>
      </w:tr>
      <w:tr>
        <w:tc>
          <w:tcPr>
            <w:tcW w:type="dxa" w:w="1872"/>
            <w:vAlign w:val="top"/>
          </w:tcPr>
          <w:p>
            <w:pPr>
              <w:spacing w:after="0" w:line="240" w:lineRule="auto"/>
            </w:pPr>
            <w:r/>
            <w:r>
              <w:rPr>
                <w:rFonts w:ascii="Arial" w:hAnsi="Arial" w:eastAsia="Arial"/>
                <w:b w:val="0"/>
                <w:sz w:val="15"/>
              </w:rPr>
              <w:t>Year 4</w:t>
            </w:r>
          </w:p>
        </w:tc>
        <w:tc>
          <w:tcPr>
            <w:tcW w:type="dxa" w:w="2016"/>
            <w:vAlign w:val="top"/>
          </w:tcPr>
          <w:p>
            <w:pPr>
              <w:spacing w:after="0" w:line="240" w:lineRule="auto"/>
            </w:pPr>
            <w:r/>
            <w:r>
              <w:rPr>
                <w:rFonts w:ascii="Arial" w:hAnsi="Arial" w:eastAsia="Arial"/>
                <w:b w:val="0"/>
                <w:sz w:val="15"/>
              </w:rPr>
              <w:t>0</w:t>
            </w:r>
          </w:p>
        </w:tc>
        <w:tc>
          <w:tcPr>
            <w:tcW w:type="dxa" w:w="1728"/>
            <w:vAlign w:val="top"/>
          </w:tcPr>
          <w:p>
            <w:pPr>
              <w:spacing w:after="0" w:line="240" w:lineRule="auto"/>
            </w:pPr>
            <w:r/>
            <w:r>
              <w:rPr>
                <w:rFonts w:ascii="Arial" w:hAnsi="Arial" w:eastAsia="Arial"/>
                <w:b w:val="0"/>
                <w:sz w:val="15"/>
              </w:rPr>
              <w:t>2,000</w:t>
            </w:r>
          </w:p>
        </w:tc>
        <w:tc>
          <w:tcPr>
            <w:tcW w:type="dxa" w:w="2448"/>
            <w:vAlign w:val="top"/>
          </w:tcPr>
          <w:p>
            <w:pPr>
              <w:spacing w:after="0" w:line="240" w:lineRule="auto"/>
            </w:pPr>
            <w:r/>
            <w:r>
              <w:rPr>
                <w:rFonts w:ascii="Arial" w:hAnsi="Arial" w:eastAsia="Arial"/>
                <w:b w:val="0"/>
                <w:sz w:val="15"/>
              </w:rPr>
              <w:t>1,000</w:t>
            </w:r>
          </w:p>
        </w:tc>
        <w:tc>
          <w:tcPr>
            <w:tcW w:type="dxa" w:w="1728"/>
            <w:vAlign w:val="top"/>
          </w:tcPr>
          <w:p>
            <w:pPr>
              <w:spacing w:after="0" w:line="240" w:lineRule="auto"/>
            </w:pPr>
            <w:r/>
            <w:r>
              <w:rPr>
                <w:rFonts w:ascii="Arial" w:hAnsi="Arial" w:eastAsia="Arial"/>
                <w:b w:val="0"/>
                <w:sz w:val="15"/>
              </w:rPr>
              <w:t>1,000</w:t>
            </w:r>
          </w:p>
        </w:tc>
      </w:tr>
      <w:tr>
        <w:tc>
          <w:tcPr>
            <w:tcW w:type="dxa" w:w="1872"/>
            <w:vAlign w:val="top"/>
          </w:tcPr>
          <w:p>
            <w:pPr>
              <w:spacing w:after="0" w:line="240" w:lineRule="auto"/>
            </w:pPr>
            <w:r/>
            <w:r>
              <w:rPr>
                <w:rFonts w:ascii="Arial" w:hAnsi="Arial" w:eastAsia="Arial"/>
                <w:b w:val="0"/>
                <w:sz w:val="15"/>
              </w:rPr>
              <w:t>Year 5</w:t>
            </w:r>
          </w:p>
        </w:tc>
        <w:tc>
          <w:tcPr>
            <w:tcW w:type="dxa" w:w="2016"/>
            <w:vAlign w:val="top"/>
          </w:tcPr>
          <w:p>
            <w:pPr>
              <w:spacing w:after="0" w:line="240" w:lineRule="auto"/>
            </w:pPr>
            <w:r/>
            <w:r>
              <w:rPr>
                <w:rFonts w:ascii="Arial" w:hAnsi="Arial" w:eastAsia="Arial"/>
                <w:b w:val="0"/>
                <w:sz w:val="15"/>
              </w:rPr>
              <w:t>1,000</w:t>
            </w:r>
          </w:p>
        </w:tc>
        <w:tc>
          <w:tcPr>
            <w:tcW w:type="dxa" w:w="1728"/>
            <w:vAlign w:val="top"/>
          </w:tcPr>
          <w:p>
            <w:pPr>
              <w:spacing w:after="0" w:line="240" w:lineRule="auto"/>
            </w:pPr>
            <w:r/>
            <w:r>
              <w:rPr>
                <w:rFonts w:ascii="Arial" w:hAnsi="Arial" w:eastAsia="Arial"/>
                <w:b w:val="0"/>
                <w:sz w:val="15"/>
              </w:rPr>
              <w:t>3,000</w:t>
            </w:r>
          </w:p>
        </w:tc>
        <w:tc>
          <w:tcPr>
            <w:tcW w:type="dxa" w:w="2448"/>
            <w:vAlign w:val="top"/>
          </w:tcPr>
          <w:p>
            <w:pPr>
              <w:spacing w:after="0" w:line="240" w:lineRule="auto"/>
            </w:pPr>
            <w:r/>
            <w:r>
              <w:rPr>
                <w:rFonts w:ascii="Arial" w:hAnsi="Arial" w:eastAsia="Arial"/>
                <w:b w:val="0"/>
                <w:sz w:val="15"/>
              </w:rPr>
              <w:t>1,800</w:t>
            </w:r>
          </w:p>
        </w:tc>
        <w:tc>
          <w:tcPr>
            <w:tcW w:type="dxa" w:w="1728"/>
            <w:vAlign w:val="top"/>
          </w:tcPr>
          <w:p>
            <w:pPr>
              <w:spacing w:after="0" w:line="240" w:lineRule="auto"/>
            </w:pPr>
            <w:r/>
            <w:r>
              <w:rPr>
                <w:rFonts w:ascii="Arial" w:hAnsi="Arial" w:eastAsia="Arial"/>
                <w:b w:val="0"/>
                <w:sz w:val="15"/>
              </w:rPr>
              <w:t>2,200</w:t>
            </w:r>
          </w:p>
        </w:tc>
      </w:tr>
    </w:tbl>
    <w:p/>
    <w:p>
      <w:pPr>
        <w:spacing w:after="80" w:line="252" w:lineRule="auto"/>
      </w:pPr>
      <w:r>
        <w:rPr>
          <w:rFonts w:ascii="Arial" w:hAnsi="Arial" w:eastAsia="Arial"/>
          <w:b w:val="0"/>
          <w:i w:val="0"/>
          <w:sz w:val="20"/>
        </w:rPr>
        <w:t>54(5) The amounts derived under Chapter 8 by a beneficiary in respect of the beneficiary’s interest in an entity shall include any return of capital made by the entity in respect of that interest. However, dividend distributed by the entity is not required to be included.</w:t>
      </w:r>
    </w:p>
    <w:p>
      <w:pPr>
        <w:pStyle w:val="Heading2"/>
      </w:pPr>
      <w:r>
        <w:t>13.7 Liquidation of an Entity</w:t>
      </w:r>
    </w:p>
    <w:p>
      <w:pPr>
        <w:spacing w:after="80" w:line="252" w:lineRule="auto"/>
      </w:pPr>
      <w:r>
        <w:rPr>
          <w:rFonts w:ascii="Arial" w:hAnsi="Arial" w:eastAsia="Arial"/>
          <w:b w:val="0"/>
          <w:i w:val="0"/>
          <w:sz w:val="20"/>
        </w:rPr>
        <w:t>Section 55 of the Act provides as follows regarding liquidation of an entity:</w:t>
      </w:r>
    </w:p>
    <w:p>
      <w:pPr>
        <w:spacing w:after="80" w:line="252" w:lineRule="auto"/>
      </w:pPr>
      <w:r>
        <w:rPr>
          <w:rFonts w:ascii="Arial" w:hAnsi="Arial" w:eastAsia="Arial"/>
          <w:b w:val="0"/>
          <w:i w:val="0"/>
          <w:sz w:val="20"/>
        </w:rPr>
        <w:t>55(1) In the course of liquidation of an entity, where interests are disposed of and distribution is made to a beneficiary in proportion to the beneficiary’s share of profit and contribution of capital, such distribution shall be treated as partly dividend and partly repayment of capital of that entity if all of the following conditions are satisfied:</w:t>
      </w:r>
    </w:p>
    <w:p>
      <w:pPr>
        <w:spacing w:after="80" w:line="252" w:lineRule="auto"/>
      </w:pPr>
      <w:r>
        <w:rPr>
          <w:rFonts w:ascii="Arial" w:hAnsi="Arial" w:eastAsia="Arial"/>
          <w:b w:val="0"/>
          <w:i w:val="0"/>
          <w:sz w:val="20"/>
        </w:rPr>
        <w:t>(a) the distribution is made by reason of purchase by the entity of its interest in accordance with the procedures of the prevailing law, or by reason of cancellation, redemption or surrender of the interest in the entity, including liquidation of the entity;</w:t>
      </w:r>
    </w:p>
    <w:p>
      <w:pPr>
        <w:spacing w:after="80" w:line="252" w:lineRule="auto"/>
      </w:pPr>
      <w:r>
        <w:rPr>
          <w:rFonts w:ascii="Arial" w:hAnsi="Arial" w:eastAsia="Arial"/>
          <w:b w:val="0"/>
          <w:i w:val="0"/>
          <w:sz w:val="20"/>
        </w:rPr>
        <w:t>(b) except in the case of full liquidation, the distribution is not computed, or cannot reasonably be computed, in an appropriate proportion of the beneficiaries’ rights in the profit of that entity; and</w:t>
      </w:r>
    </w:p>
    <w:p>
      <w:pPr>
        <w:spacing w:after="80" w:line="252" w:lineRule="auto"/>
      </w:pPr>
      <w:r>
        <w:rPr>
          <w:rFonts w:ascii="Arial" w:hAnsi="Arial" w:eastAsia="Arial"/>
          <w:b w:val="0"/>
          <w:i w:val="0"/>
          <w:sz w:val="20"/>
        </w:rPr>
        <w:t>(c) after such disposal, the beneficiary receiving the distribution is not an associated person of the entity.</w:t>
      </w:r>
    </w:p>
    <w:p>
      <w:pPr>
        <w:spacing w:after="80" w:line="252" w:lineRule="auto"/>
      </w:pPr>
      <w:r>
        <w:rPr>
          <w:rFonts w:ascii="Arial" w:hAnsi="Arial" w:eastAsia="Arial"/>
          <w:b w:val="0"/>
          <w:i w:val="0"/>
          <w:sz w:val="20"/>
        </w:rPr>
        <w:t>Under the principles explained above, a payment by an entity is treated as distribution up to the amount of profit at market value, measured as net worth at market price less paid-up capital. However, where payment is made to a beneficiary in connection with change in share structure, such as buyback, forfeiture, surrender, internal reconstruction or redemption, the Act allocates the payment under a capital-refund-first approach even though, under the general profit-first approach, the paid-up amount of shares could otherwise be treated as returned capital. A change in share structure means a change in the number of shares of an entity having numbered shares and, in other entities such as a joint venture, a change in the amount of the interest. Even where there is only a partial change in share structure, the Act treats it as liquidation for this purpose. However, in the case of full liquidation and final payment, the profit-first approach applies.</w:t>
      </w:r>
    </w:p>
    <w:p>
      <w:pPr>
        <w:spacing w:after="80" w:line="252" w:lineRule="auto"/>
      </w:pPr>
      <w:r>
        <w:rPr>
          <w:rFonts w:ascii="Arial" w:hAnsi="Arial" w:eastAsia="Arial"/>
          <w:b/>
          <w:i w:val="0"/>
          <w:sz w:val="20"/>
        </w:rPr>
        <w:t>Example 13.7.1:</w:t>
      </w:r>
    </w:p>
    <w:p>
      <w:pPr>
        <w:spacing w:after="80" w:line="252" w:lineRule="auto"/>
      </w:pPr>
      <w:r>
        <w:rPr>
          <w:rFonts w:ascii="Arial" w:hAnsi="Arial" w:eastAsia="Arial"/>
          <w:b w:val="0"/>
          <w:i w:val="0"/>
          <w:sz w:val="20"/>
        </w:rPr>
        <w:t>Assume that Lalitpur Company Ltd. has paid-up capital of Rs. 60 million. The company is fully liquidated, and from disposal of its assets Rs. 70 million is received. In full liquidation, the capital component and gain component are calculated according to the profit-first approach. Therefore, of the payment amount, the first Rs. 10 million is treated as distribution and the balance Rs. 60 million as return of capital. If only Rs. 30 million is distributed, however, the payment is allocated under Section 55(1) on a capital-first basis as partial capital return and partial distribution. If the market value of assets before distribution is Rs. 70 million, the Rs. 30 million distributed is allocated as follows: capital return = 600/700 x Rs. 30 million = Rs. 25.713 million; distribution = Rs. 4.287 million. Dividend tax applies on the amount treated as distribution.</w:t>
      </w:r>
    </w:p>
    <w:p>
      <w:pPr>
        <w:spacing w:after="80" w:line="252" w:lineRule="auto"/>
      </w:pPr>
      <w:r>
        <w:rPr>
          <w:rFonts w:ascii="Arial" w:hAnsi="Arial" w:eastAsia="Arial"/>
          <w:b/>
          <w:i w:val="0"/>
          <w:sz w:val="20"/>
        </w:rPr>
        <w:t>Example 13.7.2:</w:t>
      </w:r>
    </w:p>
    <w:p>
      <w:pPr>
        <w:spacing w:after="80" w:line="252" w:lineRule="auto"/>
      </w:pPr>
      <w:r>
        <w:rPr>
          <w:rFonts w:ascii="Arial" w:hAnsi="Arial" w:eastAsia="Arial"/>
          <w:b w:val="0"/>
          <w:i w:val="0"/>
          <w:sz w:val="20"/>
        </w:rPr>
        <w:t>In the above example, if the total value of assets realised is only Rs. 40 million, distribution = market value of net assets at the time of payment - paid-up capital = Rs. 40 million - Rs. 60 million = negative Rs. 20 million. Since paid-up capital is Rs. 60 million and only Rs. 40 million is paid, the whole amount is treated as return of capital.</w:t>
      </w:r>
    </w:p>
    <w:p>
      <w:pPr>
        <w:spacing w:after="80" w:line="252" w:lineRule="auto"/>
      </w:pPr>
      <w:r>
        <w:rPr>
          <w:rFonts w:ascii="Arial" w:hAnsi="Arial" w:eastAsia="Arial"/>
          <w:b w:val="0"/>
          <w:i w:val="0"/>
          <w:sz w:val="20"/>
        </w:rPr>
        <w:t>55(2) Notwithstanding subsection (1), where an entity purchases the interest of a beneficiary in that entity through a recognised stock exchange market under the prevailing law and makes a payment to that beneficiary, subsection (1) and Section 53 shall not apply to such distribution.</w:t>
      </w:r>
    </w:p>
    <w:p>
      <w:pPr>
        <w:spacing w:after="80" w:line="252" w:lineRule="auto"/>
      </w:pPr>
      <w:r>
        <w:rPr>
          <w:rFonts w:ascii="Arial" w:hAnsi="Arial" w:eastAsia="Arial"/>
          <w:b w:val="0"/>
          <w:i w:val="0"/>
          <w:sz w:val="20"/>
        </w:rPr>
        <w:t>Except within the above conditions and restrictions, payments to shareholders under any name, condition, manner, period or circumstance are either distributions or returns of capital. However, where a listed company invests in its own shares through a stock exchange as permitted by company law, such investment is treated as treasury stock investment. In such case, although payment is made to shareholders, the payment is not treated as distribution or return of capital.</w:t>
      </w:r>
    </w:p>
    <w:p>
      <w:pPr>
        <w:spacing w:after="80" w:line="252" w:lineRule="auto"/>
      </w:pPr>
      <w:r>
        <w:rPr>
          <w:rFonts w:ascii="Arial" w:hAnsi="Arial" w:eastAsia="Arial"/>
          <w:b/>
          <w:i w:val="0"/>
          <w:sz w:val="20"/>
        </w:rPr>
        <w:t>Example 13.7.3:</w:t>
      </w:r>
    </w:p>
    <w:p>
      <w:pPr>
        <w:spacing w:after="80" w:line="252" w:lineRule="auto"/>
      </w:pPr>
      <w:r>
        <w:rPr>
          <w:rFonts w:ascii="Arial" w:hAnsi="Arial" w:eastAsia="Arial"/>
          <w:b w:val="0"/>
          <w:i w:val="0"/>
          <w:sz w:val="20"/>
        </w:rPr>
        <w:t>Nepal Danfe Company Ltd. purchases 1,000 shares of Rs. 100 each of its own company, owned by its shareholders, through the Nepal Stock Exchange at Rs. 500 per share. This is treated as an investment by the company in its own shares, namely treasury stock investment. The shareholder selling the shares receives Rs. 500,000. This amount is not treated as distribution of profit or return of capital under Section 53, but only as an investment transaction similar to sale of shares of another company. Since Section 53 is not attracted, tax is imposed on the gain computed under Section 36.</w:t>
      </w:r>
    </w:p>
    <w:p>
      <w:pPr>
        <w:pStyle w:val="Heading2"/>
      </w:pPr>
      <w:r>
        <w:t>13.8 Transactions between an Entity and a Beneficiary</w:t>
      </w:r>
    </w:p>
    <w:p>
      <w:pPr>
        <w:spacing w:after="80" w:line="252" w:lineRule="auto"/>
      </w:pPr>
      <w:r>
        <w:rPr>
          <w:rFonts w:ascii="Arial" w:hAnsi="Arial" w:eastAsia="Arial"/>
          <w:b w:val="0"/>
          <w:i w:val="0"/>
          <w:sz w:val="20"/>
        </w:rPr>
        <w:t>Section 56 of the Act provides as follows regarding transactions between an entity and its beneficiary:</w:t>
      </w:r>
    </w:p>
    <w:p>
      <w:pPr>
        <w:spacing w:after="80" w:line="252" w:lineRule="auto"/>
      </w:pPr>
      <w:r>
        <w:rPr>
          <w:rFonts w:ascii="Arial" w:hAnsi="Arial" w:eastAsia="Arial"/>
          <w:b w:val="0"/>
          <w:i w:val="0"/>
          <w:sz w:val="20"/>
        </w:rPr>
        <w:t>56(1) Subject to Section 45, where an asset is disposed of by transfer of ownership of the asset between an entity and a beneficiary of that entity, whether by way of distribution or in any other manner, the following shall apply: (a) the transferor shall be treated as deriving from the disposal an amount equal to the market value of the asset immediately before the disposal; and (b) the transferee shall be treated as incurring cost equal to the amount referred to in clause (a) in acquiring the asset.</w:t>
      </w:r>
    </w:p>
    <w:p>
      <w:pPr>
        <w:spacing w:after="80" w:line="252" w:lineRule="auto"/>
      </w:pPr>
      <w:r>
        <w:rPr>
          <w:rFonts w:ascii="Arial" w:hAnsi="Arial" w:eastAsia="Arial"/>
          <w:b w:val="0"/>
          <w:i w:val="0"/>
          <w:sz w:val="20"/>
        </w:rPr>
        <w:t>56(2) Subject to Section 45, where a liability is disposed of by transfer of the liability between an entity and a beneficiary of that entity, the following shall apply: (a) the transferor shall be treated as incurring cost on disposal of the liability equal to the market value of the liability immediately before the disposal; and (b) the transferee shall be treated as deriving an amount equal to the amount referred to in clause (a) when taking over the liability.</w:t>
      </w:r>
    </w:p>
    <w:p>
      <w:pPr>
        <w:spacing w:after="80" w:line="252" w:lineRule="auto"/>
      </w:pPr>
      <w:r>
        <w:rPr>
          <w:rFonts w:ascii="Arial" w:hAnsi="Arial" w:eastAsia="Arial"/>
          <w:b w:val="0"/>
          <w:i w:val="0"/>
          <w:sz w:val="20"/>
        </w:rPr>
        <w:t>Section 56(1) and (2) relate to disposal by transfer of ownership of assets and liabilities between an entity and its beneficiaries. Under this section, transactions between a beneficiary and an entity are quantified as follows:</w:t>
      </w:r>
    </w:p>
    <w:p>
      <w:pPr>
        <w:spacing w:after="40" w:line="252" w:lineRule="auto"/>
        <w:ind w:left="360" w:hanging="216"/>
      </w:pPr>
      <w:r>
        <w:rPr>
          <w:rFonts w:ascii="Arial" w:hAnsi="Arial" w:eastAsia="Arial"/>
          <w:sz w:val="20"/>
        </w:rPr>
        <w:t>• If the transfer satisfies the conditions of Section 45(6), the asset is taken at net outgoings and the liability at net incomings.</w:t>
      </w:r>
    </w:p>
    <w:p>
      <w:pPr>
        <w:spacing w:after="40" w:line="252" w:lineRule="auto"/>
        <w:ind w:left="360" w:hanging="216"/>
      </w:pPr>
      <w:r>
        <w:rPr>
          <w:rFonts w:ascii="Arial" w:hAnsi="Arial" w:eastAsia="Arial"/>
          <w:sz w:val="20"/>
        </w:rPr>
        <w:t>• If the transfer does not satisfy the conditions of Section 45(6), it is treated as disposed of and transferred at market value. The transferor entity must include the gain on disposal in income.</w:t>
      </w:r>
    </w:p>
    <w:p>
      <w:pPr>
        <w:spacing w:after="80" w:line="252" w:lineRule="auto"/>
      </w:pPr>
      <w:r>
        <w:rPr>
          <w:rFonts w:ascii="Arial" w:hAnsi="Arial" w:eastAsia="Arial"/>
          <w:b/>
          <w:i w:val="0"/>
          <w:sz w:val="20"/>
        </w:rPr>
        <w:t>Example 13.8.1:</w:t>
      </w:r>
    </w:p>
    <w:p>
      <w:pPr>
        <w:spacing w:after="80" w:line="252" w:lineRule="auto"/>
      </w:pPr>
      <w:r>
        <w:rPr>
          <w:rFonts w:ascii="Arial" w:hAnsi="Arial" w:eastAsia="Arial"/>
          <w:b w:val="0"/>
          <w:i w:val="0"/>
          <w:sz w:val="20"/>
        </w:rPr>
        <w:t>Assume that Danfe Company Ltd. is a car dealer, and Lakpa Sherpa holds 40 percent of its shares. The company sells to Lakpa Sherpa a car costing Rs. 1,500,000 for Rs. 800,000. The company must include Rs. 1,500,000 in computing its business income. Because the transfer does not satisfy the conditions of Section 45(6), it is quantified at market value, that is, Rs. 1,500,000. For purposes of Section 53, the difference payment of Rs. 700,000 is treated as distribution.</w:t>
      </w:r>
    </w:p>
    <w:p>
      <w:pPr>
        <w:spacing w:after="80" w:line="252" w:lineRule="auto"/>
      </w:pPr>
      <w:r>
        <w:rPr>
          <w:rFonts w:ascii="Arial" w:hAnsi="Arial" w:eastAsia="Arial"/>
          <w:b/>
          <w:i w:val="0"/>
          <w:sz w:val="20"/>
        </w:rPr>
        <w:t>Example 13.8.2:</w:t>
      </w:r>
    </w:p>
    <w:p>
      <w:pPr>
        <w:spacing w:after="80" w:line="252" w:lineRule="auto"/>
      </w:pPr>
      <w:r>
        <w:rPr>
          <w:rFonts w:ascii="Arial" w:hAnsi="Arial" w:eastAsia="Arial"/>
          <w:b w:val="0"/>
          <w:i w:val="0"/>
          <w:sz w:val="20"/>
        </w:rPr>
        <w:t>Assume that Chheten Dorje is a shareholder and managing director of Shital Garment Pvt. Ltd., a company engaged in garment production. He purchases from the company garments costing Rs. 500 for Rs. 100. He is both managing director and beneficiary. If he does not include the benefit of Rs. 400 in his own income, Rs. 400 is included in the company’s income and treated as distribution from the company to him. Where a beneficiary receives a benefit, cash or goods from an entity in more than one capacity, it must be quantified in the capacity in which it is received. If, in this example, Chheten received the concessional garments in the capacity of managing director, such as where other employees also receive that facility, the difference amount would be included in his employment income. If the concession is not received as employee benefit, it is treated as distribution to him. In all cases, Shital Garment is treated as disposing of the garments for Rs. 500.</w:t>
      </w:r>
    </w:p>
    <w:p>
      <w:pPr>
        <w:pStyle w:val="Heading2"/>
      </w:pPr>
      <w:r>
        <w:t>13.9 Distribution of Dividend from Amount Other Than Profit</w:t>
      </w:r>
    </w:p>
    <w:p>
      <w:pPr>
        <w:spacing w:after="80" w:line="252" w:lineRule="auto"/>
      </w:pPr>
      <w:r>
        <w:rPr>
          <w:rFonts w:ascii="Arial" w:hAnsi="Arial" w:eastAsia="Arial"/>
          <w:b w:val="0"/>
          <w:i w:val="0"/>
          <w:sz w:val="20"/>
        </w:rPr>
        <w:t>The Act provides that where an entity distributes dividend from an amount other than its profit, gain or income, the amount so distributed is income of that entity. Section 56(3) provides:</w:t>
      </w:r>
    </w:p>
    <w:p>
      <w:pPr>
        <w:spacing w:after="80" w:line="252" w:lineRule="auto"/>
      </w:pPr>
      <w:r>
        <w:rPr>
          <w:rFonts w:ascii="Arial" w:hAnsi="Arial" w:eastAsia="Arial"/>
          <w:b w:val="0"/>
          <w:i w:val="0"/>
          <w:sz w:val="20"/>
        </w:rPr>
        <w:t>56(3) Where an entity distributes to a beneficiary a dividend out of an amount other than profit, the amount of such dividend shall be included in computing the income of that entity. Provided that this subsection may be prescribed not to apply in any prescribed circumstances.</w:t>
      </w:r>
    </w:p>
    <w:p>
      <w:pPr>
        <w:spacing w:after="80" w:line="252" w:lineRule="auto"/>
      </w:pPr>
      <w:r>
        <w:rPr>
          <w:rFonts w:ascii="Arial" w:hAnsi="Arial" w:eastAsia="Arial"/>
          <w:b w:val="0"/>
          <w:i w:val="0"/>
          <w:sz w:val="20"/>
        </w:rPr>
        <w:t>Rule 18 of the Income Tax Rules provides as follows:</w:t>
      </w:r>
    </w:p>
    <w:p>
      <w:pPr>
        <w:spacing w:after="80" w:line="252" w:lineRule="auto"/>
      </w:pPr>
      <w:r>
        <w:rPr>
          <w:rFonts w:ascii="Arial" w:hAnsi="Arial" w:eastAsia="Arial"/>
          <w:b w:val="0"/>
          <w:i w:val="0"/>
          <w:sz w:val="20"/>
        </w:rPr>
        <w:t>18(1) For the purposes of the proviso to Section 56(3) of the Act, where an entity distributes to a beneficiary, for reasons other than in the course of carrying on the business of the entity, a dividend other than from profit in respect of the following, such amount shall not be required to be included in income: (a) services provided by the entity to the beneficiary; or (b) property owned by the entity and made available for the use of the beneficiary.</w:t>
      </w:r>
    </w:p>
    <w:p>
      <w:pPr>
        <w:spacing w:after="80" w:line="252" w:lineRule="auto"/>
      </w:pPr>
      <w:r>
        <w:rPr>
          <w:rFonts w:ascii="Arial" w:hAnsi="Arial" w:eastAsia="Arial"/>
          <w:b w:val="0"/>
          <w:i w:val="0"/>
          <w:sz w:val="20"/>
        </w:rPr>
        <w:t>18(2) In a case referred to in sub-rule (1), no deduction, including depreciation, shall be allowed in relation to such service or property.</w:t>
      </w:r>
    </w:p>
    <w:p>
      <w:pPr>
        <w:spacing w:after="80" w:line="252" w:lineRule="auto"/>
      </w:pPr>
      <w:r>
        <w:rPr>
          <w:rFonts w:ascii="Arial" w:hAnsi="Arial" w:eastAsia="Arial"/>
          <w:b w:val="0"/>
          <w:i w:val="0"/>
          <w:sz w:val="20"/>
        </w:rPr>
        <w:t>Under the above provisions of the Act and the Rules, if an entity distributes to its beneficiaries a dividend out of any amount other than profit, except the amounts mentioned in Rule 18(1), such dividend amount must be included in computing the income of the entity. Where an entity distributes as dividend any profit, gain or income that has not been reflected in its profit and loss account, the amount so distributed must also be included in the income of the entity in the income year in which it is distributed.</w:t>
      </w:r>
    </w:p>
    <w:p>
      <w:pPr>
        <w:pStyle w:val="Heading2"/>
      </w:pPr>
      <w:r>
        <w:t>13.10 Change in Ownership</w:t>
      </w:r>
    </w:p>
    <w:p>
      <w:pPr>
        <w:spacing w:after="80" w:line="252" w:lineRule="auto"/>
      </w:pPr>
      <w:r>
        <w:rPr>
          <w:rFonts w:ascii="Arial" w:hAnsi="Arial" w:eastAsia="Arial"/>
          <w:b w:val="0"/>
          <w:i w:val="0"/>
          <w:sz w:val="20"/>
        </w:rPr>
        <w:t>Section 57 of the Act contains special provisions regarding the circumstances in which ownership of an entity changes and the consequences for income tax purposes. Where there is a change of 50 percent or more in ownership of an entity compared with ownership up to three years before, the ownership of that entity is treated as changed. When such change in ownership arises, two principal consequences follow for the entity whose ownership changes:</w:t>
      </w:r>
    </w:p>
    <w:p>
      <w:pPr>
        <w:spacing w:after="40" w:line="252" w:lineRule="auto"/>
        <w:ind w:left="360" w:hanging="216"/>
      </w:pPr>
      <w:r>
        <w:rPr>
          <w:rFonts w:ascii="Arial" w:hAnsi="Arial" w:eastAsia="Arial"/>
          <w:sz w:val="20"/>
        </w:rPr>
        <w:t>• first, previously unrealised capital gains or losses of the entity are treated as realised at the time of change in ownership; and</w:t>
      </w:r>
    </w:p>
    <w:p>
      <w:pPr>
        <w:spacing w:after="40" w:line="252" w:lineRule="auto"/>
        <w:ind w:left="360" w:hanging="216"/>
      </w:pPr>
      <w:r>
        <w:rPr>
          <w:rFonts w:ascii="Arial" w:hAnsi="Arial" w:eastAsia="Arial"/>
          <w:sz w:val="20"/>
        </w:rPr>
        <w:t>• second, the new persons acquiring 50 percent or more ownership are restricted from adjusting tax attributes that arose from transactions during the period of the previous owners in later years.</w:t>
      </w:r>
    </w:p>
    <w:p>
      <w:pPr>
        <w:spacing w:after="80" w:line="252" w:lineRule="auto"/>
      </w:pPr>
      <w:r>
        <w:rPr>
          <w:rFonts w:ascii="Arial" w:hAnsi="Arial" w:eastAsia="Arial"/>
          <w:b w:val="0"/>
          <w:i w:val="0"/>
          <w:sz w:val="20"/>
        </w:rPr>
        <w:t>57(1) Where ownership of an entity changes by 50 percent or more compared with its ownership at any time up to three years before, the entity shall be treated as having disposed of the assets owned by it and the liabilities owed by it.</w:t>
      </w:r>
    </w:p>
    <w:p>
      <w:pPr>
        <w:spacing w:after="80" w:line="252" w:lineRule="auto"/>
      </w:pPr>
      <w:r>
        <w:rPr>
          <w:rFonts w:ascii="Arial" w:hAnsi="Arial" w:eastAsia="Arial"/>
          <w:b w:val="0"/>
          <w:i w:val="0"/>
          <w:sz w:val="20"/>
        </w:rPr>
        <w:t>Provided that this subsection shall not apply in the case of startup venture capital and private equity funds where, with the share number and capital of existing shareholders and partners remaining unchanged, new shareholders and partners are added and capital is increased.</w:t>
      </w:r>
    </w:p>
    <w:p>
      <w:pPr>
        <w:pStyle w:val="Heading3"/>
      </w:pPr>
      <w:r>
        <w:t>13.10.1 Calculation of Period</w:t>
      </w:r>
    </w:p>
    <w:p>
      <w:pPr>
        <w:spacing w:after="80" w:line="252" w:lineRule="auto"/>
      </w:pPr>
      <w:r>
        <w:rPr>
          <w:rFonts w:ascii="Arial" w:hAnsi="Arial" w:eastAsia="Arial"/>
          <w:b w:val="0"/>
          <w:i w:val="0"/>
          <w:sz w:val="20"/>
        </w:rPr>
        <w:t>To examine whether ownership has changed, both the period during which ownership changes and the percentage of ownership change must be considered. As to the period, only the period within three years is counted. As to the percentage, the total change in ownership that occurs within three years, whether at one time or in different transactions, must be counted on a moving three-year basis.</w:t>
      </w:r>
    </w:p>
    <w:p>
      <w:pPr>
        <w:spacing w:after="80" w:line="252" w:lineRule="auto"/>
      </w:pPr>
      <w:r>
        <w:rPr>
          <w:rFonts w:ascii="Arial" w:hAnsi="Arial" w:eastAsia="Arial"/>
          <w:b/>
          <w:i w:val="0"/>
          <w:sz w:val="20"/>
        </w:rPr>
        <w:t>Example 13.10.1:</w:t>
      </w:r>
    </w:p>
    <w:p>
      <w:pPr>
        <w:spacing w:after="80" w:line="252" w:lineRule="auto"/>
      </w:pPr>
      <w:r>
        <w:rPr>
          <w:rFonts w:ascii="Arial" w:hAnsi="Arial" w:eastAsia="Arial"/>
          <w:b w:val="0"/>
          <w:i w:val="0"/>
          <w:sz w:val="20"/>
        </w:rPr>
        <w:t>Assume that Company "Gya" allotted shares on 1 Baishakh 2078. Company "Ka" and Company "Kha" held 30 percent and 35 percent of the shares respectively. At the end of Chaitra 2079, Company "Ka" sells all its 30 percent shares in Company "Gya" to Company "Ja". Since the ownership change is only 30 percent, Section 57 is not attracted. On 15 Chaitra 2080, Company "Kha" also sells all its 35 percent shares to Company "Ta". The period from the end of Chaitra 2079 to 15 Chaitra 2080 is within three years. Therefore, within three years, 30 percent plus 35 percent, that is, 65 percent of the shares have been sold. Since more than 50 percent of ownership of the entity has changed, Section 57 is attracted to Company "Gya" Pvt. Ltd. on 15 Chaitra 2080.</w:t>
      </w:r>
    </w:p>
    <w:p>
      <w:pPr>
        <w:spacing w:after="80" w:line="252" w:lineRule="auto"/>
      </w:pPr>
      <w:r>
        <w:rPr>
          <w:rFonts w:ascii="Arial" w:hAnsi="Arial" w:eastAsia="Arial"/>
          <w:b/>
          <w:i w:val="0"/>
          <w:sz w:val="20"/>
        </w:rPr>
        <w:t>Example 13.10.1A:</w:t>
      </w:r>
    </w:p>
    <w:p>
      <w:pPr>
        <w:spacing w:after="80" w:line="252" w:lineRule="auto"/>
      </w:pPr>
      <w:r>
        <w:rPr>
          <w:rFonts w:ascii="Arial" w:hAnsi="Arial" w:eastAsia="Arial"/>
          <w:b w:val="0"/>
          <w:i w:val="0"/>
          <w:sz w:val="20"/>
        </w:rPr>
        <w:t>Assume that Kedar Pant has sole ownership of Aroju Company Pvt. Ltd., whose paid-up capital is Rs. 4 million. Due to shortage of capital, in income year 2080/81 the company obtains approval from the Office of the Company Registrar to add Rs. 6 million capital and increase total capital to Rs. 10 million. Kedar Pant himself invests that amount. Although the company’s capital increases, his ownership was 100 percent before and remains 100 percent after the capital increase. Therefore, there is no change in ownership and Section 57 is not attracted.</w:t>
      </w:r>
    </w:p>
    <w:p>
      <w:pPr>
        <w:pStyle w:val="Heading3"/>
      </w:pPr>
      <w:r>
        <w:t>13.10.2 Calculation of Change in Ownership</w:t>
      </w:r>
    </w:p>
    <w:p>
      <w:pPr>
        <w:spacing w:after="80" w:line="252" w:lineRule="auto"/>
      </w:pPr>
      <w:r>
        <w:rPr>
          <w:rFonts w:ascii="Arial" w:hAnsi="Arial" w:eastAsia="Arial"/>
          <w:b w:val="0"/>
          <w:i w:val="0"/>
          <w:sz w:val="20"/>
        </w:rPr>
        <w:t>For determining whether there is a change of 50 percent or more in ownership compared with the ownership up to three years before, the total change in ownership within three years, whether at one time or in several transactions, must be computed on a moving three-year basis.</w:t>
      </w:r>
    </w:p>
    <w:p>
      <w:pPr>
        <w:spacing w:after="80" w:line="252" w:lineRule="auto"/>
      </w:pPr>
      <w:r>
        <w:rPr>
          <w:rFonts w:ascii="Arial" w:hAnsi="Arial" w:eastAsia="Arial"/>
          <w:b/>
          <w:i w:val="0"/>
          <w:sz w:val="20"/>
        </w:rPr>
        <w:t>Example 13.10.2:</w:t>
      </w:r>
    </w:p>
    <w:p>
      <w:pPr>
        <w:spacing w:after="80" w:line="252" w:lineRule="auto"/>
      </w:pPr>
      <w:r>
        <w:rPr>
          <w:rFonts w:ascii="Arial" w:hAnsi="Arial" w:eastAsia="Arial"/>
          <w:b w:val="0"/>
          <w:i w:val="0"/>
          <w:sz w:val="20"/>
        </w:rPr>
        <w:t>Assume that Danfe Company Pvt. Ltd. was established on 2 Baishakh 2078 with 2,000 shares of Rs. 1,000 each. The shares are held as follows:</w:t>
      </w:r>
    </w:p>
    <w:tbl>
      <w:tblPr>
        <w:tblStyle w:val="TableGrid"/>
        <w:tblW w:type="auto" w:w="0"/>
        <w:jc w:val="center"/>
        <w:tblLayout w:type="autofit"/>
        <w:tblLook w:firstColumn="1" w:firstRow="1" w:lastColumn="0" w:lastRow="0" w:noHBand="0" w:noVBand="1" w:val="04A0"/>
      </w:tblPr>
      <w:tblGrid>
        <w:gridCol w:w="2556"/>
        <w:gridCol w:w="2556"/>
        <w:gridCol w:w="2556"/>
        <w:gridCol w:w="2556"/>
      </w:tblGrid>
      <w:tr>
        <w:tc>
          <w:tcPr>
            <w:tcW w:type="dxa" w:w="1008"/>
            <w:vAlign w:val="top"/>
            <w:shd w:fill="D9EAF7"/>
          </w:tcPr>
          <w:p>
            <w:pPr>
              <w:spacing w:after="0" w:line="240" w:lineRule="auto"/>
            </w:pPr>
            <w:r/>
            <w:r>
              <w:rPr>
                <w:rFonts w:ascii="Arial" w:hAnsi="Arial" w:eastAsia="Arial"/>
                <w:b/>
                <w:sz w:val="16"/>
              </w:rPr>
              <w:t>S. No.</w:t>
            </w:r>
          </w:p>
        </w:tc>
        <w:tc>
          <w:tcPr>
            <w:tcW w:type="dxa" w:w="3600"/>
            <w:vAlign w:val="top"/>
            <w:shd w:fill="D9EAF7"/>
          </w:tcPr>
          <w:p>
            <w:pPr>
              <w:spacing w:after="0" w:line="240" w:lineRule="auto"/>
            </w:pPr>
            <w:r/>
            <w:r>
              <w:rPr>
                <w:rFonts w:ascii="Arial" w:hAnsi="Arial" w:eastAsia="Arial"/>
                <w:b/>
                <w:sz w:val="16"/>
              </w:rPr>
              <w:t>Shareholder</w:t>
            </w:r>
          </w:p>
        </w:tc>
        <w:tc>
          <w:tcPr>
            <w:tcW w:type="dxa" w:w="2448"/>
            <w:vAlign w:val="top"/>
            <w:shd w:fill="D9EAF7"/>
          </w:tcPr>
          <w:p>
            <w:pPr>
              <w:spacing w:after="0" w:line="240" w:lineRule="auto"/>
            </w:pPr>
            <w:r/>
            <w:r>
              <w:rPr>
                <w:rFonts w:ascii="Arial" w:hAnsi="Arial" w:eastAsia="Arial"/>
                <w:b/>
                <w:sz w:val="16"/>
              </w:rPr>
              <w:t>No. of shares purchased</w:t>
            </w:r>
          </w:p>
        </w:tc>
        <w:tc>
          <w:tcPr>
            <w:tcW w:type="dxa" w:w="1584"/>
            <w:vAlign w:val="top"/>
            <w:shd w:fill="D9EAF7"/>
          </w:tcPr>
          <w:p>
            <w:pPr>
              <w:spacing w:after="0" w:line="240" w:lineRule="auto"/>
            </w:pPr>
            <w:r/>
            <w:r>
              <w:rPr>
                <w:rFonts w:ascii="Arial" w:hAnsi="Arial" w:eastAsia="Arial"/>
                <w:b/>
                <w:sz w:val="16"/>
              </w:rPr>
              <w:t>Percentage</w:t>
            </w:r>
          </w:p>
        </w:tc>
      </w:tr>
      <w:tr>
        <w:tc>
          <w:tcPr>
            <w:tcW w:type="dxa" w:w="1008"/>
            <w:vAlign w:val="top"/>
          </w:tcPr>
          <w:p>
            <w:pPr>
              <w:spacing w:after="0" w:line="240" w:lineRule="auto"/>
            </w:pPr>
            <w:r/>
            <w:r>
              <w:rPr>
                <w:rFonts w:ascii="Arial" w:hAnsi="Arial" w:eastAsia="Arial"/>
                <w:b w:val="0"/>
                <w:sz w:val="16"/>
              </w:rPr>
              <w:t>1</w:t>
            </w:r>
          </w:p>
        </w:tc>
        <w:tc>
          <w:tcPr>
            <w:tcW w:type="dxa" w:w="3600"/>
            <w:vAlign w:val="top"/>
          </w:tcPr>
          <w:p>
            <w:pPr>
              <w:spacing w:after="0" w:line="240" w:lineRule="auto"/>
            </w:pPr>
            <w:r/>
            <w:r>
              <w:rPr>
                <w:rFonts w:ascii="Arial" w:hAnsi="Arial" w:eastAsia="Arial"/>
                <w:b w:val="0"/>
                <w:sz w:val="16"/>
              </w:rPr>
              <w:t>Company "Ka"</w:t>
            </w:r>
          </w:p>
        </w:tc>
        <w:tc>
          <w:tcPr>
            <w:tcW w:type="dxa" w:w="2448"/>
            <w:vAlign w:val="top"/>
          </w:tcPr>
          <w:p>
            <w:pPr>
              <w:spacing w:after="0" w:line="240" w:lineRule="auto"/>
            </w:pPr>
            <w:r/>
            <w:r>
              <w:rPr>
                <w:rFonts w:ascii="Arial" w:hAnsi="Arial" w:eastAsia="Arial"/>
                <w:b w:val="0"/>
                <w:sz w:val="16"/>
              </w:rPr>
              <w:t>600</w:t>
            </w:r>
          </w:p>
        </w:tc>
        <w:tc>
          <w:tcPr>
            <w:tcW w:type="dxa" w:w="1584"/>
            <w:vAlign w:val="top"/>
          </w:tcPr>
          <w:p>
            <w:pPr>
              <w:spacing w:after="0" w:line="240" w:lineRule="auto"/>
            </w:pPr>
            <w:r/>
            <w:r>
              <w:rPr>
                <w:rFonts w:ascii="Arial" w:hAnsi="Arial" w:eastAsia="Arial"/>
                <w:b w:val="0"/>
                <w:sz w:val="16"/>
              </w:rPr>
              <w:t>30%</w:t>
            </w:r>
          </w:p>
        </w:tc>
      </w:tr>
      <w:tr>
        <w:tc>
          <w:tcPr>
            <w:tcW w:type="dxa" w:w="1008"/>
            <w:vAlign w:val="top"/>
          </w:tcPr>
          <w:p>
            <w:pPr>
              <w:spacing w:after="0" w:line="240" w:lineRule="auto"/>
            </w:pPr>
            <w:r/>
            <w:r>
              <w:rPr>
                <w:rFonts w:ascii="Arial" w:hAnsi="Arial" w:eastAsia="Arial"/>
                <w:b w:val="0"/>
                <w:sz w:val="16"/>
              </w:rPr>
              <w:t>2</w:t>
            </w:r>
          </w:p>
        </w:tc>
        <w:tc>
          <w:tcPr>
            <w:tcW w:type="dxa" w:w="3600"/>
            <w:vAlign w:val="top"/>
          </w:tcPr>
          <w:p>
            <w:pPr>
              <w:spacing w:after="0" w:line="240" w:lineRule="auto"/>
            </w:pPr>
            <w:r/>
            <w:r>
              <w:rPr>
                <w:rFonts w:ascii="Arial" w:hAnsi="Arial" w:eastAsia="Arial"/>
                <w:b w:val="0"/>
                <w:sz w:val="16"/>
              </w:rPr>
              <w:t>Company "Kha"</w:t>
            </w:r>
          </w:p>
        </w:tc>
        <w:tc>
          <w:tcPr>
            <w:tcW w:type="dxa" w:w="2448"/>
            <w:vAlign w:val="top"/>
          </w:tcPr>
          <w:p>
            <w:pPr>
              <w:spacing w:after="0" w:line="240" w:lineRule="auto"/>
            </w:pPr>
            <w:r/>
            <w:r>
              <w:rPr>
                <w:rFonts w:ascii="Arial" w:hAnsi="Arial" w:eastAsia="Arial"/>
                <w:b w:val="0"/>
                <w:sz w:val="16"/>
              </w:rPr>
              <w:t>700</w:t>
            </w:r>
          </w:p>
        </w:tc>
        <w:tc>
          <w:tcPr>
            <w:tcW w:type="dxa" w:w="1584"/>
            <w:vAlign w:val="top"/>
          </w:tcPr>
          <w:p>
            <w:pPr>
              <w:spacing w:after="0" w:line="240" w:lineRule="auto"/>
            </w:pPr>
            <w:r/>
            <w:r>
              <w:rPr>
                <w:rFonts w:ascii="Arial" w:hAnsi="Arial" w:eastAsia="Arial"/>
                <w:b w:val="0"/>
                <w:sz w:val="16"/>
              </w:rPr>
              <w:t>35%</w:t>
            </w:r>
          </w:p>
        </w:tc>
      </w:tr>
      <w:tr>
        <w:tc>
          <w:tcPr>
            <w:tcW w:type="dxa" w:w="1008"/>
            <w:vAlign w:val="top"/>
          </w:tcPr>
          <w:p>
            <w:pPr>
              <w:spacing w:after="0" w:line="240" w:lineRule="auto"/>
            </w:pPr>
            <w:r/>
            <w:r>
              <w:rPr>
                <w:rFonts w:ascii="Arial" w:hAnsi="Arial" w:eastAsia="Arial"/>
                <w:b w:val="0"/>
                <w:sz w:val="16"/>
              </w:rPr>
              <w:t>3</w:t>
            </w:r>
          </w:p>
        </w:tc>
        <w:tc>
          <w:tcPr>
            <w:tcW w:type="dxa" w:w="3600"/>
            <w:vAlign w:val="top"/>
          </w:tcPr>
          <w:p>
            <w:pPr>
              <w:spacing w:after="0" w:line="240" w:lineRule="auto"/>
            </w:pPr>
            <w:r/>
            <w:r>
              <w:rPr>
                <w:rFonts w:ascii="Arial" w:hAnsi="Arial" w:eastAsia="Arial"/>
                <w:b w:val="0"/>
                <w:sz w:val="16"/>
              </w:rPr>
              <w:t>Company "Ga"</w:t>
            </w:r>
          </w:p>
        </w:tc>
        <w:tc>
          <w:tcPr>
            <w:tcW w:type="dxa" w:w="2448"/>
            <w:vAlign w:val="top"/>
          </w:tcPr>
          <w:p>
            <w:pPr>
              <w:spacing w:after="0" w:line="240" w:lineRule="auto"/>
            </w:pPr>
            <w:r/>
            <w:r>
              <w:rPr>
                <w:rFonts w:ascii="Arial" w:hAnsi="Arial" w:eastAsia="Arial"/>
                <w:b w:val="0"/>
                <w:sz w:val="16"/>
              </w:rPr>
              <w:t>600</w:t>
            </w:r>
          </w:p>
        </w:tc>
        <w:tc>
          <w:tcPr>
            <w:tcW w:type="dxa" w:w="1584"/>
            <w:vAlign w:val="top"/>
          </w:tcPr>
          <w:p>
            <w:pPr>
              <w:spacing w:after="0" w:line="240" w:lineRule="auto"/>
            </w:pPr>
            <w:r/>
            <w:r>
              <w:rPr>
                <w:rFonts w:ascii="Arial" w:hAnsi="Arial" w:eastAsia="Arial"/>
                <w:b w:val="0"/>
                <w:sz w:val="16"/>
              </w:rPr>
              <w:t>30%</w:t>
            </w:r>
          </w:p>
        </w:tc>
      </w:tr>
      <w:tr>
        <w:tc>
          <w:tcPr>
            <w:tcW w:type="dxa" w:w="1008"/>
            <w:vAlign w:val="top"/>
          </w:tcPr>
          <w:p>
            <w:pPr>
              <w:spacing w:after="0" w:line="240" w:lineRule="auto"/>
            </w:pPr>
            <w:r/>
            <w:r>
              <w:rPr>
                <w:rFonts w:ascii="Arial" w:hAnsi="Arial" w:eastAsia="Arial"/>
                <w:b w:val="0"/>
                <w:sz w:val="16"/>
              </w:rPr>
              <w:t>4</w:t>
            </w:r>
          </w:p>
        </w:tc>
        <w:tc>
          <w:tcPr>
            <w:tcW w:type="dxa" w:w="3600"/>
            <w:vAlign w:val="top"/>
          </w:tcPr>
          <w:p>
            <w:pPr>
              <w:spacing w:after="0" w:line="240" w:lineRule="auto"/>
            </w:pPr>
            <w:r/>
            <w:r>
              <w:rPr>
                <w:rFonts w:ascii="Arial" w:hAnsi="Arial" w:eastAsia="Arial"/>
                <w:b w:val="0"/>
                <w:sz w:val="16"/>
              </w:rPr>
              <w:t>Mr. Ka</w:t>
            </w:r>
          </w:p>
        </w:tc>
        <w:tc>
          <w:tcPr>
            <w:tcW w:type="dxa" w:w="2448"/>
            <w:vAlign w:val="top"/>
          </w:tcPr>
          <w:p>
            <w:pPr>
              <w:spacing w:after="0" w:line="240" w:lineRule="auto"/>
            </w:pPr>
            <w:r/>
            <w:r>
              <w:rPr>
                <w:rFonts w:ascii="Arial" w:hAnsi="Arial" w:eastAsia="Arial"/>
                <w:b w:val="0"/>
                <w:sz w:val="16"/>
              </w:rPr>
              <w:t>100</w:t>
            </w:r>
          </w:p>
        </w:tc>
        <w:tc>
          <w:tcPr>
            <w:tcW w:type="dxa" w:w="1584"/>
            <w:vAlign w:val="top"/>
          </w:tcPr>
          <w:p>
            <w:pPr>
              <w:spacing w:after="0" w:line="240" w:lineRule="auto"/>
            </w:pPr>
            <w:r/>
            <w:r>
              <w:rPr>
                <w:rFonts w:ascii="Arial" w:hAnsi="Arial" w:eastAsia="Arial"/>
                <w:b w:val="0"/>
                <w:sz w:val="16"/>
              </w:rPr>
              <w:t>5%</w:t>
            </w:r>
          </w:p>
        </w:tc>
      </w:tr>
      <w:tr>
        <w:tc>
          <w:tcPr>
            <w:tcW w:type="dxa" w:w="1008"/>
            <w:vAlign w:val="top"/>
          </w:tcPr>
          <w:p>
            <w:pPr>
              <w:spacing w:after="0" w:line="240" w:lineRule="auto"/>
            </w:pPr>
            <w:r/>
            <w:r>
              <w:rPr>
                <w:rFonts w:ascii="Arial" w:hAnsi="Arial" w:eastAsia="Arial"/>
                <w:b w:val="0"/>
                <w:sz w:val="16"/>
              </w:rPr>
              <w:t>Total</w:t>
            </w:r>
          </w:p>
        </w:tc>
        <w:tc>
          <w:tcPr>
            <w:tcW w:type="dxa" w:w="3600"/>
            <w:vAlign w:val="top"/>
          </w:tcPr>
          <w:p>
            <w:pPr>
              <w:spacing w:after="0" w:line="240" w:lineRule="auto"/>
            </w:pPr>
            <w:r/>
            <w:r>
              <w:rPr>
                <w:rFonts w:ascii="Arial" w:hAnsi="Arial" w:eastAsia="Arial"/>
                <w:b w:val="0"/>
                <w:sz w:val="16"/>
              </w:rPr>
            </w:r>
          </w:p>
        </w:tc>
        <w:tc>
          <w:tcPr>
            <w:tcW w:type="dxa" w:w="2448"/>
            <w:vAlign w:val="top"/>
          </w:tcPr>
          <w:p>
            <w:pPr>
              <w:spacing w:after="0" w:line="240" w:lineRule="auto"/>
            </w:pPr>
            <w:r/>
            <w:r>
              <w:rPr>
                <w:rFonts w:ascii="Arial" w:hAnsi="Arial" w:eastAsia="Arial"/>
                <w:b w:val="0"/>
                <w:sz w:val="16"/>
              </w:rPr>
              <w:t>2,000</w:t>
            </w:r>
          </w:p>
        </w:tc>
        <w:tc>
          <w:tcPr>
            <w:tcW w:type="dxa" w:w="1584"/>
            <w:vAlign w:val="top"/>
          </w:tcPr>
          <w:p>
            <w:pPr>
              <w:spacing w:after="0" w:line="240" w:lineRule="auto"/>
            </w:pPr>
            <w:r/>
            <w:r>
              <w:rPr>
                <w:rFonts w:ascii="Arial" w:hAnsi="Arial" w:eastAsia="Arial"/>
                <w:b w:val="0"/>
                <w:sz w:val="16"/>
              </w:rPr>
              <w:t>100%</w:t>
            </w:r>
          </w:p>
        </w:tc>
      </w:tr>
    </w:tbl>
    <w:p/>
    <w:p>
      <w:pPr>
        <w:spacing w:after="80" w:line="252" w:lineRule="auto"/>
      </w:pPr>
      <w:r>
        <w:rPr>
          <w:rFonts w:ascii="Arial" w:hAnsi="Arial" w:eastAsia="Arial"/>
          <w:b w:val="0"/>
          <w:i w:val="0"/>
          <w:sz w:val="20"/>
        </w:rPr>
        <w:t>If on 30 Chaitra 2079 Company "Ka" sells all its 30 percent shares to Company "Ja", Danfe Company Pvt. Ltd. having been established only on 2 Baishakh 2078, the transfer within three years is less than 50 percent and Section 57 is not attracted. If on 3 Chaitra 2080 Company "Kha" sells all its 35 percent shares to Company "Jha", the cumulative change within three years becomes 65 percent (600 shares sold by Company "Ka" and 700 shares sold by Company "Kha", total 1,300 out of 2,000 shares). Accordingly, because more than 50 percent ownership has changed within the three-year period from 30 Chaitra 2079 to the end of Chaitra 2080, Section 57 is attracted.</w:t>
      </w:r>
    </w:p>
    <w:p>
      <w:pPr>
        <w:spacing w:after="80" w:line="252" w:lineRule="auto"/>
      </w:pPr>
      <w:r>
        <w:rPr>
          <w:rFonts w:ascii="Arial" w:hAnsi="Arial" w:eastAsia="Arial"/>
          <w:b w:val="0"/>
          <w:i w:val="0"/>
          <w:sz w:val="20"/>
        </w:rPr>
        <w:t>57(1A) For the purpose of calculating whether ownership of an entity has changed by 50 percent or more under subsection (1), only the following ownership of that entity shall be included: (a) ownership held by a shareholder holding one percent or more of the total ownership; and (b) ownership held by a shareholder holding less than one percent of total ownership if such shareholder is an associated person of a shareholder holding more than one percent of the total ownership of the entity.</w:t>
      </w:r>
    </w:p>
    <w:p>
      <w:pPr>
        <w:spacing w:after="80" w:line="252" w:lineRule="auto"/>
      </w:pPr>
      <w:r>
        <w:rPr>
          <w:rFonts w:ascii="Arial" w:hAnsi="Arial" w:eastAsia="Arial"/>
          <w:b w:val="0"/>
          <w:i w:val="0"/>
          <w:sz w:val="20"/>
        </w:rPr>
        <w:t>In computing a change of 50 percent or more in ownership, only ownership held by a shareholder having one percent or more of the total ownership is counted. However, where a shareholder holding less than one percent is an associated person of a shareholder holding more than one percent, such ownership is also counted.</w:t>
      </w:r>
    </w:p>
    <w:p>
      <w:pPr>
        <w:spacing w:after="80" w:line="252" w:lineRule="auto"/>
      </w:pPr>
      <w:r>
        <w:rPr>
          <w:rFonts w:ascii="Arial" w:hAnsi="Arial" w:eastAsia="Arial"/>
          <w:b/>
          <w:i w:val="0"/>
          <w:sz w:val="20"/>
        </w:rPr>
        <w:t>Example 13.10.3:</w:t>
      </w:r>
    </w:p>
    <w:p>
      <w:pPr>
        <w:spacing w:after="80" w:line="252" w:lineRule="auto"/>
      </w:pPr>
      <w:r>
        <w:rPr>
          <w:rFonts w:ascii="Arial" w:hAnsi="Arial" w:eastAsia="Arial"/>
          <w:b w:val="0"/>
          <w:i w:val="0"/>
          <w:sz w:val="20"/>
        </w:rPr>
        <w:t>Assume that Danfe Company Pvt. Ltd. was established on 2 Baishakh 2078 with 2,000 shares of Rs. 1,000 each, held as follows:</w:t>
      </w:r>
    </w:p>
    <w:tbl>
      <w:tblPr>
        <w:tblStyle w:val="TableGrid"/>
        <w:tblW w:type="auto" w:w="0"/>
        <w:jc w:val="center"/>
        <w:tblLayout w:type="autofit"/>
        <w:tblLook w:firstColumn="1" w:firstRow="1" w:lastColumn="0" w:lastRow="0" w:noHBand="0" w:noVBand="1" w:val="04A0"/>
      </w:tblPr>
      <w:tblGrid>
        <w:gridCol w:w="2556"/>
        <w:gridCol w:w="2556"/>
        <w:gridCol w:w="2556"/>
        <w:gridCol w:w="2556"/>
      </w:tblGrid>
      <w:tr>
        <w:tc>
          <w:tcPr>
            <w:tcW w:type="dxa" w:w="1008"/>
            <w:vAlign w:val="top"/>
            <w:shd w:fill="D9EAF7"/>
          </w:tcPr>
          <w:p>
            <w:pPr>
              <w:spacing w:after="0" w:line="240" w:lineRule="auto"/>
            </w:pPr>
            <w:r/>
            <w:r>
              <w:rPr>
                <w:rFonts w:ascii="Arial" w:hAnsi="Arial" w:eastAsia="Arial"/>
                <w:b/>
                <w:sz w:val="16"/>
              </w:rPr>
              <w:t>S. No.</w:t>
            </w:r>
          </w:p>
        </w:tc>
        <w:tc>
          <w:tcPr>
            <w:tcW w:type="dxa" w:w="3456"/>
            <w:vAlign w:val="top"/>
            <w:shd w:fill="D9EAF7"/>
          </w:tcPr>
          <w:p>
            <w:pPr>
              <w:spacing w:after="0" w:line="240" w:lineRule="auto"/>
            </w:pPr>
            <w:r/>
            <w:r>
              <w:rPr>
                <w:rFonts w:ascii="Arial" w:hAnsi="Arial" w:eastAsia="Arial"/>
                <w:b/>
                <w:sz w:val="16"/>
              </w:rPr>
              <w:t>Shareholder</w:t>
            </w:r>
          </w:p>
        </w:tc>
        <w:tc>
          <w:tcPr>
            <w:tcW w:type="dxa" w:w="2448"/>
            <w:vAlign w:val="top"/>
            <w:shd w:fill="D9EAF7"/>
          </w:tcPr>
          <w:p>
            <w:pPr>
              <w:spacing w:after="0" w:line="240" w:lineRule="auto"/>
            </w:pPr>
            <w:r/>
            <w:r>
              <w:rPr>
                <w:rFonts w:ascii="Arial" w:hAnsi="Arial" w:eastAsia="Arial"/>
                <w:b/>
                <w:sz w:val="16"/>
              </w:rPr>
              <w:t>No. of shares purchased</w:t>
            </w:r>
          </w:p>
        </w:tc>
        <w:tc>
          <w:tcPr>
            <w:tcW w:type="dxa" w:w="1584"/>
            <w:vAlign w:val="top"/>
            <w:shd w:fill="D9EAF7"/>
          </w:tcPr>
          <w:p>
            <w:pPr>
              <w:spacing w:after="0" w:line="240" w:lineRule="auto"/>
            </w:pPr>
            <w:r/>
            <w:r>
              <w:rPr>
                <w:rFonts w:ascii="Arial" w:hAnsi="Arial" w:eastAsia="Arial"/>
                <w:b/>
                <w:sz w:val="16"/>
              </w:rPr>
              <w:t>Percentage</w:t>
            </w:r>
          </w:p>
        </w:tc>
      </w:tr>
      <w:tr>
        <w:tc>
          <w:tcPr>
            <w:tcW w:type="dxa" w:w="1008"/>
            <w:vAlign w:val="top"/>
          </w:tcPr>
          <w:p>
            <w:pPr>
              <w:spacing w:after="0" w:line="240" w:lineRule="auto"/>
            </w:pPr>
            <w:r/>
            <w:r>
              <w:rPr>
                <w:rFonts w:ascii="Arial" w:hAnsi="Arial" w:eastAsia="Arial"/>
                <w:b w:val="0"/>
                <w:sz w:val="16"/>
              </w:rPr>
              <w:t>1</w:t>
            </w:r>
          </w:p>
        </w:tc>
        <w:tc>
          <w:tcPr>
            <w:tcW w:type="dxa" w:w="3456"/>
            <w:vAlign w:val="top"/>
          </w:tcPr>
          <w:p>
            <w:pPr>
              <w:spacing w:after="0" w:line="240" w:lineRule="auto"/>
            </w:pPr>
            <w:r/>
            <w:r>
              <w:rPr>
                <w:rFonts w:ascii="Arial" w:hAnsi="Arial" w:eastAsia="Arial"/>
                <w:b w:val="0"/>
                <w:sz w:val="16"/>
              </w:rPr>
              <w:t>Company "Ka"</w:t>
            </w:r>
          </w:p>
        </w:tc>
        <w:tc>
          <w:tcPr>
            <w:tcW w:type="dxa" w:w="2448"/>
            <w:vAlign w:val="top"/>
          </w:tcPr>
          <w:p>
            <w:pPr>
              <w:spacing w:after="0" w:line="240" w:lineRule="auto"/>
            </w:pPr>
            <w:r/>
            <w:r>
              <w:rPr>
                <w:rFonts w:ascii="Arial" w:hAnsi="Arial" w:eastAsia="Arial"/>
                <w:b w:val="0"/>
                <w:sz w:val="16"/>
              </w:rPr>
              <w:t>600</w:t>
            </w:r>
          </w:p>
        </w:tc>
        <w:tc>
          <w:tcPr>
            <w:tcW w:type="dxa" w:w="1584"/>
            <w:vAlign w:val="top"/>
          </w:tcPr>
          <w:p>
            <w:pPr>
              <w:spacing w:after="0" w:line="240" w:lineRule="auto"/>
            </w:pPr>
            <w:r/>
            <w:r>
              <w:rPr>
                <w:rFonts w:ascii="Arial" w:hAnsi="Arial" w:eastAsia="Arial"/>
                <w:b w:val="0"/>
                <w:sz w:val="16"/>
              </w:rPr>
              <w:t>30.00%</w:t>
            </w:r>
          </w:p>
        </w:tc>
      </w:tr>
      <w:tr>
        <w:tc>
          <w:tcPr>
            <w:tcW w:type="dxa" w:w="1008"/>
            <w:vAlign w:val="top"/>
          </w:tcPr>
          <w:p>
            <w:pPr>
              <w:spacing w:after="0" w:line="240" w:lineRule="auto"/>
            </w:pPr>
            <w:r/>
            <w:r>
              <w:rPr>
                <w:rFonts w:ascii="Arial" w:hAnsi="Arial" w:eastAsia="Arial"/>
                <w:b w:val="0"/>
                <w:sz w:val="16"/>
              </w:rPr>
              <w:t>2</w:t>
            </w:r>
          </w:p>
        </w:tc>
        <w:tc>
          <w:tcPr>
            <w:tcW w:type="dxa" w:w="3456"/>
            <w:vAlign w:val="top"/>
          </w:tcPr>
          <w:p>
            <w:pPr>
              <w:spacing w:after="0" w:line="240" w:lineRule="auto"/>
            </w:pPr>
            <w:r/>
            <w:r>
              <w:rPr>
                <w:rFonts w:ascii="Arial" w:hAnsi="Arial" w:eastAsia="Arial"/>
                <w:b w:val="0"/>
                <w:sz w:val="16"/>
              </w:rPr>
              <w:t>Company "Kha"</w:t>
            </w:r>
          </w:p>
        </w:tc>
        <w:tc>
          <w:tcPr>
            <w:tcW w:type="dxa" w:w="2448"/>
            <w:vAlign w:val="top"/>
          </w:tcPr>
          <w:p>
            <w:pPr>
              <w:spacing w:after="0" w:line="240" w:lineRule="auto"/>
            </w:pPr>
            <w:r/>
            <w:r>
              <w:rPr>
                <w:rFonts w:ascii="Arial" w:hAnsi="Arial" w:eastAsia="Arial"/>
                <w:b w:val="0"/>
                <w:sz w:val="16"/>
              </w:rPr>
              <w:t>700</w:t>
            </w:r>
          </w:p>
        </w:tc>
        <w:tc>
          <w:tcPr>
            <w:tcW w:type="dxa" w:w="1584"/>
            <w:vAlign w:val="top"/>
          </w:tcPr>
          <w:p>
            <w:pPr>
              <w:spacing w:after="0" w:line="240" w:lineRule="auto"/>
            </w:pPr>
            <w:r/>
            <w:r>
              <w:rPr>
                <w:rFonts w:ascii="Arial" w:hAnsi="Arial" w:eastAsia="Arial"/>
                <w:b w:val="0"/>
                <w:sz w:val="16"/>
              </w:rPr>
              <w:t>35.00%</w:t>
            </w:r>
          </w:p>
        </w:tc>
      </w:tr>
      <w:tr>
        <w:tc>
          <w:tcPr>
            <w:tcW w:type="dxa" w:w="1008"/>
            <w:vAlign w:val="top"/>
          </w:tcPr>
          <w:p>
            <w:pPr>
              <w:spacing w:after="0" w:line="240" w:lineRule="auto"/>
            </w:pPr>
            <w:r/>
            <w:r>
              <w:rPr>
                <w:rFonts w:ascii="Arial" w:hAnsi="Arial" w:eastAsia="Arial"/>
                <w:b w:val="0"/>
                <w:sz w:val="16"/>
              </w:rPr>
              <w:t>3</w:t>
            </w:r>
          </w:p>
        </w:tc>
        <w:tc>
          <w:tcPr>
            <w:tcW w:type="dxa" w:w="3456"/>
            <w:vAlign w:val="top"/>
          </w:tcPr>
          <w:p>
            <w:pPr>
              <w:spacing w:after="0" w:line="240" w:lineRule="auto"/>
            </w:pPr>
            <w:r/>
            <w:r>
              <w:rPr>
                <w:rFonts w:ascii="Arial" w:hAnsi="Arial" w:eastAsia="Arial"/>
                <w:b w:val="0"/>
                <w:sz w:val="16"/>
              </w:rPr>
              <w:t>Company "Ga"</w:t>
            </w:r>
          </w:p>
        </w:tc>
        <w:tc>
          <w:tcPr>
            <w:tcW w:type="dxa" w:w="2448"/>
            <w:vAlign w:val="top"/>
          </w:tcPr>
          <w:p>
            <w:pPr>
              <w:spacing w:after="0" w:line="240" w:lineRule="auto"/>
            </w:pPr>
            <w:r/>
            <w:r>
              <w:rPr>
                <w:rFonts w:ascii="Arial" w:hAnsi="Arial" w:eastAsia="Arial"/>
                <w:b w:val="0"/>
                <w:sz w:val="16"/>
              </w:rPr>
              <w:t>600</w:t>
            </w:r>
          </w:p>
        </w:tc>
        <w:tc>
          <w:tcPr>
            <w:tcW w:type="dxa" w:w="1584"/>
            <w:vAlign w:val="top"/>
          </w:tcPr>
          <w:p>
            <w:pPr>
              <w:spacing w:after="0" w:line="240" w:lineRule="auto"/>
            </w:pPr>
            <w:r/>
            <w:r>
              <w:rPr>
                <w:rFonts w:ascii="Arial" w:hAnsi="Arial" w:eastAsia="Arial"/>
                <w:b w:val="0"/>
                <w:sz w:val="16"/>
              </w:rPr>
              <w:t>30.00%</w:t>
            </w:r>
          </w:p>
        </w:tc>
      </w:tr>
      <w:tr>
        <w:tc>
          <w:tcPr>
            <w:tcW w:type="dxa" w:w="1008"/>
            <w:vAlign w:val="top"/>
          </w:tcPr>
          <w:p>
            <w:pPr>
              <w:spacing w:after="0" w:line="240" w:lineRule="auto"/>
            </w:pPr>
            <w:r/>
            <w:r>
              <w:rPr>
                <w:rFonts w:ascii="Arial" w:hAnsi="Arial" w:eastAsia="Arial"/>
                <w:b w:val="0"/>
                <w:sz w:val="16"/>
              </w:rPr>
              <w:t>4</w:t>
            </w:r>
          </w:p>
        </w:tc>
        <w:tc>
          <w:tcPr>
            <w:tcW w:type="dxa" w:w="3456"/>
            <w:vAlign w:val="top"/>
          </w:tcPr>
          <w:p>
            <w:pPr>
              <w:spacing w:after="0" w:line="240" w:lineRule="auto"/>
            </w:pPr>
            <w:r/>
            <w:r>
              <w:rPr>
                <w:rFonts w:ascii="Arial" w:hAnsi="Arial" w:eastAsia="Arial"/>
                <w:b w:val="0"/>
                <w:sz w:val="16"/>
              </w:rPr>
              <w:t>Mr. Ka</w:t>
            </w:r>
          </w:p>
        </w:tc>
        <w:tc>
          <w:tcPr>
            <w:tcW w:type="dxa" w:w="2448"/>
            <w:vAlign w:val="top"/>
          </w:tcPr>
          <w:p>
            <w:pPr>
              <w:spacing w:after="0" w:line="240" w:lineRule="auto"/>
            </w:pPr>
            <w:r/>
            <w:r>
              <w:rPr>
                <w:rFonts w:ascii="Arial" w:hAnsi="Arial" w:eastAsia="Arial"/>
                <w:b w:val="0"/>
                <w:sz w:val="16"/>
              </w:rPr>
              <w:t>50</w:t>
            </w:r>
          </w:p>
        </w:tc>
        <w:tc>
          <w:tcPr>
            <w:tcW w:type="dxa" w:w="1584"/>
            <w:vAlign w:val="top"/>
          </w:tcPr>
          <w:p>
            <w:pPr>
              <w:spacing w:after="0" w:line="240" w:lineRule="auto"/>
            </w:pPr>
            <w:r/>
            <w:r>
              <w:rPr>
                <w:rFonts w:ascii="Arial" w:hAnsi="Arial" w:eastAsia="Arial"/>
                <w:b w:val="0"/>
                <w:sz w:val="16"/>
              </w:rPr>
              <w:t>2.50%</w:t>
            </w:r>
          </w:p>
        </w:tc>
      </w:tr>
      <w:tr>
        <w:tc>
          <w:tcPr>
            <w:tcW w:type="dxa" w:w="1008"/>
            <w:vAlign w:val="top"/>
          </w:tcPr>
          <w:p>
            <w:pPr>
              <w:spacing w:after="0" w:line="240" w:lineRule="auto"/>
            </w:pPr>
            <w:r/>
            <w:r>
              <w:rPr>
                <w:rFonts w:ascii="Arial" w:hAnsi="Arial" w:eastAsia="Arial"/>
                <w:b w:val="0"/>
                <w:sz w:val="16"/>
              </w:rPr>
              <w:t>5</w:t>
            </w:r>
          </w:p>
        </w:tc>
        <w:tc>
          <w:tcPr>
            <w:tcW w:type="dxa" w:w="3456"/>
            <w:vAlign w:val="top"/>
          </w:tcPr>
          <w:p>
            <w:pPr>
              <w:spacing w:after="0" w:line="240" w:lineRule="auto"/>
            </w:pPr>
            <w:r/>
            <w:r>
              <w:rPr>
                <w:rFonts w:ascii="Arial" w:hAnsi="Arial" w:eastAsia="Arial"/>
                <w:b w:val="0"/>
                <w:sz w:val="16"/>
              </w:rPr>
              <w:t>Mr. Kha</w:t>
            </w:r>
          </w:p>
        </w:tc>
        <w:tc>
          <w:tcPr>
            <w:tcW w:type="dxa" w:w="2448"/>
            <w:vAlign w:val="top"/>
          </w:tcPr>
          <w:p>
            <w:pPr>
              <w:spacing w:after="0" w:line="240" w:lineRule="auto"/>
            </w:pPr>
            <w:r/>
            <w:r>
              <w:rPr>
                <w:rFonts w:ascii="Arial" w:hAnsi="Arial" w:eastAsia="Arial"/>
                <w:b w:val="0"/>
                <w:sz w:val="16"/>
              </w:rPr>
              <w:t>30</w:t>
            </w:r>
          </w:p>
        </w:tc>
        <w:tc>
          <w:tcPr>
            <w:tcW w:type="dxa" w:w="1584"/>
            <w:vAlign w:val="top"/>
          </w:tcPr>
          <w:p>
            <w:pPr>
              <w:spacing w:after="0" w:line="240" w:lineRule="auto"/>
            </w:pPr>
            <w:r/>
            <w:r>
              <w:rPr>
                <w:rFonts w:ascii="Arial" w:hAnsi="Arial" w:eastAsia="Arial"/>
                <w:b w:val="0"/>
                <w:sz w:val="16"/>
              </w:rPr>
              <w:t>1.50%</w:t>
            </w:r>
          </w:p>
        </w:tc>
      </w:tr>
      <w:tr>
        <w:tc>
          <w:tcPr>
            <w:tcW w:type="dxa" w:w="1008"/>
            <w:vAlign w:val="top"/>
          </w:tcPr>
          <w:p>
            <w:pPr>
              <w:spacing w:after="0" w:line="240" w:lineRule="auto"/>
            </w:pPr>
            <w:r/>
            <w:r>
              <w:rPr>
                <w:rFonts w:ascii="Arial" w:hAnsi="Arial" w:eastAsia="Arial"/>
                <w:b w:val="0"/>
                <w:sz w:val="16"/>
              </w:rPr>
              <w:t>6</w:t>
            </w:r>
          </w:p>
        </w:tc>
        <w:tc>
          <w:tcPr>
            <w:tcW w:type="dxa" w:w="3456"/>
            <w:vAlign w:val="top"/>
          </w:tcPr>
          <w:p>
            <w:pPr>
              <w:spacing w:after="0" w:line="240" w:lineRule="auto"/>
            </w:pPr>
            <w:r/>
            <w:r>
              <w:rPr>
                <w:rFonts w:ascii="Arial" w:hAnsi="Arial" w:eastAsia="Arial"/>
                <w:b w:val="0"/>
                <w:sz w:val="16"/>
              </w:rPr>
              <w:t>Mrs. Kha</w:t>
            </w:r>
          </w:p>
        </w:tc>
        <w:tc>
          <w:tcPr>
            <w:tcW w:type="dxa" w:w="2448"/>
            <w:vAlign w:val="top"/>
          </w:tcPr>
          <w:p>
            <w:pPr>
              <w:spacing w:after="0" w:line="240" w:lineRule="auto"/>
            </w:pPr>
            <w:r/>
            <w:r>
              <w:rPr>
                <w:rFonts w:ascii="Arial" w:hAnsi="Arial" w:eastAsia="Arial"/>
                <w:b w:val="0"/>
                <w:sz w:val="16"/>
              </w:rPr>
              <w:t>5</w:t>
            </w:r>
          </w:p>
        </w:tc>
        <w:tc>
          <w:tcPr>
            <w:tcW w:type="dxa" w:w="1584"/>
            <w:vAlign w:val="top"/>
          </w:tcPr>
          <w:p>
            <w:pPr>
              <w:spacing w:after="0" w:line="240" w:lineRule="auto"/>
            </w:pPr>
            <w:r/>
            <w:r>
              <w:rPr>
                <w:rFonts w:ascii="Arial" w:hAnsi="Arial" w:eastAsia="Arial"/>
                <w:b w:val="0"/>
                <w:sz w:val="16"/>
              </w:rPr>
              <w:t>0.25%</w:t>
            </w:r>
          </w:p>
        </w:tc>
      </w:tr>
      <w:tr>
        <w:tc>
          <w:tcPr>
            <w:tcW w:type="dxa" w:w="1008"/>
            <w:vAlign w:val="top"/>
          </w:tcPr>
          <w:p>
            <w:pPr>
              <w:spacing w:after="0" w:line="240" w:lineRule="auto"/>
            </w:pPr>
            <w:r/>
            <w:r>
              <w:rPr>
                <w:rFonts w:ascii="Arial" w:hAnsi="Arial" w:eastAsia="Arial"/>
                <w:b w:val="0"/>
                <w:sz w:val="16"/>
              </w:rPr>
              <w:t>7</w:t>
            </w:r>
          </w:p>
        </w:tc>
        <w:tc>
          <w:tcPr>
            <w:tcW w:type="dxa" w:w="3456"/>
            <w:vAlign w:val="top"/>
          </w:tcPr>
          <w:p>
            <w:pPr>
              <w:spacing w:after="0" w:line="240" w:lineRule="auto"/>
            </w:pPr>
            <w:r/>
            <w:r>
              <w:rPr>
                <w:rFonts w:ascii="Arial" w:hAnsi="Arial" w:eastAsia="Arial"/>
                <w:b w:val="0"/>
                <w:sz w:val="16"/>
              </w:rPr>
              <w:t>Mr. Ga</w:t>
            </w:r>
          </w:p>
        </w:tc>
        <w:tc>
          <w:tcPr>
            <w:tcW w:type="dxa" w:w="2448"/>
            <w:vAlign w:val="top"/>
          </w:tcPr>
          <w:p>
            <w:pPr>
              <w:spacing w:after="0" w:line="240" w:lineRule="auto"/>
            </w:pPr>
            <w:r/>
            <w:r>
              <w:rPr>
                <w:rFonts w:ascii="Arial" w:hAnsi="Arial" w:eastAsia="Arial"/>
                <w:b w:val="0"/>
                <w:sz w:val="16"/>
              </w:rPr>
              <w:t>5</w:t>
            </w:r>
          </w:p>
        </w:tc>
        <w:tc>
          <w:tcPr>
            <w:tcW w:type="dxa" w:w="1584"/>
            <w:vAlign w:val="top"/>
          </w:tcPr>
          <w:p>
            <w:pPr>
              <w:spacing w:after="0" w:line="240" w:lineRule="auto"/>
            </w:pPr>
            <w:r/>
            <w:r>
              <w:rPr>
                <w:rFonts w:ascii="Arial" w:hAnsi="Arial" w:eastAsia="Arial"/>
                <w:b w:val="0"/>
                <w:sz w:val="16"/>
              </w:rPr>
              <w:t>0.25%</w:t>
            </w:r>
          </w:p>
        </w:tc>
      </w:tr>
      <w:tr>
        <w:tc>
          <w:tcPr>
            <w:tcW w:type="dxa" w:w="1008"/>
            <w:vAlign w:val="top"/>
          </w:tcPr>
          <w:p>
            <w:pPr>
              <w:spacing w:after="0" w:line="240" w:lineRule="auto"/>
            </w:pPr>
            <w:r/>
            <w:r>
              <w:rPr>
                <w:rFonts w:ascii="Arial" w:hAnsi="Arial" w:eastAsia="Arial"/>
                <w:b w:val="0"/>
                <w:sz w:val="16"/>
              </w:rPr>
              <w:t>8</w:t>
            </w:r>
          </w:p>
        </w:tc>
        <w:tc>
          <w:tcPr>
            <w:tcW w:type="dxa" w:w="3456"/>
            <w:vAlign w:val="top"/>
          </w:tcPr>
          <w:p>
            <w:pPr>
              <w:spacing w:after="0" w:line="240" w:lineRule="auto"/>
            </w:pPr>
            <w:r/>
            <w:r>
              <w:rPr>
                <w:rFonts w:ascii="Arial" w:hAnsi="Arial" w:eastAsia="Arial"/>
                <w:b w:val="0"/>
                <w:sz w:val="16"/>
              </w:rPr>
              <w:t>Mr. Gha</w:t>
            </w:r>
          </w:p>
        </w:tc>
        <w:tc>
          <w:tcPr>
            <w:tcW w:type="dxa" w:w="2448"/>
            <w:vAlign w:val="top"/>
          </w:tcPr>
          <w:p>
            <w:pPr>
              <w:spacing w:after="0" w:line="240" w:lineRule="auto"/>
            </w:pPr>
            <w:r/>
            <w:r>
              <w:rPr>
                <w:rFonts w:ascii="Arial" w:hAnsi="Arial" w:eastAsia="Arial"/>
                <w:b w:val="0"/>
                <w:sz w:val="16"/>
              </w:rPr>
              <w:t>5</w:t>
            </w:r>
          </w:p>
        </w:tc>
        <w:tc>
          <w:tcPr>
            <w:tcW w:type="dxa" w:w="1584"/>
            <w:vAlign w:val="top"/>
          </w:tcPr>
          <w:p>
            <w:pPr>
              <w:spacing w:after="0" w:line="240" w:lineRule="auto"/>
            </w:pPr>
            <w:r/>
            <w:r>
              <w:rPr>
                <w:rFonts w:ascii="Arial" w:hAnsi="Arial" w:eastAsia="Arial"/>
                <w:b w:val="0"/>
                <w:sz w:val="16"/>
              </w:rPr>
              <w:t>0.25%</w:t>
            </w:r>
          </w:p>
        </w:tc>
      </w:tr>
      <w:tr>
        <w:tc>
          <w:tcPr>
            <w:tcW w:type="dxa" w:w="1008"/>
            <w:vAlign w:val="top"/>
          </w:tcPr>
          <w:p>
            <w:pPr>
              <w:spacing w:after="0" w:line="240" w:lineRule="auto"/>
            </w:pPr>
            <w:r/>
            <w:r>
              <w:rPr>
                <w:rFonts w:ascii="Arial" w:hAnsi="Arial" w:eastAsia="Arial"/>
                <w:b w:val="0"/>
                <w:sz w:val="16"/>
              </w:rPr>
              <w:t>9</w:t>
            </w:r>
          </w:p>
        </w:tc>
        <w:tc>
          <w:tcPr>
            <w:tcW w:type="dxa" w:w="3456"/>
            <w:vAlign w:val="top"/>
          </w:tcPr>
          <w:p>
            <w:pPr>
              <w:spacing w:after="0" w:line="240" w:lineRule="auto"/>
            </w:pPr>
            <w:r/>
            <w:r>
              <w:rPr>
                <w:rFonts w:ascii="Arial" w:hAnsi="Arial" w:eastAsia="Arial"/>
                <w:b w:val="0"/>
                <w:sz w:val="16"/>
              </w:rPr>
              <w:t>Mr. Nga</w:t>
            </w:r>
          </w:p>
        </w:tc>
        <w:tc>
          <w:tcPr>
            <w:tcW w:type="dxa" w:w="2448"/>
            <w:vAlign w:val="top"/>
          </w:tcPr>
          <w:p>
            <w:pPr>
              <w:spacing w:after="0" w:line="240" w:lineRule="auto"/>
            </w:pPr>
            <w:r/>
            <w:r>
              <w:rPr>
                <w:rFonts w:ascii="Arial" w:hAnsi="Arial" w:eastAsia="Arial"/>
                <w:b w:val="0"/>
                <w:sz w:val="16"/>
              </w:rPr>
              <w:t>5</w:t>
            </w:r>
          </w:p>
        </w:tc>
        <w:tc>
          <w:tcPr>
            <w:tcW w:type="dxa" w:w="1584"/>
            <w:vAlign w:val="top"/>
          </w:tcPr>
          <w:p>
            <w:pPr>
              <w:spacing w:after="0" w:line="240" w:lineRule="auto"/>
            </w:pPr>
            <w:r/>
            <w:r>
              <w:rPr>
                <w:rFonts w:ascii="Arial" w:hAnsi="Arial" w:eastAsia="Arial"/>
                <w:b w:val="0"/>
                <w:sz w:val="16"/>
              </w:rPr>
              <w:t>0.25%</w:t>
            </w:r>
          </w:p>
        </w:tc>
      </w:tr>
      <w:tr>
        <w:tc>
          <w:tcPr>
            <w:tcW w:type="dxa" w:w="1008"/>
            <w:vAlign w:val="top"/>
          </w:tcPr>
          <w:p>
            <w:pPr>
              <w:spacing w:after="0" w:line="240" w:lineRule="auto"/>
            </w:pPr>
            <w:r/>
            <w:r>
              <w:rPr>
                <w:rFonts w:ascii="Arial" w:hAnsi="Arial" w:eastAsia="Arial"/>
                <w:b w:val="0"/>
                <w:sz w:val="16"/>
              </w:rPr>
              <w:t>Total</w:t>
            </w:r>
          </w:p>
        </w:tc>
        <w:tc>
          <w:tcPr>
            <w:tcW w:type="dxa" w:w="3456"/>
            <w:vAlign w:val="top"/>
          </w:tcPr>
          <w:p>
            <w:pPr>
              <w:spacing w:after="0" w:line="240" w:lineRule="auto"/>
            </w:pPr>
            <w:r/>
            <w:r>
              <w:rPr>
                <w:rFonts w:ascii="Arial" w:hAnsi="Arial" w:eastAsia="Arial"/>
                <w:b w:val="0"/>
                <w:sz w:val="16"/>
              </w:rPr>
            </w:r>
          </w:p>
        </w:tc>
        <w:tc>
          <w:tcPr>
            <w:tcW w:type="dxa" w:w="2448"/>
            <w:vAlign w:val="top"/>
          </w:tcPr>
          <w:p>
            <w:pPr>
              <w:spacing w:after="0" w:line="240" w:lineRule="auto"/>
            </w:pPr>
            <w:r/>
            <w:r>
              <w:rPr>
                <w:rFonts w:ascii="Arial" w:hAnsi="Arial" w:eastAsia="Arial"/>
                <w:b w:val="0"/>
                <w:sz w:val="16"/>
              </w:rPr>
              <w:t>2,000</w:t>
            </w:r>
          </w:p>
        </w:tc>
        <w:tc>
          <w:tcPr>
            <w:tcW w:type="dxa" w:w="1584"/>
            <w:vAlign w:val="top"/>
          </w:tcPr>
          <w:p>
            <w:pPr>
              <w:spacing w:after="0" w:line="240" w:lineRule="auto"/>
            </w:pPr>
            <w:r/>
            <w:r>
              <w:rPr>
                <w:rFonts w:ascii="Arial" w:hAnsi="Arial" w:eastAsia="Arial"/>
                <w:b w:val="0"/>
                <w:sz w:val="16"/>
              </w:rPr>
              <w:t>100.00%</w:t>
            </w:r>
          </w:p>
        </w:tc>
      </w:tr>
    </w:tbl>
    <w:p/>
    <w:p>
      <w:pPr>
        <w:spacing w:after="80" w:line="252" w:lineRule="auto"/>
      </w:pPr>
      <w:r>
        <w:rPr>
          <w:rFonts w:ascii="Arial" w:hAnsi="Arial" w:eastAsia="Arial"/>
          <w:b w:val="0"/>
          <w:i w:val="0"/>
          <w:sz w:val="20"/>
        </w:rPr>
        <w:t>If Mr. Kha and Mrs. Kha are husband and wife, they are associated persons under Section 2(ka) and Section 2(ba). Although Mrs. Kha holds only 5 shares, i.e., 0.25 percent of 2,000 shares and therefore less than one percent, because Mr. Kha holds 30 shares, i.e., 1.5 percent, the transfer of shares by Mrs. Kha must be included in computing change in ownership. If Mr. Gha is not associated with any other shareholder, then his sale of 5 shares, being only 0.25 percent of total ownership, is not included in the calculation of change in ownership.</w:t>
      </w:r>
    </w:p>
    <w:p>
      <w:pPr>
        <w:pStyle w:val="Heading3"/>
      </w:pPr>
      <w:r>
        <w:t>13.10.3 Disposal of Assets and Liabilities</w:t>
      </w:r>
    </w:p>
    <w:p>
      <w:pPr>
        <w:spacing w:after="80" w:line="252" w:lineRule="auto"/>
      </w:pPr>
      <w:r>
        <w:rPr>
          <w:rFonts w:ascii="Arial" w:hAnsi="Arial" w:eastAsia="Arial"/>
          <w:b w:val="0"/>
          <w:i w:val="0"/>
          <w:sz w:val="20"/>
        </w:rPr>
        <w:t>Where ownership of an entity changes by 50 percent or more within a moving three-year period, the assets owned and liabilities owed by the entity are treated as disposed of. The following examples explain the provision.</w:t>
      </w:r>
    </w:p>
    <w:p>
      <w:pPr>
        <w:spacing w:after="80" w:line="252" w:lineRule="auto"/>
      </w:pPr>
      <w:r>
        <w:rPr>
          <w:rFonts w:ascii="Arial" w:hAnsi="Arial" w:eastAsia="Arial"/>
          <w:b/>
          <w:i w:val="0"/>
          <w:sz w:val="20"/>
        </w:rPr>
        <w:t>Example 13.10.4:</w:t>
      </w:r>
    </w:p>
    <w:p>
      <w:pPr>
        <w:spacing w:after="80" w:line="252" w:lineRule="auto"/>
      </w:pPr>
      <w:r>
        <w:rPr>
          <w:rFonts w:ascii="Arial" w:hAnsi="Arial" w:eastAsia="Arial"/>
          <w:b w:val="0"/>
          <w:i w:val="0"/>
          <w:sz w:val="20"/>
        </w:rPr>
        <w:t>Assume that 50 percent share ownership of Danfe Company Pvt. Ltd. changed on 15 Chaitra 2078. On that date the company had the following assets and liabilities:</w:t>
      </w:r>
    </w:p>
    <w:tbl>
      <w:tblPr>
        <w:tblStyle w:val="TableGrid"/>
        <w:tblW w:type="auto" w:w="0"/>
        <w:jc w:val="center"/>
        <w:tblLayout w:type="autofit"/>
        <w:tblLook w:firstColumn="1" w:firstRow="1" w:lastColumn="0" w:lastRow="0" w:noHBand="0" w:noVBand="1" w:val="04A0"/>
      </w:tblPr>
      <w:tblGrid>
        <w:gridCol w:w="1704"/>
        <w:gridCol w:w="1704"/>
        <w:gridCol w:w="1704"/>
        <w:gridCol w:w="1704"/>
        <w:gridCol w:w="1704"/>
        <w:gridCol w:w="1704"/>
      </w:tblGrid>
      <w:tr>
        <w:tc>
          <w:tcPr>
            <w:tcW w:type="dxa" w:w="2088"/>
            <w:vAlign w:val="top"/>
            <w:shd w:fill="D9EAF7"/>
          </w:tcPr>
          <w:p>
            <w:pPr>
              <w:spacing w:after="0" w:line="240" w:lineRule="auto"/>
            </w:pPr>
            <w:r/>
            <w:r>
              <w:rPr>
                <w:rFonts w:ascii="Arial" w:hAnsi="Arial" w:eastAsia="Arial"/>
                <w:b/>
                <w:sz w:val="14"/>
              </w:rPr>
              <w:t>Capital and liabilities</w:t>
            </w:r>
          </w:p>
        </w:tc>
        <w:tc>
          <w:tcPr>
            <w:tcW w:type="dxa" w:w="1512"/>
            <w:vAlign w:val="top"/>
            <w:shd w:fill="D9EAF7"/>
          </w:tcPr>
          <w:p>
            <w:pPr>
              <w:spacing w:after="0" w:line="240" w:lineRule="auto"/>
            </w:pPr>
            <w:r/>
            <w:r>
              <w:rPr>
                <w:rFonts w:ascii="Arial" w:hAnsi="Arial" w:eastAsia="Arial"/>
                <w:b/>
                <w:sz w:val="14"/>
              </w:rPr>
              <w:t>Book value (Rs.)</w:t>
            </w:r>
          </w:p>
        </w:tc>
        <w:tc>
          <w:tcPr>
            <w:tcW w:type="dxa" w:w="1584"/>
            <w:vAlign w:val="top"/>
            <w:shd w:fill="D9EAF7"/>
          </w:tcPr>
          <w:p>
            <w:pPr>
              <w:spacing w:after="0" w:line="240" w:lineRule="auto"/>
            </w:pPr>
            <w:r/>
            <w:r>
              <w:rPr>
                <w:rFonts w:ascii="Arial" w:hAnsi="Arial" w:eastAsia="Arial"/>
                <w:b/>
                <w:sz w:val="14"/>
              </w:rPr>
              <w:t>Market value (Rs.)</w:t>
            </w:r>
          </w:p>
        </w:tc>
        <w:tc>
          <w:tcPr>
            <w:tcW w:type="dxa" w:w="2088"/>
            <w:vAlign w:val="top"/>
            <w:shd w:fill="D9EAF7"/>
          </w:tcPr>
          <w:p>
            <w:pPr>
              <w:spacing w:after="0" w:line="240" w:lineRule="auto"/>
            </w:pPr>
            <w:r/>
            <w:r>
              <w:rPr>
                <w:rFonts w:ascii="Arial" w:hAnsi="Arial" w:eastAsia="Arial"/>
                <w:b/>
                <w:sz w:val="14"/>
              </w:rPr>
              <w:t>Assets</w:t>
            </w:r>
          </w:p>
        </w:tc>
        <w:tc>
          <w:tcPr>
            <w:tcW w:type="dxa" w:w="1512"/>
            <w:vAlign w:val="top"/>
            <w:shd w:fill="D9EAF7"/>
          </w:tcPr>
          <w:p>
            <w:pPr>
              <w:spacing w:after="0" w:line="240" w:lineRule="auto"/>
            </w:pPr>
            <w:r/>
            <w:r>
              <w:rPr>
                <w:rFonts w:ascii="Arial" w:hAnsi="Arial" w:eastAsia="Arial"/>
                <w:b/>
                <w:sz w:val="14"/>
              </w:rPr>
              <w:t>Book value (Rs.)</w:t>
            </w:r>
          </w:p>
        </w:tc>
        <w:tc>
          <w:tcPr>
            <w:tcW w:type="dxa" w:w="1584"/>
            <w:vAlign w:val="top"/>
            <w:shd w:fill="D9EAF7"/>
          </w:tcPr>
          <w:p>
            <w:pPr>
              <w:spacing w:after="0" w:line="240" w:lineRule="auto"/>
            </w:pPr>
            <w:r/>
            <w:r>
              <w:rPr>
                <w:rFonts w:ascii="Arial" w:hAnsi="Arial" w:eastAsia="Arial"/>
                <w:b/>
                <w:sz w:val="14"/>
              </w:rPr>
              <w:t>Market value (Rs.)</w:t>
            </w:r>
          </w:p>
        </w:tc>
      </w:tr>
      <w:tr>
        <w:tc>
          <w:tcPr>
            <w:tcW w:type="dxa" w:w="2088"/>
            <w:vAlign w:val="top"/>
          </w:tcPr>
          <w:p>
            <w:pPr>
              <w:spacing w:after="0" w:line="240" w:lineRule="auto"/>
            </w:pPr>
            <w:r/>
            <w:r>
              <w:rPr>
                <w:rFonts w:ascii="Arial" w:hAnsi="Arial" w:eastAsia="Arial"/>
                <w:b w:val="0"/>
                <w:sz w:val="14"/>
              </w:rPr>
              <w:t>Share capital</w:t>
            </w:r>
          </w:p>
        </w:tc>
        <w:tc>
          <w:tcPr>
            <w:tcW w:type="dxa" w:w="1512"/>
            <w:vAlign w:val="top"/>
          </w:tcPr>
          <w:p>
            <w:pPr>
              <w:spacing w:after="0" w:line="240" w:lineRule="auto"/>
            </w:pPr>
            <w:r/>
            <w:r>
              <w:rPr>
                <w:rFonts w:ascii="Arial" w:hAnsi="Arial" w:eastAsia="Arial"/>
                <w:b w:val="0"/>
                <w:sz w:val="14"/>
              </w:rPr>
              <w:t>10,000,000</w:t>
            </w:r>
          </w:p>
        </w:tc>
        <w:tc>
          <w:tcPr>
            <w:tcW w:type="dxa" w:w="1584"/>
            <w:vAlign w:val="top"/>
          </w:tcPr>
          <w:p>
            <w:pPr>
              <w:spacing w:after="0" w:line="240" w:lineRule="auto"/>
            </w:pPr>
            <w:r/>
            <w:r>
              <w:rPr>
                <w:rFonts w:ascii="Arial" w:hAnsi="Arial" w:eastAsia="Arial"/>
                <w:b w:val="0"/>
                <w:sz w:val="14"/>
              </w:rPr>
              <w:t>10,000,000</w:t>
            </w:r>
          </w:p>
        </w:tc>
        <w:tc>
          <w:tcPr>
            <w:tcW w:type="dxa" w:w="2088"/>
            <w:vAlign w:val="top"/>
          </w:tcPr>
          <w:p>
            <w:pPr>
              <w:spacing w:after="0" w:line="240" w:lineRule="auto"/>
            </w:pPr>
            <w:r/>
            <w:r>
              <w:rPr>
                <w:rFonts w:ascii="Arial" w:hAnsi="Arial" w:eastAsia="Arial"/>
                <w:b w:val="0"/>
                <w:sz w:val="14"/>
              </w:rPr>
              <w:t>Closing stock</w:t>
            </w:r>
          </w:p>
        </w:tc>
        <w:tc>
          <w:tcPr>
            <w:tcW w:type="dxa" w:w="1512"/>
            <w:vAlign w:val="top"/>
          </w:tcPr>
          <w:p>
            <w:pPr>
              <w:spacing w:after="0" w:line="240" w:lineRule="auto"/>
            </w:pPr>
            <w:r/>
            <w:r>
              <w:rPr>
                <w:rFonts w:ascii="Arial" w:hAnsi="Arial" w:eastAsia="Arial"/>
                <w:b w:val="0"/>
                <w:sz w:val="14"/>
              </w:rPr>
              <w:t>500,000</w:t>
            </w:r>
          </w:p>
        </w:tc>
        <w:tc>
          <w:tcPr>
            <w:tcW w:type="dxa" w:w="1584"/>
            <w:vAlign w:val="top"/>
          </w:tcPr>
          <w:p>
            <w:pPr>
              <w:spacing w:after="0" w:line="240" w:lineRule="auto"/>
            </w:pPr>
            <w:r/>
            <w:r>
              <w:rPr>
                <w:rFonts w:ascii="Arial" w:hAnsi="Arial" w:eastAsia="Arial"/>
                <w:b w:val="0"/>
                <w:sz w:val="14"/>
              </w:rPr>
              <w:t>600,000</w:t>
            </w:r>
          </w:p>
        </w:tc>
      </w:tr>
      <w:tr>
        <w:tc>
          <w:tcPr>
            <w:tcW w:type="dxa" w:w="2088"/>
            <w:vAlign w:val="top"/>
          </w:tcPr>
          <w:p>
            <w:pPr>
              <w:spacing w:after="0" w:line="240" w:lineRule="auto"/>
            </w:pPr>
            <w:r/>
            <w:r>
              <w:rPr>
                <w:rFonts w:ascii="Arial" w:hAnsi="Arial" w:eastAsia="Arial"/>
                <w:b w:val="0"/>
                <w:sz w:val="14"/>
              </w:rPr>
              <w:t>Reserve</w:t>
            </w:r>
          </w:p>
        </w:tc>
        <w:tc>
          <w:tcPr>
            <w:tcW w:type="dxa" w:w="1512"/>
            <w:vAlign w:val="top"/>
          </w:tcPr>
          <w:p>
            <w:pPr>
              <w:spacing w:after="0" w:line="240" w:lineRule="auto"/>
            </w:pPr>
            <w:r/>
            <w:r>
              <w:rPr>
                <w:rFonts w:ascii="Arial" w:hAnsi="Arial" w:eastAsia="Arial"/>
                <w:b w:val="0"/>
                <w:sz w:val="14"/>
              </w:rPr>
              <w:t>3,000,000</w:t>
            </w:r>
          </w:p>
        </w:tc>
        <w:tc>
          <w:tcPr>
            <w:tcW w:type="dxa" w:w="1584"/>
            <w:vAlign w:val="top"/>
          </w:tcPr>
          <w:p>
            <w:pPr>
              <w:spacing w:after="0" w:line="240" w:lineRule="auto"/>
            </w:pPr>
            <w:r/>
            <w:r>
              <w:rPr>
                <w:rFonts w:ascii="Arial" w:hAnsi="Arial" w:eastAsia="Arial"/>
                <w:b w:val="0"/>
                <w:sz w:val="14"/>
              </w:rPr>
              <w:t>3,000,000</w:t>
            </w:r>
          </w:p>
        </w:tc>
        <w:tc>
          <w:tcPr>
            <w:tcW w:type="dxa" w:w="2088"/>
            <w:vAlign w:val="top"/>
          </w:tcPr>
          <w:p>
            <w:pPr>
              <w:spacing w:after="0" w:line="240" w:lineRule="auto"/>
            </w:pPr>
            <w:r>
              <w:t>Depreciable property - Class A</w:t>
            </w:r>
            <w:r>
              <w:rPr>
                <w:rFonts w:ascii="Arial" w:hAnsi="Arial" w:eastAsia="Arial"/>
                <w:b w:val="0"/>
                <w:sz w:val="14"/>
              </w:rPr>
            </w:r>
          </w:p>
        </w:tc>
        <w:tc>
          <w:tcPr>
            <w:tcW w:type="dxa" w:w="1512"/>
            <w:vAlign w:val="top"/>
          </w:tcPr>
          <w:p>
            <w:pPr>
              <w:spacing w:after="0" w:line="240" w:lineRule="auto"/>
            </w:pPr>
            <w:r/>
            <w:r>
              <w:rPr>
                <w:rFonts w:ascii="Arial" w:hAnsi="Arial" w:eastAsia="Arial"/>
                <w:b w:val="0"/>
                <w:sz w:val="14"/>
              </w:rPr>
              <w:t>400,000</w:t>
            </w:r>
          </w:p>
        </w:tc>
        <w:tc>
          <w:tcPr>
            <w:tcW w:type="dxa" w:w="1584"/>
            <w:vAlign w:val="top"/>
          </w:tcPr>
          <w:p>
            <w:pPr>
              <w:spacing w:after="0" w:line="240" w:lineRule="auto"/>
            </w:pPr>
            <w:r/>
            <w:r>
              <w:rPr>
                <w:rFonts w:ascii="Arial" w:hAnsi="Arial" w:eastAsia="Arial"/>
                <w:b w:val="0"/>
                <w:sz w:val="14"/>
              </w:rPr>
              <w:t>600,000</w:t>
            </w:r>
          </w:p>
        </w:tc>
      </w:tr>
      <w:tr>
        <w:tc>
          <w:tcPr>
            <w:tcW w:type="dxa" w:w="2088"/>
            <w:vAlign w:val="top"/>
          </w:tcPr>
          <w:p>
            <w:pPr>
              <w:spacing w:after="0" w:line="240" w:lineRule="auto"/>
            </w:pPr>
            <w:r/>
            <w:r>
              <w:rPr>
                <w:rFonts w:ascii="Arial" w:hAnsi="Arial" w:eastAsia="Arial"/>
                <w:b w:val="0"/>
                <w:sz w:val="14"/>
              </w:rPr>
              <w:t>Other liabilities</w:t>
            </w:r>
          </w:p>
        </w:tc>
        <w:tc>
          <w:tcPr>
            <w:tcW w:type="dxa" w:w="1512"/>
            <w:vAlign w:val="top"/>
          </w:tcPr>
          <w:p>
            <w:pPr>
              <w:spacing w:after="0" w:line="240" w:lineRule="auto"/>
            </w:pPr>
            <w:r/>
            <w:r>
              <w:rPr>
                <w:rFonts w:ascii="Arial" w:hAnsi="Arial" w:eastAsia="Arial"/>
                <w:b w:val="0"/>
                <w:sz w:val="14"/>
              </w:rPr>
              <w:t>4,500,000</w:t>
            </w:r>
          </w:p>
        </w:tc>
        <w:tc>
          <w:tcPr>
            <w:tcW w:type="dxa" w:w="1584"/>
            <w:vAlign w:val="top"/>
          </w:tcPr>
          <w:p>
            <w:pPr>
              <w:spacing w:after="0" w:line="240" w:lineRule="auto"/>
            </w:pPr>
            <w:r/>
            <w:r>
              <w:rPr>
                <w:rFonts w:ascii="Arial" w:hAnsi="Arial" w:eastAsia="Arial"/>
                <w:b w:val="0"/>
                <w:sz w:val="14"/>
              </w:rPr>
              <w:t>4,500,000</w:t>
            </w:r>
          </w:p>
        </w:tc>
        <w:tc>
          <w:tcPr>
            <w:tcW w:type="dxa" w:w="2088"/>
            <w:vAlign w:val="top"/>
          </w:tcPr>
          <w:p>
            <w:pPr>
              <w:spacing w:after="0" w:line="240" w:lineRule="auto"/>
            </w:pPr>
            <w:r/>
            <w:r>
              <w:rPr>
                <w:rFonts w:ascii="Arial" w:hAnsi="Arial" w:eastAsia="Arial"/>
                <w:b w:val="0"/>
                <w:sz w:val="14"/>
              </w:rPr>
              <w:t>Land</w:t>
            </w:r>
          </w:p>
        </w:tc>
        <w:tc>
          <w:tcPr>
            <w:tcW w:type="dxa" w:w="1512"/>
            <w:vAlign w:val="top"/>
          </w:tcPr>
          <w:p>
            <w:pPr>
              <w:spacing w:after="0" w:line="240" w:lineRule="auto"/>
            </w:pPr>
            <w:r/>
            <w:r>
              <w:rPr>
                <w:rFonts w:ascii="Arial" w:hAnsi="Arial" w:eastAsia="Arial"/>
                <w:b w:val="0"/>
                <w:sz w:val="14"/>
              </w:rPr>
              <w:t>10,000,000</w:t>
            </w:r>
          </w:p>
        </w:tc>
        <w:tc>
          <w:tcPr>
            <w:tcW w:type="dxa" w:w="1584"/>
            <w:vAlign w:val="top"/>
          </w:tcPr>
          <w:p>
            <w:pPr>
              <w:spacing w:after="0" w:line="240" w:lineRule="auto"/>
            </w:pPr>
            <w:r/>
            <w:r>
              <w:rPr>
                <w:rFonts w:ascii="Arial" w:hAnsi="Arial" w:eastAsia="Arial"/>
                <w:b w:val="0"/>
                <w:sz w:val="14"/>
              </w:rPr>
              <w:t>15,000,000</w:t>
            </w:r>
          </w:p>
        </w:tc>
      </w:tr>
      <w:tr>
        <w:tc>
          <w:tcPr>
            <w:tcW w:type="dxa" w:w="2088"/>
            <w:vAlign w:val="top"/>
          </w:tcPr>
          <w:p>
            <w:pPr>
              <w:spacing w:after="0" w:line="240" w:lineRule="auto"/>
            </w:pPr>
            <w:r/>
            <w:r>
              <w:rPr>
                <w:rFonts w:ascii="Arial" w:hAnsi="Arial" w:eastAsia="Arial"/>
                <w:b w:val="0"/>
                <w:sz w:val="14"/>
              </w:rPr>
              <w:t>Gain from disposal</w:t>
            </w:r>
          </w:p>
        </w:tc>
        <w:tc>
          <w:tcPr>
            <w:tcW w:type="dxa" w:w="1512"/>
            <w:vAlign w:val="top"/>
          </w:tcPr>
          <w:p>
            <w:pPr>
              <w:spacing w:after="0" w:line="240" w:lineRule="auto"/>
            </w:pPr>
            <w:r/>
            <w:r>
              <w:rPr>
                <w:rFonts w:ascii="Arial" w:hAnsi="Arial" w:eastAsia="Arial"/>
                <w:b w:val="0"/>
                <w:sz w:val="14"/>
              </w:rPr>
            </w:r>
          </w:p>
        </w:tc>
        <w:tc>
          <w:tcPr>
            <w:tcW w:type="dxa" w:w="1584"/>
            <w:vAlign w:val="top"/>
          </w:tcPr>
          <w:p>
            <w:pPr>
              <w:spacing w:after="0" w:line="240" w:lineRule="auto"/>
            </w:pPr>
            <w:r/>
            <w:r>
              <w:rPr>
                <w:rFonts w:ascii="Arial" w:hAnsi="Arial" w:eastAsia="Arial"/>
                <w:b w:val="0"/>
                <w:sz w:val="14"/>
              </w:rPr>
              <w:t>4,350,000</w:t>
            </w:r>
          </w:p>
        </w:tc>
        <w:tc>
          <w:tcPr>
            <w:tcW w:type="dxa" w:w="2088"/>
            <w:vAlign w:val="top"/>
          </w:tcPr>
          <w:p>
            <w:pPr>
              <w:spacing w:after="0" w:line="240" w:lineRule="auto"/>
            </w:pPr>
            <w:r/>
            <w:r>
              <w:rPr>
                <w:rFonts w:ascii="Arial" w:hAnsi="Arial" w:eastAsia="Arial"/>
                <w:b w:val="0"/>
                <w:sz w:val="14"/>
              </w:rPr>
              <w:t>Other investment</w:t>
            </w:r>
          </w:p>
        </w:tc>
        <w:tc>
          <w:tcPr>
            <w:tcW w:type="dxa" w:w="1512"/>
            <w:vAlign w:val="top"/>
          </w:tcPr>
          <w:p>
            <w:pPr>
              <w:spacing w:after="0" w:line="240" w:lineRule="auto"/>
            </w:pPr>
            <w:r/>
            <w:r>
              <w:rPr>
                <w:rFonts w:ascii="Arial" w:hAnsi="Arial" w:eastAsia="Arial"/>
                <w:b w:val="0"/>
                <w:sz w:val="14"/>
              </w:rPr>
              <w:t>5,000,000</w:t>
            </w:r>
          </w:p>
        </w:tc>
        <w:tc>
          <w:tcPr>
            <w:tcW w:type="dxa" w:w="1584"/>
            <w:vAlign w:val="top"/>
          </w:tcPr>
          <w:p>
            <w:pPr>
              <w:spacing w:after="0" w:line="240" w:lineRule="auto"/>
            </w:pPr>
            <w:r/>
            <w:r>
              <w:rPr>
                <w:rFonts w:ascii="Arial" w:hAnsi="Arial" w:eastAsia="Arial"/>
                <w:b w:val="0"/>
                <w:sz w:val="14"/>
              </w:rPr>
              <w:t>4,000,000</w:t>
            </w:r>
          </w:p>
        </w:tc>
      </w:tr>
      <w:tr>
        <w:tc>
          <w:tcPr>
            <w:tcW w:type="dxa" w:w="2088"/>
            <w:vAlign w:val="top"/>
          </w:tcPr>
          <w:p>
            <w:pPr>
              <w:spacing w:after="0" w:line="240" w:lineRule="auto"/>
            </w:pPr>
            <w:r/>
            <w:r>
              <w:rPr>
                <w:rFonts w:ascii="Arial" w:hAnsi="Arial" w:eastAsia="Arial"/>
                <w:b w:val="0"/>
                <w:sz w:val="14"/>
              </w:rPr>
            </w:r>
          </w:p>
        </w:tc>
        <w:tc>
          <w:tcPr>
            <w:tcW w:type="dxa" w:w="1512"/>
            <w:vAlign w:val="top"/>
          </w:tcPr>
          <w:p>
            <w:pPr>
              <w:spacing w:after="0" w:line="240" w:lineRule="auto"/>
            </w:pPr>
            <w:r/>
            <w:r>
              <w:rPr>
                <w:rFonts w:ascii="Arial" w:hAnsi="Arial" w:eastAsia="Arial"/>
                <w:b w:val="0"/>
                <w:sz w:val="14"/>
              </w:rPr>
            </w:r>
          </w:p>
        </w:tc>
        <w:tc>
          <w:tcPr>
            <w:tcW w:type="dxa" w:w="1584"/>
            <w:vAlign w:val="top"/>
          </w:tcPr>
          <w:p>
            <w:pPr>
              <w:spacing w:after="0" w:line="240" w:lineRule="auto"/>
            </w:pPr>
            <w:r/>
            <w:r>
              <w:rPr>
                <w:rFonts w:ascii="Arial" w:hAnsi="Arial" w:eastAsia="Arial"/>
                <w:b w:val="0"/>
                <w:sz w:val="14"/>
              </w:rPr>
            </w:r>
          </w:p>
        </w:tc>
        <w:tc>
          <w:tcPr>
            <w:tcW w:type="dxa" w:w="2088"/>
            <w:vAlign w:val="top"/>
          </w:tcPr>
          <w:p>
            <w:pPr>
              <w:spacing w:after="0" w:line="240" w:lineRule="auto"/>
            </w:pPr>
            <w:r/>
            <w:r>
              <w:rPr>
                <w:rFonts w:ascii="Arial" w:hAnsi="Arial" w:eastAsia="Arial"/>
                <w:b w:val="0"/>
                <w:sz w:val="14"/>
              </w:rPr>
              <w:t>Cash balance</w:t>
            </w:r>
          </w:p>
        </w:tc>
        <w:tc>
          <w:tcPr>
            <w:tcW w:type="dxa" w:w="1512"/>
            <w:vAlign w:val="top"/>
          </w:tcPr>
          <w:p>
            <w:pPr>
              <w:spacing w:after="0" w:line="240" w:lineRule="auto"/>
            </w:pPr>
            <w:r/>
            <w:r>
              <w:rPr>
                <w:rFonts w:ascii="Arial" w:hAnsi="Arial" w:eastAsia="Arial"/>
                <w:b w:val="0"/>
                <w:sz w:val="14"/>
              </w:rPr>
              <w:t>100,000</w:t>
            </w:r>
          </w:p>
        </w:tc>
        <w:tc>
          <w:tcPr>
            <w:tcW w:type="dxa" w:w="1584"/>
            <w:vAlign w:val="top"/>
          </w:tcPr>
          <w:p>
            <w:pPr>
              <w:spacing w:after="0" w:line="240" w:lineRule="auto"/>
            </w:pPr>
            <w:r/>
            <w:r>
              <w:rPr>
                <w:rFonts w:ascii="Arial" w:hAnsi="Arial" w:eastAsia="Arial"/>
                <w:b w:val="0"/>
                <w:sz w:val="14"/>
              </w:rPr>
              <w:t>100,000</w:t>
            </w:r>
          </w:p>
        </w:tc>
      </w:tr>
      <w:tr>
        <w:tc>
          <w:tcPr>
            <w:tcW w:type="dxa" w:w="2088"/>
            <w:vAlign w:val="top"/>
          </w:tcPr>
          <w:p>
            <w:pPr>
              <w:spacing w:after="0" w:line="240" w:lineRule="auto"/>
            </w:pPr>
            <w:r/>
            <w:r>
              <w:rPr>
                <w:rFonts w:ascii="Arial" w:hAnsi="Arial" w:eastAsia="Arial"/>
                <w:b w:val="0"/>
                <w:sz w:val="14"/>
              </w:rPr>
            </w:r>
          </w:p>
        </w:tc>
        <w:tc>
          <w:tcPr>
            <w:tcW w:type="dxa" w:w="1512"/>
            <w:vAlign w:val="top"/>
          </w:tcPr>
          <w:p>
            <w:pPr>
              <w:spacing w:after="0" w:line="240" w:lineRule="auto"/>
            </w:pPr>
            <w:r/>
            <w:r>
              <w:rPr>
                <w:rFonts w:ascii="Arial" w:hAnsi="Arial" w:eastAsia="Arial"/>
                <w:b w:val="0"/>
                <w:sz w:val="14"/>
              </w:rPr>
            </w:r>
          </w:p>
        </w:tc>
        <w:tc>
          <w:tcPr>
            <w:tcW w:type="dxa" w:w="1584"/>
            <w:vAlign w:val="top"/>
          </w:tcPr>
          <w:p>
            <w:pPr>
              <w:spacing w:after="0" w:line="240" w:lineRule="auto"/>
            </w:pPr>
            <w:r/>
            <w:r>
              <w:rPr>
                <w:rFonts w:ascii="Arial" w:hAnsi="Arial" w:eastAsia="Arial"/>
                <w:b w:val="0"/>
                <w:sz w:val="14"/>
              </w:rPr>
            </w:r>
          </w:p>
        </w:tc>
        <w:tc>
          <w:tcPr>
            <w:tcW w:type="dxa" w:w="2088"/>
            <w:vAlign w:val="top"/>
          </w:tcPr>
          <w:p>
            <w:pPr>
              <w:spacing w:after="0" w:line="240" w:lineRule="auto"/>
            </w:pPr>
            <w:r/>
            <w:r>
              <w:rPr>
                <w:rFonts w:ascii="Arial" w:hAnsi="Arial" w:eastAsia="Arial"/>
                <w:b w:val="0"/>
                <w:sz w:val="14"/>
              </w:rPr>
              <w:t>Bank balance</w:t>
            </w:r>
          </w:p>
        </w:tc>
        <w:tc>
          <w:tcPr>
            <w:tcW w:type="dxa" w:w="1512"/>
            <w:vAlign w:val="top"/>
          </w:tcPr>
          <w:p>
            <w:pPr>
              <w:spacing w:after="0" w:line="240" w:lineRule="auto"/>
            </w:pPr>
            <w:r/>
            <w:r>
              <w:rPr>
                <w:rFonts w:ascii="Arial" w:hAnsi="Arial" w:eastAsia="Arial"/>
                <w:b w:val="0"/>
                <w:sz w:val="14"/>
              </w:rPr>
              <w:t>1,000,000</w:t>
            </w:r>
          </w:p>
        </w:tc>
        <w:tc>
          <w:tcPr>
            <w:tcW w:type="dxa" w:w="1584"/>
            <w:vAlign w:val="top"/>
          </w:tcPr>
          <w:p>
            <w:pPr>
              <w:spacing w:after="0" w:line="240" w:lineRule="auto"/>
            </w:pPr>
            <w:r/>
            <w:r>
              <w:rPr>
                <w:rFonts w:ascii="Arial" w:hAnsi="Arial" w:eastAsia="Arial"/>
                <w:b w:val="0"/>
                <w:sz w:val="14"/>
              </w:rPr>
              <w:t>1,000,000</w:t>
            </w:r>
          </w:p>
        </w:tc>
      </w:tr>
      <w:tr>
        <w:tc>
          <w:tcPr>
            <w:tcW w:type="dxa" w:w="2088"/>
            <w:vAlign w:val="top"/>
          </w:tcPr>
          <w:p>
            <w:pPr>
              <w:spacing w:after="0" w:line="240" w:lineRule="auto"/>
            </w:pPr>
            <w:r/>
            <w:r>
              <w:rPr>
                <w:rFonts w:ascii="Arial" w:hAnsi="Arial" w:eastAsia="Arial"/>
                <w:b w:val="0"/>
                <w:sz w:val="14"/>
              </w:rPr>
            </w:r>
          </w:p>
        </w:tc>
        <w:tc>
          <w:tcPr>
            <w:tcW w:type="dxa" w:w="1512"/>
            <w:vAlign w:val="top"/>
          </w:tcPr>
          <w:p>
            <w:pPr>
              <w:spacing w:after="0" w:line="240" w:lineRule="auto"/>
            </w:pPr>
            <w:r/>
            <w:r>
              <w:rPr>
                <w:rFonts w:ascii="Arial" w:hAnsi="Arial" w:eastAsia="Arial"/>
                <w:b w:val="0"/>
                <w:sz w:val="14"/>
              </w:rPr>
            </w:r>
          </w:p>
        </w:tc>
        <w:tc>
          <w:tcPr>
            <w:tcW w:type="dxa" w:w="1584"/>
            <w:vAlign w:val="top"/>
          </w:tcPr>
          <w:p>
            <w:pPr>
              <w:spacing w:after="0" w:line="240" w:lineRule="auto"/>
            </w:pPr>
            <w:r/>
            <w:r>
              <w:rPr>
                <w:rFonts w:ascii="Arial" w:hAnsi="Arial" w:eastAsia="Arial"/>
                <w:b w:val="0"/>
                <w:sz w:val="14"/>
              </w:rPr>
            </w:r>
          </w:p>
        </w:tc>
        <w:tc>
          <w:tcPr>
            <w:tcW w:type="dxa" w:w="2088"/>
            <w:vAlign w:val="top"/>
          </w:tcPr>
          <w:p>
            <w:pPr>
              <w:spacing w:after="0" w:line="240" w:lineRule="auto"/>
            </w:pPr>
            <w:r/>
            <w:r>
              <w:rPr>
                <w:rFonts w:ascii="Arial" w:hAnsi="Arial" w:eastAsia="Arial"/>
                <w:b w:val="0"/>
                <w:sz w:val="14"/>
              </w:rPr>
              <w:t>Foreign currency balance</w:t>
            </w:r>
          </w:p>
        </w:tc>
        <w:tc>
          <w:tcPr>
            <w:tcW w:type="dxa" w:w="1512"/>
            <w:vAlign w:val="top"/>
          </w:tcPr>
          <w:p>
            <w:pPr>
              <w:spacing w:after="0" w:line="240" w:lineRule="auto"/>
            </w:pPr>
            <w:r/>
            <w:r>
              <w:rPr>
                <w:rFonts w:ascii="Arial" w:hAnsi="Arial" w:eastAsia="Arial"/>
                <w:b w:val="0"/>
                <w:sz w:val="14"/>
              </w:rPr>
              <w:t>500,000</w:t>
            </w:r>
          </w:p>
        </w:tc>
        <w:tc>
          <w:tcPr>
            <w:tcW w:type="dxa" w:w="1584"/>
            <w:vAlign w:val="top"/>
          </w:tcPr>
          <w:p>
            <w:pPr>
              <w:spacing w:after="0" w:line="240" w:lineRule="auto"/>
            </w:pPr>
            <w:r/>
            <w:r>
              <w:rPr>
                <w:rFonts w:ascii="Arial" w:hAnsi="Arial" w:eastAsia="Arial"/>
                <w:b w:val="0"/>
                <w:sz w:val="14"/>
              </w:rPr>
              <w:t>550,000</w:t>
            </w:r>
          </w:p>
        </w:tc>
      </w:tr>
      <w:tr>
        <w:tc>
          <w:tcPr>
            <w:tcW w:type="dxa" w:w="2088"/>
            <w:vAlign w:val="top"/>
          </w:tcPr>
          <w:p>
            <w:pPr>
              <w:spacing w:after="0" w:line="240" w:lineRule="auto"/>
            </w:pPr>
            <w:r/>
            <w:r>
              <w:rPr>
                <w:rFonts w:ascii="Arial" w:hAnsi="Arial" w:eastAsia="Arial"/>
                <w:b w:val="0"/>
                <w:sz w:val="14"/>
              </w:rPr>
              <w:t>Total</w:t>
            </w:r>
          </w:p>
        </w:tc>
        <w:tc>
          <w:tcPr>
            <w:tcW w:type="dxa" w:w="1512"/>
            <w:vAlign w:val="top"/>
          </w:tcPr>
          <w:p>
            <w:pPr>
              <w:spacing w:after="0" w:line="240" w:lineRule="auto"/>
            </w:pPr>
            <w:r/>
            <w:r>
              <w:rPr>
                <w:rFonts w:ascii="Arial" w:hAnsi="Arial" w:eastAsia="Arial"/>
                <w:b w:val="0"/>
                <w:sz w:val="14"/>
              </w:rPr>
              <w:t>17,500,000</w:t>
            </w:r>
          </w:p>
        </w:tc>
        <w:tc>
          <w:tcPr>
            <w:tcW w:type="dxa" w:w="1584"/>
            <w:vAlign w:val="top"/>
          </w:tcPr>
          <w:p>
            <w:pPr>
              <w:spacing w:after="0" w:line="240" w:lineRule="auto"/>
            </w:pPr>
            <w:r/>
            <w:r>
              <w:rPr>
                <w:rFonts w:ascii="Arial" w:hAnsi="Arial" w:eastAsia="Arial"/>
                <w:b w:val="0"/>
                <w:sz w:val="14"/>
              </w:rPr>
              <w:t>21,850,000</w:t>
            </w:r>
          </w:p>
        </w:tc>
        <w:tc>
          <w:tcPr>
            <w:tcW w:type="dxa" w:w="2088"/>
            <w:vAlign w:val="top"/>
          </w:tcPr>
          <w:p>
            <w:pPr>
              <w:spacing w:after="0" w:line="240" w:lineRule="auto"/>
            </w:pPr>
            <w:r/>
            <w:r>
              <w:rPr>
                <w:rFonts w:ascii="Arial" w:hAnsi="Arial" w:eastAsia="Arial"/>
                <w:b w:val="0"/>
                <w:sz w:val="14"/>
              </w:rPr>
              <w:t>Total</w:t>
            </w:r>
          </w:p>
        </w:tc>
        <w:tc>
          <w:tcPr>
            <w:tcW w:type="dxa" w:w="1512"/>
            <w:vAlign w:val="top"/>
          </w:tcPr>
          <w:p>
            <w:pPr>
              <w:spacing w:after="0" w:line="240" w:lineRule="auto"/>
            </w:pPr>
            <w:r/>
            <w:r>
              <w:rPr>
                <w:rFonts w:ascii="Arial" w:hAnsi="Arial" w:eastAsia="Arial"/>
                <w:b w:val="0"/>
                <w:sz w:val="14"/>
              </w:rPr>
              <w:t>17,500,000</w:t>
            </w:r>
          </w:p>
        </w:tc>
        <w:tc>
          <w:tcPr>
            <w:tcW w:type="dxa" w:w="1584"/>
            <w:vAlign w:val="top"/>
          </w:tcPr>
          <w:p>
            <w:pPr>
              <w:spacing w:after="0" w:line="240" w:lineRule="auto"/>
            </w:pPr>
            <w:r/>
            <w:r>
              <w:rPr>
                <w:rFonts w:ascii="Arial" w:hAnsi="Arial" w:eastAsia="Arial"/>
                <w:b w:val="0"/>
                <w:sz w:val="14"/>
              </w:rPr>
              <w:t>21,850,000</w:t>
            </w:r>
          </w:p>
        </w:tc>
      </w:tr>
    </w:tbl>
    <w:p/>
    <w:p>
      <w:pPr>
        <w:spacing w:after="80" w:line="252" w:lineRule="auto"/>
      </w:pPr>
      <w:r>
        <w:rPr>
          <w:rFonts w:ascii="Arial" w:hAnsi="Arial" w:eastAsia="Arial"/>
          <w:b w:val="0"/>
          <w:i w:val="0"/>
          <w:sz w:val="20"/>
        </w:rPr>
        <w:t>Since a situation arose on 15 Chaitra 2078 in which Danfe Company Pvt. Ltd. is treated as having a change in ownership under Section 57, on that date its stock-in-trade, depreciable property, business assets and liabilities are treated as disposed of at market value, and the resulting gains or losses are included in taxable income.</w:t>
      </w:r>
    </w:p>
    <w:p>
      <w:pPr>
        <w:spacing w:after="80" w:line="252" w:lineRule="auto"/>
      </w:pPr>
      <w:r>
        <w:rPr>
          <w:rFonts w:ascii="Arial" w:hAnsi="Arial" w:eastAsia="Arial"/>
          <w:b/>
          <w:i w:val="0"/>
          <w:sz w:val="20"/>
        </w:rPr>
        <w:t>Example 13.10.5:</w:t>
      </w:r>
    </w:p>
    <w:p>
      <w:pPr>
        <w:spacing w:after="80" w:line="252" w:lineRule="auto"/>
      </w:pPr>
      <w:r>
        <w:rPr>
          <w:rFonts w:ascii="Arial" w:hAnsi="Arial" w:eastAsia="Arial"/>
          <w:b w:val="0"/>
          <w:i w:val="0"/>
          <w:sz w:val="20"/>
        </w:rPr>
        <w:t>Assume that Dahal Limited’s tax-basis balance sheet on 15 Magh is as follows and 55 percent of its share ownership changes. In such a case, all assets and liabilities are treated as disposed of at market value under Section 41.</w:t>
      </w:r>
    </w:p>
    <w:tbl>
      <w:tblPr>
        <w:tblStyle w:val="TableGrid"/>
        <w:tblW w:type="auto" w:w="0"/>
        <w:jc w:val="center"/>
        <w:tblLayout w:type="autofit"/>
        <w:tblLook w:firstColumn="1" w:firstRow="1" w:lastColumn="0" w:lastRow="0" w:noHBand="0" w:noVBand="1" w:val="04A0"/>
      </w:tblPr>
      <w:tblGrid>
        <w:gridCol w:w="1704"/>
        <w:gridCol w:w="1704"/>
        <w:gridCol w:w="1704"/>
        <w:gridCol w:w="1704"/>
        <w:gridCol w:w="1704"/>
        <w:gridCol w:w="1704"/>
      </w:tblGrid>
      <w:tr>
        <w:tc>
          <w:tcPr>
            <w:tcW w:type="dxa" w:w="2088"/>
            <w:vAlign w:val="top"/>
            <w:shd w:fill="D9EAF7"/>
          </w:tcPr>
          <w:p>
            <w:pPr>
              <w:spacing w:after="0" w:line="240" w:lineRule="auto"/>
            </w:pPr>
            <w:r/>
            <w:r>
              <w:rPr>
                <w:rFonts w:ascii="Arial" w:hAnsi="Arial" w:eastAsia="Arial"/>
                <w:b/>
                <w:sz w:val="15"/>
              </w:rPr>
              <w:t>Capital and liabilities</w:t>
            </w:r>
          </w:p>
        </w:tc>
        <w:tc>
          <w:tcPr>
            <w:tcW w:type="dxa" w:w="1512"/>
            <w:vAlign w:val="top"/>
            <w:shd w:fill="D9EAF7"/>
          </w:tcPr>
          <w:p>
            <w:pPr>
              <w:spacing w:after="0" w:line="240" w:lineRule="auto"/>
            </w:pPr>
            <w:r/>
            <w:r>
              <w:rPr>
                <w:rFonts w:ascii="Arial" w:hAnsi="Arial" w:eastAsia="Arial"/>
                <w:b/>
                <w:sz w:val="15"/>
              </w:rPr>
              <w:t>Tax basis (Rs.)</w:t>
            </w:r>
          </w:p>
        </w:tc>
        <w:tc>
          <w:tcPr>
            <w:tcW w:type="dxa" w:w="1584"/>
            <w:vAlign w:val="top"/>
            <w:shd w:fill="D9EAF7"/>
          </w:tcPr>
          <w:p>
            <w:pPr>
              <w:spacing w:after="0" w:line="240" w:lineRule="auto"/>
            </w:pPr>
            <w:r/>
            <w:r>
              <w:rPr>
                <w:rFonts w:ascii="Arial" w:hAnsi="Arial" w:eastAsia="Arial"/>
                <w:b/>
                <w:sz w:val="15"/>
              </w:rPr>
              <w:t>Market value (Rs.)</w:t>
            </w:r>
          </w:p>
        </w:tc>
        <w:tc>
          <w:tcPr>
            <w:tcW w:type="dxa" w:w="2088"/>
            <w:vAlign w:val="top"/>
            <w:shd w:fill="D9EAF7"/>
          </w:tcPr>
          <w:p>
            <w:pPr>
              <w:spacing w:after="0" w:line="240" w:lineRule="auto"/>
            </w:pPr>
            <w:r/>
            <w:r>
              <w:rPr>
                <w:rFonts w:ascii="Arial" w:hAnsi="Arial" w:eastAsia="Arial"/>
                <w:b/>
                <w:sz w:val="15"/>
              </w:rPr>
              <w:t>Assets</w:t>
            </w:r>
          </w:p>
        </w:tc>
        <w:tc>
          <w:tcPr>
            <w:tcW w:type="dxa" w:w="1512"/>
            <w:vAlign w:val="top"/>
            <w:shd w:fill="D9EAF7"/>
          </w:tcPr>
          <w:p>
            <w:pPr>
              <w:spacing w:after="0" w:line="240" w:lineRule="auto"/>
            </w:pPr>
            <w:r/>
            <w:r>
              <w:rPr>
                <w:rFonts w:ascii="Arial" w:hAnsi="Arial" w:eastAsia="Arial"/>
                <w:b/>
                <w:sz w:val="15"/>
              </w:rPr>
              <w:t>Tax basis (Rs.)</w:t>
            </w:r>
          </w:p>
        </w:tc>
        <w:tc>
          <w:tcPr>
            <w:tcW w:type="dxa" w:w="1584"/>
            <w:vAlign w:val="top"/>
            <w:shd w:fill="D9EAF7"/>
          </w:tcPr>
          <w:p>
            <w:pPr>
              <w:spacing w:after="0" w:line="240" w:lineRule="auto"/>
            </w:pPr>
            <w:r/>
            <w:r>
              <w:rPr>
                <w:rFonts w:ascii="Arial" w:hAnsi="Arial" w:eastAsia="Arial"/>
                <w:b/>
                <w:sz w:val="15"/>
              </w:rPr>
              <w:t>Market value (Rs.)</w:t>
            </w:r>
          </w:p>
        </w:tc>
      </w:tr>
      <w:tr>
        <w:tc>
          <w:tcPr>
            <w:tcW w:type="dxa" w:w="2088"/>
            <w:vAlign w:val="top"/>
          </w:tcPr>
          <w:p>
            <w:pPr>
              <w:spacing w:after="0" w:line="240" w:lineRule="auto"/>
            </w:pPr>
            <w:r/>
            <w:r>
              <w:rPr>
                <w:rFonts w:ascii="Arial" w:hAnsi="Arial" w:eastAsia="Arial"/>
                <w:b w:val="0"/>
                <w:sz w:val="15"/>
              </w:rPr>
              <w:t>Capital</w:t>
            </w:r>
          </w:p>
        </w:tc>
        <w:tc>
          <w:tcPr>
            <w:tcW w:type="dxa" w:w="1512"/>
            <w:vAlign w:val="top"/>
          </w:tcPr>
          <w:p>
            <w:pPr>
              <w:spacing w:after="0" w:line="240" w:lineRule="auto"/>
            </w:pPr>
            <w:r/>
            <w:r>
              <w:rPr>
                <w:rFonts w:ascii="Arial" w:hAnsi="Arial" w:eastAsia="Arial"/>
                <w:b w:val="0"/>
                <w:sz w:val="15"/>
              </w:rPr>
              <w:t>100,000</w:t>
            </w:r>
          </w:p>
        </w:tc>
        <w:tc>
          <w:tcPr>
            <w:tcW w:type="dxa" w:w="1584"/>
            <w:vAlign w:val="top"/>
          </w:tcPr>
          <w:p>
            <w:pPr>
              <w:spacing w:after="0" w:line="240" w:lineRule="auto"/>
            </w:pPr>
            <w:r/>
            <w:r>
              <w:rPr>
                <w:rFonts w:ascii="Arial" w:hAnsi="Arial" w:eastAsia="Arial"/>
                <w:b w:val="0"/>
                <w:sz w:val="15"/>
              </w:rPr>
            </w:r>
          </w:p>
        </w:tc>
        <w:tc>
          <w:tcPr>
            <w:tcW w:type="dxa" w:w="2088"/>
            <w:vAlign w:val="top"/>
          </w:tcPr>
          <w:p>
            <w:pPr>
              <w:spacing w:after="0" w:line="240" w:lineRule="auto"/>
            </w:pPr>
            <w:r>
              <w:t>Stock-in-trade</w:t>
            </w:r>
            <w:r>
              <w:rPr>
                <w:rFonts w:ascii="Arial" w:hAnsi="Arial" w:eastAsia="Arial"/>
                <w:b w:val="0"/>
                <w:sz w:val="15"/>
              </w:rPr>
            </w:r>
          </w:p>
        </w:tc>
        <w:tc>
          <w:tcPr>
            <w:tcW w:type="dxa" w:w="1512"/>
            <w:vAlign w:val="top"/>
          </w:tcPr>
          <w:p>
            <w:pPr>
              <w:spacing w:after="0" w:line="240" w:lineRule="auto"/>
            </w:pPr>
            <w:r/>
            <w:r>
              <w:rPr>
                <w:rFonts w:ascii="Arial" w:hAnsi="Arial" w:eastAsia="Arial"/>
                <w:b w:val="0"/>
                <w:sz w:val="15"/>
              </w:rPr>
              <w:t>100,000</w:t>
            </w:r>
          </w:p>
        </w:tc>
        <w:tc>
          <w:tcPr>
            <w:tcW w:type="dxa" w:w="1584"/>
            <w:vAlign w:val="top"/>
          </w:tcPr>
          <w:p>
            <w:pPr>
              <w:spacing w:after="0" w:line="240" w:lineRule="auto"/>
            </w:pPr>
            <w:r/>
            <w:r>
              <w:rPr>
                <w:rFonts w:ascii="Arial" w:hAnsi="Arial" w:eastAsia="Arial"/>
                <w:b w:val="0"/>
                <w:sz w:val="15"/>
              </w:rPr>
              <w:t>115,000</w:t>
            </w:r>
          </w:p>
        </w:tc>
      </w:tr>
      <w:tr>
        <w:tc>
          <w:tcPr>
            <w:tcW w:type="dxa" w:w="2088"/>
            <w:vAlign w:val="top"/>
          </w:tcPr>
          <w:p>
            <w:pPr>
              <w:spacing w:after="0" w:line="240" w:lineRule="auto"/>
            </w:pPr>
            <w:r/>
            <w:r>
              <w:rPr>
                <w:rFonts w:ascii="Arial" w:hAnsi="Arial" w:eastAsia="Arial"/>
                <w:b w:val="0"/>
                <w:sz w:val="15"/>
              </w:rPr>
              <w:t>Profit</w:t>
            </w:r>
          </w:p>
        </w:tc>
        <w:tc>
          <w:tcPr>
            <w:tcW w:type="dxa" w:w="1512"/>
            <w:vAlign w:val="top"/>
          </w:tcPr>
          <w:p>
            <w:pPr>
              <w:spacing w:after="0" w:line="240" w:lineRule="auto"/>
            </w:pPr>
            <w:r/>
            <w:r>
              <w:rPr>
                <w:rFonts w:ascii="Arial" w:hAnsi="Arial" w:eastAsia="Arial"/>
                <w:b w:val="0"/>
                <w:sz w:val="15"/>
              </w:rPr>
              <w:t>100,000</w:t>
            </w:r>
          </w:p>
        </w:tc>
        <w:tc>
          <w:tcPr>
            <w:tcW w:type="dxa" w:w="1584"/>
            <w:vAlign w:val="top"/>
          </w:tcPr>
          <w:p>
            <w:pPr>
              <w:spacing w:after="0" w:line="240" w:lineRule="auto"/>
            </w:pPr>
            <w:r/>
            <w:r>
              <w:rPr>
                <w:rFonts w:ascii="Arial" w:hAnsi="Arial" w:eastAsia="Arial"/>
                <w:b w:val="0"/>
                <w:sz w:val="15"/>
              </w:rPr>
            </w:r>
          </w:p>
        </w:tc>
        <w:tc>
          <w:tcPr>
            <w:tcW w:type="dxa" w:w="2088"/>
            <w:vAlign w:val="top"/>
          </w:tcPr>
          <w:p>
            <w:pPr>
              <w:spacing w:after="0" w:line="240" w:lineRule="auto"/>
            </w:pPr>
            <w:r>
              <w:t>Depreciable property</w:t>
            </w:r>
            <w:r>
              <w:rPr>
                <w:rFonts w:ascii="Arial" w:hAnsi="Arial" w:eastAsia="Arial"/>
                <w:b w:val="0"/>
                <w:sz w:val="15"/>
              </w:rPr>
            </w:r>
          </w:p>
        </w:tc>
        <w:tc>
          <w:tcPr>
            <w:tcW w:type="dxa" w:w="1512"/>
            <w:vAlign w:val="top"/>
          </w:tcPr>
          <w:p>
            <w:pPr>
              <w:spacing w:after="0" w:line="240" w:lineRule="auto"/>
            </w:pPr>
            <w:r/>
            <w:r>
              <w:rPr>
                <w:rFonts w:ascii="Arial" w:hAnsi="Arial" w:eastAsia="Arial"/>
                <w:b w:val="0"/>
                <w:sz w:val="15"/>
              </w:rPr>
              <w:t>100,000</w:t>
            </w:r>
          </w:p>
        </w:tc>
        <w:tc>
          <w:tcPr>
            <w:tcW w:type="dxa" w:w="1584"/>
            <w:vAlign w:val="top"/>
          </w:tcPr>
          <w:p>
            <w:pPr>
              <w:spacing w:after="0" w:line="240" w:lineRule="auto"/>
            </w:pPr>
            <w:r/>
            <w:r>
              <w:rPr>
                <w:rFonts w:ascii="Arial" w:hAnsi="Arial" w:eastAsia="Arial"/>
                <w:b w:val="0"/>
                <w:sz w:val="15"/>
              </w:rPr>
              <w:t>95,000</w:t>
            </w:r>
          </w:p>
        </w:tc>
      </w:tr>
      <w:tr>
        <w:tc>
          <w:tcPr>
            <w:tcW w:type="dxa" w:w="2088"/>
            <w:vAlign w:val="top"/>
          </w:tcPr>
          <w:p>
            <w:pPr>
              <w:spacing w:after="0" w:line="240" w:lineRule="auto"/>
            </w:pPr>
            <w:r/>
            <w:r>
              <w:rPr>
                <w:rFonts w:ascii="Arial" w:hAnsi="Arial" w:eastAsia="Arial"/>
                <w:b w:val="0"/>
                <w:sz w:val="15"/>
              </w:rPr>
              <w:t>Liability</w:t>
            </w:r>
          </w:p>
        </w:tc>
        <w:tc>
          <w:tcPr>
            <w:tcW w:type="dxa" w:w="1512"/>
            <w:vAlign w:val="top"/>
          </w:tcPr>
          <w:p>
            <w:pPr>
              <w:spacing w:after="0" w:line="240" w:lineRule="auto"/>
            </w:pPr>
            <w:r/>
            <w:r>
              <w:rPr>
                <w:rFonts w:ascii="Arial" w:hAnsi="Arial" w:eastAsia="Arial"/>
                <w:b w:val="0"/>
                <w:sz w:val="15"/>
              </w:rPr>
              <w:t>100,000</w:t>
            </w:r>
          </w:p>
        </w:tc>
        <w:tc>
          <w:tcPr>
            <w:tcW w:type="dxa" w:w="1584"/>
            <w:vAlign w:val="top"/>
          </w:tcPr>
          <w:p>
            <w:pPr>
              <w:spacing w:after="0" w:line="240" w:lineRule="auto"/>
            </w:pPr>
            <w:r/>
            <w:r>
              <w:rPr>
                <w:rFonts w:ascii="Arial" w:hAnsi="Arial" w:eastAsia="Arial"/>
                <w:b w:val="0"/>
                <w:sz w:val="15"/>
              </w:rPr>
              <w:t>100,000</w:t>
            </w:r>
          </w:p>
        </w:tc>
        <w:tc>
          <w:tcPr>
            <w:tcW w:type="dxa" w:w="2088"/>
            <w:vAlign w:val="top"/>
          </w:tcPr>
          <w:p>
            <w:pPr>
              <w:spacing w:after="0" w:line="240" w:lineRule="auto"/>
            </w:pPr>
            <w:r/>
            <w:r>
              <w:rPr>
                <w:rFonts w:ascii="Arial" w:hAnsi="Arial" w:eastAsia="Arial"/>
                <w:b w:val="0"/>
                <w:sz w:val="15"/>
              </w:rPr>
              <w:t>Business asset</w:t>
            </w:r>
          </w:p>
        </w:tc>
        <w:tc>
          <w:tcPr>
            <w:tcW w:type="dxa" w:w="1512"/>
            <w:vAlign w:val="top"/>
          </w:tcPr>
          <w:p>
            <w:pPr>
              <w:spacing w:after="0" w:line="240" w:lineRule="auto"/>
            </w:pPr>
            <w:r/>
            <w:r>
              <w:rPr>
                <w:rFonts w:ascii="Arial" w:hAnsi="Arial" w:eastAsia="Arial"/>
                <w:b w:val="0"/>
                <w:sz w:val="15"/>
              </w:rPr>
              <w:t>100,000</w:t>
            </w:r>
          </w:p>
        </w:tc>
        <w:tc>
          <w:tcPr>
            <w:tcW w:type="dxa" w:w="1584"/>
            <w:vAlign w:val="top"/>
          </w:tcPr>
          <w:p>
            <w:pPr>
              <w:spacing w:after="0" w:line="240" w:lineRule="auto"/>
            </w:pPr>
            <w:r/>
            <w:r>
              <w:rPr>
                <w:rFonts w:ascii="Arial" w:hAnsi="Arial" w:eastAsia="Arial"/>
                <w:b w:val="0"/>
                <w:sz w:val="15"/>
              </w:rPr>
              <w:t>110,000</w:t>
            </w:r>
          </w:p>
        </w:tc>
      </w:tr>
      <w:tr>
        <w:tc>
          <w:tcPr>
            <w:tcW w:type="dxa" w:w="2088"/>
            <w:vAlign w:val="top"/>
          </w:tcPr>
          <w:p>
            <w:pPr>
              <w:spacing w:after="0" w:line="240" w:lineRule="auto"/>
            </w:pPr>
            <w:r/>
            <w:r>
              <w:rPr>
                <w:rFonts w:ascii="Arial" w:hAnsi="Arial" w:eastAsia="Arial"/>
                <w:b w:val="0"/>
                <w:sz w:val="15"/>
              </w:rPr>
              <w:t>Total</w:t>
            </w:r>
          </w:p>
        </w:tc>
        <w:tc>
          <w:tcPr>
            <w:tcW w:type="dxa" w:w="1512"/>
            <w:vAlign w:val="top"/>
          </w:tcPr>
          <w:p>
            <w:pPr>
              <w:spacing w:after="0" w:line="240" w:lineRule="auto"/>
            </w:pPr>
            <w:r/>
            <w:r>
              <w:rPr>
                <w:rFonts w:ascii="Arial" w:hAnsi="Arial" w:eastAsia="Arial"/>
                <w:b w:val="0"/>
                <w:sz w:val="15"/>
              </w:rPr>
              <w:t>300,000</w:t>
            </w:r>
          </w:p>
        </w:tc>
        <w:tc>
          <w:tcPr>
            <w:tcW w:type="dxa" w:w="1584"/>
            <w:vAlign w:val="top"/>
          </w:tcPr>
          <w:p>
            <w:pPr>
              <w:spacing w:after="0" w:line="240" w:lineRule="auto"/>
            </w:pPr>
            <w:r/>
            <w:r>
              <w:rPr>
                <w:rFonts w:ascii="Arial" w:hAnsi="Arial" w:eastAsia="Arial"/>
                <w:b w:val="0"/>
                <w:sz w:val="15"/>
              </w:rPr>
              <w:t>100,000</w:t>
            </w:r>
          </w:p>
        </w:tc>
        <w:tc>
          <w:tcPr>
            <w:tcW w:type="dxa" w:w="2088"/>
            <w:vAlign w:val="top"/>
          </w:tcPr>
          <w:p>
            <w:pPr>
              <w:spacing w:after="0" w:line="240" w:lineRule="auto"/>
            </w:pPr>
            <w:r/>
            <w:r>
              <w:rPr>
                <w:rFonts w:ascii="Arial" w:hAnsi="Arial" w:eastAsia="Arial"/>
                <w:b w:val="0"/>
                <w:sz w:val="15"/>
              </w:rPr>
              <w:t>Total</w:t>
            </w:r>
          </w:p>
        </w:tc>
        <w:tc>
          <w:tcPr>
            <w:tcW w:type="dxa" w:w="1512"/>
            <w:vAlign w:val="top"/>
          </w:tcPr>
          <w:p>
            <w:pPr>
              <w:spacing w:after="0" w:line="240" w:lineRule="auto"/>
            </w:pPr>
            <w:r/>
            <w:r>
              <w:rPr>
                <w:rFonts w:ascii="Arial" w:hAnsi="Arial" w:eastAsia="Arial"/>
                <w:b w:val="0"/>
                <w:sz w:val="15"/>
              </w:rPr>
              <w:t>300,000</w:t>
            </w:r>
          </w:p>
        </w:tc>
        <w:tc>
          <w:tcPr>
            <w:tcW w:type="dxa" w:w="1584"/>
            <w:vAlign w:val="top"/>
          </w:tcPr>
          <w:p>
            <w:pPr>
              <w:spacing w:after="0" w:line="240" w:lineRule="auto"/>
            </w:pPr>
            <w:r/>
            <w:r>
              <w:rPr>
                <w:rFonts w:ascii="Arial" w:hAnsi="Arial" w:eastAsia="Arial"/>
                <w:b w:val="0"/>
                <w:sz w:val="15"/>
              </w:rPr>
              <w:t>320,000</w:t>
            </w:r>
          </w:p>
        </w:tc>
      </w:tr>
    </w:tbl>
    <w:p/>
    <w:p>
      <w:pPr>
        <w:spacing w:after="80" w:line="252" w:lineRule="auto"/>
      </w:pPr>
      <w:r>
        <w:rPr>
          <w:rFonts w:ascii="Arial" w:hAnsi="Arial" w:eastAsia="Arial"/>
          <w:b w:val="0"/>
          <w:i w:val="0"/>
          <w:sz w:val="20"/>
        </w:rPr>
        <w:t>In this case: (1) in computing the depreciable property pool, the remaining depreciation basis of Rs. 5,000 is treated as terminal depreciation expense; and (2) the net gain of Rs. 10,000 from disposal of business assets and liabilities is computed under Section 36 and included in the amounts included in business income as profit and gain.</w:t>
      </w:r>
    </w:p>
    <w:p>
      <w:pPr>
        <w:spacing w:after="80" w:line="252" w:lineRule="auto"/>
      </w:pPr>
      <w:r>
        <w:rPr>
          <w:rFonts w:ascii="Arial" w:hAnsi="Arial" w:eastAsia="Arial"/>
          <w:b w:val="0"/>
          <w:i w:val="0"/>
          <w:sz w:val="20"/>
        </w:rPr>
        <w:t>After the assets and liabilities are treated as disposed of, the company must determine the income and expenses arising from the deemed disposal. Because the assets or liabilities remain with the entity even though they are treated as disposed of, this is a disposal with retention. Whenever an asset or liability is disposed of, or treated as disposed of, the gain or loss on disposal must be calculated for income tax purposes. Under Section 40, if incomings from the disposed asset or liability exceed outgoings, there is a gain; if outgoings exceed incomings, there is a loss. Since this is a special deemed disposal with retention, the outgoings related to the assets or liabilities up to the time of disposal remain with the entity, but there is no actual receipt from the disposal. Therefore Section 41 makes a special provision for determining the amount to be treated as incomings.</w:t>
      </w:r>
    </w:p>
    <w:p>
      <w:pPr>
        <w:spacing w:after="80" w:line="252" w:lineRule="auto"/>
      </w:pPr>
      <w:r>
        <w:rPr>
          <w:rFonts w:ascii="Arial" w:hAnsi="Arial" w:eastAsia="Arial"/>
          <w:b w:val="0"/>
          <w:i w:val="0"/>
          <w:sz w:val="20"/>
        </w:rPr>
        <w:t>Stock-in-trade: In computing income, the market value of stock-in-trade remaining with the entity, that is closing stock, must be included in income, and the actual value must be deducted as expense under Section 15.</w:t>
      </w:r>
    </w:p>
    <w:p>
      <w:pPr>
        <w:spacing w:after="80" w:line="252" w:lineRule="auto"/>
      </w:pPr>
      <w:r>
        <w:rPr>
          <w:rFonts w:ascii="Arial" w:hAnsi="Arial" w:eastAsia="Arial"/>
          <w:b w:val="0"/>
          <w:i w:val="0"/>
          <w:sz w:val="20"/>
        </w:rPr>
        <w:t>Depreciable property: Gain or loss from disposal of depreciable property is computed under Section 4 of Schedule 2 to the Act. The market value of each pool of depreciable property remaining with the entity is treated as incomings. After reducing the remaining depreciation basis of that pool according to the depreciation schedule, any excess is included in income as balancing charge; if the result is negative, the amount is deductible as terminal depreciation.</w:t>
      </w:r>
    </w:p>
    <w:p>
      <w:pPr>
        <w:spacing w:after="80" w:line="252" w:lineRule="auto"/>
      </w:pPr>
      <w:r>
        <w:rPr>
          <w:rFonts w:ascii="Arial" w:hAnsi="Arial" w:eastAsia="Arial"/>
          <w:b w:val="0"/>
          <w:i w:val="0"/>
          <w:sz w:val="20"/>
        </w:rPr>
        <w:t>Business assets: The market value of business assets held by the entity is treated as incomings and actual value as outgoings. If incomings exceed outgoings, there is a gain; if outgoings exceed incomings, there is a loss. If one business asset gives a gain and another gives a loss, the loss is adjusted against the gain and the net gain or net loss is determined.</w:t>
      </w:r>
    </w:p>
    <w:p>
      <w:pPr>
        <w:spacing w:after="80" w:line="252" w:lineRule="auto"/>
      </w:pPr>
      <w:r>
        <w:rPr>
          <w:rFonts w:ascii="Arial" w:hAnsi="Arial" w:eastAsia="Arial"/>
          <w:b w:val="0"/>
          <w:i w:val="0"/>
          <w:sz w:val="20"/>
        </w:rPr>
        <w:t>Liabilities: Where a liability owed by an entity is treated as disposed of, the market value at the time the liability was incurred is treated as incomings, and the market value at the time of deemed disposal is treated as outgoings for that liability. If incomings exceed outgoings, there is a gain; if outgoings exceed incomings, there is a loss. After gains and losses from business liabilities are computed, they are adjusted to determine the net gain or loss. If, after such deemed disposal, the entity again disposes of an asset or liability, the market-value amount treated as incomings or outgoings is treated as outgoings or incomings, as the case may be, for that later computation.</w:t>
      </w:r>
    </w:p>
    <w:p>
      <w:pPr>
        <w:spacing w:after="80" w:line="252" w:lineRule="auto"/>
      </w:pPr>
      <w:r>
        <w:rPr>
          <w:rFonts w:ascii="Arial" w:hAnsi="Arial" w:eastAsia="Arial"/>
          <w:b w:val="0"/>
          <w:i w:val="0"/>
          <w:sz w:val="20"/>
        </w:rPr>
        <w:t>At the immediate date of the deemed disposal, the tax basis of the entity’s assets and liabilities becomes the market value at the time of disposal. The following example clarifies the provision.</w:t>
      </w:r>
    </w:p>
    <w:p>
      <w:pPr>
        <w:spacing w:after="80" w:line="252" w:lineRule="auto"/>
      </w:pPr>
      <w:r>
        <w:rPr>
          <w:rFonts w:ascii="Arial" w:hAnsi="Arial" w:eastAsia="Arial"/>
          <w:b/>
          <w:i w:val="0"/>
          <w:sz w:val="20"/>
        </w:rPr>
        <w:t>Example 13.10.6:</w:t>
      </w:r>
    </w:p>
    <w:p>
      <w:pPr>
        <w:spacing w:after="80" w:line="252" w:lineRule="auto"/>
      </w:pPr>
      <w:r>
        <w:rPr>
          <w:rFonts w:ascii="Arial" w:hAnsi="Arial" w:eastAsia="Arial"/>
          <w:b w:val="0"/>
          <w:i w:val="0"/>
          <w:sz w:val="20"/>
        </w:rPr>
        <w:t>Assume that Danfe Company Pvt. Ltd. referred to in Example 13.10.2 had the following assets and liabilities on 2 Chaitra 2078:</w:t>
      </w:r>
    </w:p>
    <w:tbl>
      <w:tblPr>
        <w:tblStyle w:val="TableGrid"/>
        <w:tblW w:type="auto" w:w="0"/>
        <w:jc w:val="center"/>
        <w:tblLayout w:type="autofit"/>
        <w:tblLook w:firstColumn="1" w:firstRow="1" w:lastColumn="0" w:lastRow="0" w:noHBand="0" w:noVBand="1" w:val="04A0"/>
      </w:tblPr>
      <w:tblGrid>
        <w:gridCol w:w="1704"/>
        <w:gridCol w:w="1704"/>
        <w:gridCol w:w="1704"/>
        <w:gridCol w:w="1704"/>
        <w:gridCol w:w="1704"/>
        <w:gridCol w:w="1704"/>
      </w:tblGrid>
      <w:tr>
        <w:tc>
          <w:tcPr>
            <w:tcW w:type="dxa" w:w="2088"/>
            <w:vAlign w:val="top"/>
            <w:shd w:fill="D9EAF7"/>
          </w:tcPr>
          <w:p>
            <w:pPr>
              <w:spacing w:after="0" w:line="240" w:lineRule="auto"/>
            </w:pPr>
            <w:r/>
            <w:r>
              <w:rPr>
                <w:rFonts w:ascii="Arial" w:hAnsi="Arial" w:eastAsia="Arial"/>
                <w:b/>
                <w:sz w:val="14"/>
              </w:rPr>
              <w:t>Capital and liabilities</w:t>
            </w:r>
          </w:p>
        </w:tc>
        <w:tc>
          <w:tcPr>
            <w:tcW w:type="dxa" w:w="1512"/>
            <w:vAlign w:val="top"/>
            <w:shd w:fill="D9EAF7"/>
          </w:tcPr>
          <w:p>
            <w:pPr>
              <w:spacing w:after="0" w:line="240" w:lineRule="auto"/>
            </w:pPr>
            <w:r/>
            <w:r>
              <w:rPr>
                <w:rFonts w:ascii="Arial" w:hAnsi="Arial" w:eastAsia="Arial"/>
                <w:b/>
                <w:sz w:val="14"/>
              </w:rPr>
              <w:t>Book value (Rs.)</w:t>
            </w:r>
          </w:p>
        </w:tc>
        <w:tc>
          <w:tcPr>
            <w:tcW w:type="dxa" w:w="1584"/>
            <w:vAlign w:val="top"/>
            <w:shd w:fill="D9EAF7"/>
          </w:tcPr>
          <w:p>
            <w:pPr>
              <w:spacing w:after="0" w:line="240" w:lineRule="auto"/>
            </w:pPr>
            <w:r/>
            <w:r>
              <w:rPr>
                <w:rFonts w:ascii="Arial" w:hAnsi="Arial" w:eastAsia="Arial"/>
                <w:b/>
                <w:sz w:val="14"/>
              </w:rPr>
              <w:t>Tax basis (Rs.)</w:t>
            </w:r>
          </w:p>
        </w:tc>
        <w:tc>
          <w:tcPr>
            <w:tcW w:type="dxa" w:w="2088"/>
            <w:vAlign w:val="top"/>
            <w:shd w:fill="D9EAF7"/>
          </w:tcPr>
          <w:p>
            <w:pPr>
              <w:spacing w:after="0" w:line="240" w:lineRule="auto"/>
            </w:pPr>
            <w:r/>
            <w:r>
              <w:rPr>
                <w:rFonts w:ascii="Arial" w:hAnsi="Arial" w:eastAsia="Arial"/>
                <w:b/>
                <w:sz w:val="14"/>
              </w:rPr>
              <w:t>Assets</w:t>
            </w:r>
          </w:p>
        </w:tc>
        <w:tc>
          <w:tcPr>
            <w:tcW w:type="dxa" w:w="1512"/>
            <w:vAlign w:val="top"/>
            <w:shd w:fill="D9EAF7"/>
          </w:tcPr>
          <w:p>
            <w:pPr>
              <w:spacing w:after="0" w:line="240" w:lineRule="auto"/>
            </w:pPr>
            <w:r/>
            <w:r>
              <w:rPr>
                <w:rFonts w:ascii="Arial" w:hAnsi="Arial" w:eastAsia="Arial"/>
                <w:b/>
                <w:sz w:val="14"/>
              </w:rPr>
              <w:t>Book value (Rs.)</w:t>
            </w:r>
          </w:p>
        </w:tc>
        <w:tc>
          <w:tcPr>
            <w:tcW w:type="dxa" w:w="1584"/>
            <w:vAlign w:val="top"/>
            <w:shd w:fill="D9EAF7"/>
          </w:tcPr>
          <w:p>
            <w:pPr>
              <w:spacing w:after="0" w:line="240" w:lineRule="auto"/>
            </w:pPr>
            <w:r/>
            <w:r>
              <w:rPr>
                <w:rFonts w:ascii="Arial" w:hAnsi="Arial" w:eastAsia="Arial"/>
                <w:b/>
                <w:sz w:val="14"/>
              </w:rPr>
              <w:t>Tax basis (Rs.)</w:t>
            </w:r>
          </w:p>
        </w:tc>
      </w:tr>
      <w:tr>
        <w:tc>
          <w:tcPr>
            <w:tcW w:type="dxa" w:w="2088"/>
            <w:vAlign w:val="top"/>
          </w:tcPr>
          <w:p>
            <w:pPr>
              <w:spacing w:after="0" w:line="240" w:lineRule="auto"/>
            </w:pPr>
            <w:r/>
            <w:r>
              <w:rPr>
                <w:rFonts w:ascii="Arial" w:hAnsi="Arial" w:eastAsia="Arial"/>
                <w:b w:val="0"/>
                <w:sz w:val="14"/>
              </w:rPr>
              <w:t>Share capital</w:t>
            </w:r>
          </w:p>
        </w:tc>
        <w:tc>
          <w:tcPr>
            <w:tcW w:type="dxa" w:w="1512"/>
            <w:vAlign w:val="top"/>
          </w:tcPr>
          <w:p>
            <w:pPr>
              <w:spacing w:after="0" w:line="240" w:lineRule="auto"/>
            </w:pPr>
            <w:r/>
            <w:r>
              <w:rPr>
                <w:rFonts w:ascii="Arial" w:hAnsi="Arial" w:eastAsia="Arial"/>
                <w:b w:val="0"/>
                <w:sz w:val="14"/>
              </w:rPr>
              <w:t>10,000,000</w:t>
            </w:r>
          </w:p>
        </w:tc>
        <w:tc>
          <w:tcPr>
            <w:tcW w:type="dxa" w:w="1584"/>
            <w:vAlign w:val="top"/>
          </w:tcPr>
          <w:p>
            <w:pPr>
              <w:spacing w:after="0" w:line="240" w:lineRule="auto"/>
            </w:pPr>
            <w:r/>
            <w:r>
              <w:rPr>
                <w:rFonts w:ascii="Arial" w:hAnsi="Arial" w:eastAsia="Arial"/>
                <w:b w:val="0"/>
                <w:sz w:val="14"/>
              </w:rPr>
              <w:t>10,000,000</w:t>
            </w:r>
          </w:p>
        </w:tc>
        <w:tc>
          <w:tcPr>
            <w:tcW w:type="dxa" w:w="2088"/>
            <w:vAlign w:val="top"/>
          </w:tcPr>
          <w:p>
            <w:pPr>
              <w:spacing w:after="0" w:line="240" w:lineRule="auto"/>
            </w:pPr>
            <w:r/>
            <w:r>
              <w:rPr>
                <w:rFonts w:ascii="Arial" w:hAnsi="Arial" w:eastAsia="Arial"/>
                <w:b w:val="0"/>
                <w:sz w:val="14"/>
              </w:rPr>
              <w:t>Closing stock</w:t>
            </w:r>
          </w:p>
        </w:tc>
        <w:tc>
          <w:tcPr>
            <w:tcW w:type="dxa" w:w="1512"/>
            <w:vAlign w:val="top"/>
          </w:tcPr>
          <w:p>
            <w:pPr>
              <w:spacing w:after="0" w:line="240" w:lineRule="auto"/>
            </w:pPr>
            <w:r/>
            <w:r>
              <w:rPr>
                <w:rFonts w:ascii="Arial" w:hAnsi="Arial" w:eastAsia="Arial"/>
                <w:b w:val="0"/>
                <w:sz w:val="14"/>
              </w:rPr>
              <w:t>500,000</w:t>
            </w:r>
          </w:p>
        </w:tc>
        <w:tc>
          <w:tcPr>
            <w:tcW w:type="dxa" w:w="1584"/>
            <w:vAlign w:val="top"/>
          </w:tcPr>
          <w:p>
            <w:pPr>
              <w:spacing w:after="0" w:line="240" w:lineRule="auto"/>
            </w:pPr>
            <w:r/>
            <w:r>
              <w:rPr>
                <w:rFonts w:ascii="Arial" w:hAnsi="Arial" w:eastAsia="Arial"/>
                <w:b w:val="0"/>
                <w:sz w:val="14"/>
              </w:rPr>
              <w:t>600,000</w:t>
            </w:r>
          </w:p>
        </w:tc>
      </w:tr>
      <w:tr>
        <w:tc>
          <w:tcPr>
            <w:tcW w:type="dxa" w:w="2088"/>
            <w:vAlign w:val="top"/>
          </w:tcPr>
          <w:p>
            <w:pPr>
              <w:spacing w:after="0" w:line="240" w:lineRule="auto"/>
            </w:pPr>
            <w:r/>
            <w:r>
              <w:rPr>
                <w:rFonts w:ascii="Arial" w:hAnsi="Arial" w:eastAsia="Arial"/>
                <w:b w:val="0"/>
                <w:sz w:val="14"/>
              </w:rPr>
              <w:t>Reserve</w:t>
            </w:r>
          </w:p>
        </w:tc>
        <w:tc>
          <w:tcPr>
            <w:tcW w:type="dxa" w:w="1512"/>
            <w:vAlign w:val="top"/>
          </w:tcPr>
          <w:p>
            <w:pPr>
              <w:spacing w:after="0" w:line="240" w:lineRule="auto"/>
            </w:pPr>
            <w:r/>
            <w:r>
              <w:rPr>
                <w:rFonts w:ascii="Arial" w:hAnsi="Arial" w:eastAsia="Arial"/>
                <w:b w:val="0"/>
                <w:sz w:val="14"/>
              </w:rPr>
              <w:t>3,000,000</w:t>
            </w:r>
          </w:p>
        </w:tc>
        <w:tc>
          <w:tcPr>
            <w:tcW w:type="dxa" w:w="1584"/>
            <w:vAlign w:val="top"/>
          </w:tcPr>
          <w:p>
            <w:pPr>
              <w:spacing w:after="0" w:line="240" w:lineRule="auto"/>
            </w:pPr>
            <w:r/>
            <w:r>
              <w:rPr>
                <w:rFonts w:ascii="Arial" w:hAnsi="Arial" w:eastAsia="Arial"/>
                <w:b w:val="0"/>
                <w:sz w:val="14"/>
              </w:rPr>
              <w:t>3,000,000</w:t>
            </w:r>
          </w:p>
        </w:tc>
        <w:tc>
          <w:tcPr>
            <w:tcW w:type="dxa" w:w="2088"/>
            <w:vAlign w:val="top"/>
          </w:tcPr>
          <w:p>
            <w:pPr>
              <w:spacing w:after="0" w:line="240" w:lineRule="auto"/>
            </w:pPr>
            <w:r>
              <w:t>Depreciable property - Class A</w:t>
            </w:r>
            <w:r>
              <w:rPr>
                <w:rFonts w:ascii="Arial" w:hAnsi="Arial" w:eastAsia="Arial"/>
                <w:b w:val="0"/>
                <w:sz w:val="14"/>
              </w:rPr>
            </w:r>
          </w:p>
        </w:tc>
        <w:tc>
          <w:tcPr>
            <w:tcW w:type="dxa" w:w="1512"/>
            <w:vAlign w:val="top"/>
          </w:tcPr>
          <w:p>
            <w:pPr>
              <w:spacing w:after="0" w:line="240" w:lineRule="auto"/>
            </w:pPr>
            <w:r/>
            <w:r>
              <w:rPr>
                <w:rFonts w:ascii="Arial" w:hAnsi="Arial" w:eastAsia="Arial"/>
                <w:b w:val="0"/>
                <w:sz w:val="14"/>
              </w:rPr>
              <w:t>400,000</w:t>
            </w:r>
          </w:p>
        </w:tc>
        <w:tc>
          <w:tcPr>
            <w:tcW w:type="dxa" w:w="1584"/>
            <w:vAlign w:val="top"/>
          </w:tcPr>
          <w:p>
            <w:pPr>
              <w:spacing w:after="0" w:line="240" w:lineRule="auto"/>
            </w:pPr>
            <w:r/>
            <w:r>
              <w:rPr>
                <w:rFonts w:ascii="Arial" w:hAnsi="Arial" w:eastAsia="Arial"/>
                <w:b w:val="0"/>
                <w:sz w:val="14"/>
              </w:rPr>
              <w:t>600,000</w:t>
            </w:r>
          </w:p>
        </w:tc>
      </w:tr>
      <w:tr>
        <w:tc>
          <w:tcPr>
            <w:tcW w:type="dxa" w:w="2088"/>
            <w:vAlign w:val="top"/>
          </w:tcPr>
          <w:p>
            <w:pPr>
              <w:spacing w:after="0" w:line="240" w:lineRule="auto"/>
            </w:pPr>
            <w:r/>
            <w:r>
              <w:rPr>
                <w:rFonts w:ascii="Arial" w:hAnsi="Arial" w:eastAsia="Arial"/>
                <w:b w:val="0"/>
                <w:sz w:val="14"/>
              </w:rPr>
              <w:t>Other liabilities</w:t>
            </w:r>
          </w:p>
        </w:tc>
        <w:tc>
          <w:tcPr>
            <w:tcW w:type="dxa" w:w="1512"/>
            <w:vAlign w:val="top"/>
          </w:tcPr>
          <w:p>
            <w:pPr>
              <w:spacing w:after="0" w:line="240" w:lineRule="auto"/>
            </w:pPr>
            <w:r/>
            <w:r>
              <w:rPr>
                <w:rFonts w:ascii="Arial" w:hAnsi="Arial" w:eastAsia="Arial"/>
                <w:b w:val="0"/>
                <w:sz w:val="14"/>
              </w:rPr>
              <w:t>4,500,000</w:t>
            </w:r>
          </w:p>
        </w:tc>
        <w:tc>
          <w:tcPr>
            <w:tcW w:type="dxa" w:w="1584"/>
            <w:vAlign w:val="top"/>
          </w:tcPr>
          <w:p>
            <w:pPr>
              <w:spacing w:after="0" w:line="240" w:lineRule="auto"/>
            </w:pPr>
            <w:r/>
            <w:r>
              <w:rPr>
                <w:rFonts w:ascii="Arial" w:hAnsi="Arial" w:eastAsia="Arial"/>
                <w:b w:val="0"/>
                <w:sz w:val="14"/>
              </w:rPr>
              <w:t>4,500,000</w:t>
            </w:r>
          </w:p>
        </w:tc>
        <w:tc>
          <w:tcPr>
            <w:tcW w:type="dxa" w:w="2088"/>
            <w:vAlign w:val="top"/>
          </w:tcPr>
          <w:p>
            <w:pPr>
              <w:spacing w:after="0" w:line="240" w:lineRule="auto"/>
            </w:pPr>
            <w:r/>
            <w:r>
              <w:rPr>
                <w:rFonts w:ascii="Arial" w:hAnsi="Arial" w:eastAsia="Arial"/>
                <w:b w:val="0"/>
                <w:sz w:val="14"/>
              </w:rPr>
              <w:t>Land</w:t>
            </w:r>
          </w:p>
        </w:tc>
        <w:tc>
          <w:tcPr>
            <w:tcW w:type="dxa" w:w="1512"/>
            <w:vAlign w:val="top"/>
          </w:tcPr>
          <w:p>
            <w:pPr>
              <w:spacing w:after="0" w:line="240" w:lineRule="auto"/>
            </w:pPr>
            <w:r/>
            <w:r>
              <w:rPr>
                <w:rFonts w:ascii="Arial" w:hAnsi="Arial" w:eastAsia="Arial"/>
                <w:b w:val="0"/>
                <w:sz w:val="14"/>
              </w:rPr>
              <w:t>10,000,000</w:t>
            </w:r>
          </w:p>
        </w:tc>
        <w:tc>
          <w:tcPr>
            <w:tcW w:type="dxa" w:w="1584"/>
            <w:vAlign w:val="top"/>
          </w:tcPr>
          <w:p>
            <w:pPr>
              <w:spacing w:after="0" w:line="240" w:lineRule="auto"/>
            </w:pPr>
            <w:r/>
            <w:r>
              <w:rPr>
                <w:rFonts w:ascii="Arial" w:hAnsi="Arial" w:eastAsia="Arial"/>
                <w:b w:val="0"/>
                <w:sz w:val="14"/>
              </w:rPr>
              <w:t>15,000,000</w:t>
            </w:r>
          </w:p>
        </w:tc>
      </w:tr>
      <w:tr>
        <w:tc>
          <w:tcPr>
            <w:tcW w:type="dxa" w:w="2088"/>
            <w:vAlign w:val="top"/>
          </w:tcPr>
          <w:p>
            <w:pPr>
              <w:spacing w:after="0" w:line="240" w:lineRule="auto"/>
            </w:pPr>
            <w:r/>
            <w:r>
              <w:rPr>
                <w:rFonts w:ascii="Arial" w:hAnsi="Arial" w:eastAsia="Arial"/>
                <w:b w:val="0"/>
                <w:sz w:val="14"/>
              </w:rPr>
              <w:t>Gain from disposal</w:t>
            </w:r>
          </w:p>
        </w:tc>
        <w:tc>
          <w:tcPr>
            <w:tcW w:type="dxa" w:w="1512"/>
            <w:vAlign w:val="top"/>
          </w:tcPr>
          <w:p>
            <w:pPr>
              <w:spacing w:after="0" w:line="240" w:lineRule="auto"/>
            </w:pPr>
            <w:r/>
            <w:r>
              <w:rPr>
                <w:rFonts w:ascii="Arial" w:hAnsi="Arial" w:eastAsia="Arial"/>
                <w:b w:val="0"/>
                <w:sz w:val="14"/>
              </w:rPr>
            </w:r>
          </w:p>
        </w:tc>
        <w:tc>
          <w:tcPr>
            <w:tcW w:type="dxa" w:w="1584"/>
            <w:vAlign w:val="top"/>
          </w:tcPr>
          <w:p>
            <w:pPr>
              <w:spacing w:after="0" w:line="240" w:lineRule="auto"/>
            </w:pPr>
            <w:r/>
            <w:r>
              <w:rPr>
                <w:rFonts w:ascii="Arial" w:hAnsi="Arial" w:eastAsia="Arial"/>
                <w:b w:val="0"/>
                <w:sz w:val="14"/>
              </w:rPr>
              <w:t>4,350,000</w:t>
            </w:r>
          </w:p>
        </w:tc>
        <w:tc>
          <w:tcPr>
            <w:tcW w:type="dxa" w:w="2088"/>
            <w:vAlign w:val="top"/>
          </w:tcPr>
          <w:p>
            <w:pPr>
              <w:spacing w:after="0" w:line="240" w:lineRule="auto"/>
            </w:pPr>
            <w:r/>
            <w:r>
              <w:rPr>
                <w:rFonts w:ascii="Arial" w:hAnsi="Arial" w:eastAsia="Arial"/>
                <w:b w:val="0"/>
                <w:sz w:val="14"/>
              </w:rPr>
              <w:t>Other investment</w:t>
            </w:r>
          </w:p>
        </w:tc>
        <w:tc>
          <w:tcPr>
            <w:tcW w:type="dxa" w:w="1512"/>
            <w:vAlign w:val="top"/>
          </w:tcPr>
          <w:p>
            <w:pPr>
              <w:spacing w:after="0" w:line="240" w:lineRule="auto"/>
            </w:pPr>
            <w:r/>
            <w:r>
              <w:rPr>
                <w:rFonts w:ascii="Arial" w:hAnsi="Arial" w:eastAsia="Arial"/>
                <w:b w:val="0"/>
                <w:sz w:val="14"/>
              </w:rPr>
              <w:t>5,000,000</w:t>
            </w:r>
          </w:p>
        </w:tc>
        <w:tc>
          <w:tcPr>
            <w:tcW w:type="dxa" w:w="1584"/>
            <w:vAlign w:val="top"/>
          </w:tcPr>
          <w:p>
            <w:pPr>
              <w:spacing w:after="0" w:line="240" w:lineRule="auto"/>
            </w:pPr>
            <w:r/>
            <w:r>
              <w:rPr>
                <w:rFonts w:ascii="Arial" w:hAnsi="Arial" w:eastAsia="Arial"/>
                <w:b w:val="0"/>
                <w:sz w:val="14"/>
              </w:rPr>
              <w:t>4,000,000</w:t>
            </w:r>
          </w:p>
        </w:tc>
      </w:tr>
      <w:tr>
        <w:tc>
          <w:tcPr>
            <w:tcW w:type="dxa" w:w="2088"/>
            <w:vAlign w:val="top"/>
          </w:tcPr>
          <w:p>
            <w:pPr>
              <w:spacing w:after="0" w:line="240" w:lineRule="auto"/>
            </w:pPr>
            <w:r/>
            <w:r>
              <w:rPr>
                <w:rFonts w:ascii="Arial" w:hAnsi="Arial" w:eastAsia="Arial"/>
                <w:b w:val="0"/>
                <w:sz w:val="14"/>
              </w:rPr>
            </w:r>
          </w:p>
        </w:tc>
        <w:tc>
          <w:tcPr>
            <w:tcW w:type="dxa" w:w="1512"/>
            <w:vAlign w:val="top"/>
          </w:tcPr>
          <w:p>
            <w:pPr>
              <w:spacing w:after="0" w:line="240" w:lineRule="auto"/>
            </w:pPr>
            <w:r/>
            <w:r>
              <w:rPr>
                <w:rFonts w:ascii="Arial" w:hAnsi="Arial" w:eastAsia="Arial"/>
                <w:b w:val="0"/>
                <w:sz w:val="14"/>
              </w:rPr>
            </w:r>
          </w:p>
        </w:tc>
        <w:tc>
          <w:tcPr>
            <w:tcW w:type="dxa" w:w="1584"/>
            <w:vAlign w:val="top"/>
          </w:tcPr>
          <w:p>
            <w:pPr>
              <w:spacing w:after="0" w:line="240" w:lineRule="auto"/>
            </w:pPr>
            <w:r/>
            <w:r>
              <w:rPr>
                <w:rFonts w:ascii="Arial" w:hAnsi="Arial" w:eastAsia="Arial"/>
                <w:b w:val="0"/>
                <w:sz w:val="14"/>
              </w:rPr>
            </w:r>
          </w:p>
        </w:tc>
        <w:tc>
          <w:tcPr>
            <w:tcW w:type="dxa" w:w="2088"/>
            <w:vAlign w:val="top"/>
          </w:tcPr>
          <w:p>
            <w:pPr>
              <w:spacing w:after="0" w:line="240" w:lineRule="auto"/>
            </w:pPr>
            <w:r/>
            <w:r>
              <w:rPr>
                <w:rFonts w:ascii="Arial" w:hAnsi="Arial" w:eastAsia="Arial"/>
                <w:b w:val="0"/>
                <w:sz w:val="14"/>
              </w:rPr>
              <w:t>Cash balance</w:t>
            </w:r>
          </w:p>
        </w:tc>
        <w:tc>
          <w:tcPr>
            <w:tcW w:type="dxa" w:w="1512"/>
            <w:vAlign w:val="top"/>
          </w:tcPr>
          <w:p>
            <w:pPr>
              <w:spacing w:after="0" w:line="240" w:lineRule="auto"/>
            </w:pPr>
            <w:r/>
            <w:r>
              <w:rPr>
                <w:rFonts w:ascii="Arial" w:hAnsi="Arial" w:eastAsia="Arial"/>
                <w:b w:val="0"/>
                <w:sz w:val="14"/>
              </w:rPr>
              <w:t>100,000</w:t>
            </w:r>
          </w:p>
        </w:tc>
        <w:tc>
          <w:tcPr>
            <w:tcW w:type="dxa" w:w="1584"/>
            <w:vAlign w:val="top"/>
          </w:tcPr>
          <w:p>
            <w:pPr>
              <w:spacing w:after="0" w:line="240" w:lineRule="auto"/>
            </w:pPr>
            <w:r/>
            <w:r>
              <w:rPr>
                <w:rFonts w:ascii="Arial" w:hAnsi="Arial" w:eastAsia="Arial"/>
                <w:b w:val="0"/>
                <w:sz w:val="14"/>
              </w:rPr>
              <w:t>100,000</w:t>
            </w:r>
          </w:p>
        </w:tc>
      </w:tr>
      <w:tr>
        <w:tc>
          <w:tcPr>
            <w:tcW w:type="dxa" w:w="2088"/>
            <w:vAlign w:val="top"/>
          </w:tcPr>
          <w:p>
            <w:pPr>
              <w:spacing w:after="0" w:line="240" w:lineRule="auto"/>
            </w:pPr>
            <w:r/>
            <w:r>
              <w:rPr>
                <w:rFonts w:ascii="Arial" w:hAnsi="Arial" w:eastAsia="Arial"/>
                <w:b w:val="0"/>
                <w:sz w:val="14"/>
              </w:rPr>
            </w:r>
          </w:p>
        </w:tc>
        <w:tc>
          <w:tcPr>
            <w:tcW w:type="dxa" w:w="1512"/>
            <w:vAlign w:val="top"/>
          </w:tcPr>
          <w:p>
            <w:pPr>
              <w:spacing w:after="0" w:line="240" w:lineRule="auto"/>
            </w:pPr>
            <w:r/>
            <w:r>
              <w:rPr>
                <w:rFonts w:ascii="Arial" w:hAnsi="Arial" w:eastAsia="Arial"/>
                <w:b w:val="0"/>
                <w:sz w:val="14"/>
              </w:rPr>
            </w:r>
          </w:p>
        </w:tc>
        <w:tc>
          <w:tcPr>
            <w:tcW w:type="dxa" w:w="1584"/>
            <w:vAlign w:val="top"/>
          </w:tcPr>
          <w:p>
            <w:pPr>
              <w:spacing w:after="0" w:line="240" w:lineRule="auto"/>
            </w:pPr>
            <w:r/>
            <w:r>
              <w:rPr>
                <w:rFonts w:ascii="Arial" w:hAnsi="Arial" w:eastAsia="Arial"/>
                <w:b w:val="0"/>
                <w:sz w:val="14"/>
              </w:rPr>
            </w:r>
          </w:p>
        </w:tc>
        <w:tc>
          <w:tcPr>
            <w:tcW w:type="dxa" w:w="2088"/>
            <w:vAlign w:val="top"/>
          </w:tcPr>
          <w:p>
            <w:pPr>
              <w:spacing w:after="0" w:line="240" w:lineRule="auto"/>
            </w:pPr>
            <w:r/>
            <w:r>
              <w:rPr>
                <w:rFonts w:ascii="Arial" w:hAnsi="Arial" w:eastAsia="Arial"/>
                <w:b w:val="0"/>
                <w:sz w:val="14"/>
              </w:rPr>
              <w:t>Bank balance</w:t>
            </w:r>
          </w:p>
        </w:tc>
        <w:tc>
          <w:tcPr>
            <w:tcW w:type="dxa" w:w="1512"/>
            <w:vAlign w:val="top"/>
          </w:tcPr>
          <w:p>
            <w:pPr>
              <w:spacing w:after="0" w:line="240" w:lineRule="auto"/>
            </w:pPr>
            <w:r/>
            <w:r>
              <w:rPr>
                <w:rFonts w:ascii="Arial" w:hAnsi="Arial" w:eastAsia="Arial"/>
                <w:b w:val="0"/>
                <w:sz w:val="14"/>
              </w:rPr>
              <w:t>1,000,000</w:t>
            </w:r>
          </w:p>
        </w:tc>
        <w:tc>
          <w:tcPr>
            <w:tcW w:type="dxa" w:w="1584"/>
            <w:vAlign w:val="top"/>
          </w:tcPr>
          <w:p>
            <w:pPr>
              <w:spacing w:after="0" w:line="240" w:lineRule="auto"/>
            </w:pPr>
            <w:r/>
            <w:r>
              <w:rPr>
                <w:rFonts w:ascii="Arial" w:hAnsi="Arial" w:eastAsia="Arial"/>
                <w:b w:val="0"/>
                <w:sz w:val="14"/>
              </w:rPr>
              <w:t>1,000,000</w:t>
            </w:r>
          </w:p>
        </w:tc>
      </w:tr>
      <w:tr>
        <w:tc>
          <w:tcPr>
            <w:tcW w:type="dxa" w:w="2088"/>
            <w:vAlign w:val="top"/>
          </w:tcPr>
          <w:p>
            <w:pPr>
              <w:spacing w:after="0" w:line="240" w:lineRule="auto"/>
            </w:pPr>
            <w:r/>
            <w:r>
              <w:rPr>
                <w:rFonts w:ascii="Arial" w:hAnsi="Arial" w:eastAsia="Arial"/>
                <w:b w:val="0"/>
                <w:sz w:val="14"/>
              </w:rPr>
            </w:r>
          </w:p>
        </w:tc>
        <w:tc>
          <w:tcPr>
            <w:tcW w:type="dxa" w:w="1512"/>
            <w:vAlign w:val="top"/>
          </w:tcPr>
          <w:p>
            <w:pPr>
              <w:spacing w:after="0" w:line="240" w:lineRule="auto"/>
            </w:pPr>
            <w:r/>
            <w:r>
              <w:rPr>
                <w:rFonts w:ascii="Arial" w:hAnsi="Arial" w:eastAsia="Arial"/>
                <w:b w:val="0"/>
                <w:sz w:val="14"/>
              </w:rPr>
            </w:r>
          </w:p>
        </w:tc>
        <w:tc>
          <w:tcPr>
            <w:tcW w:type="dxa" w:w="1584"/>
            <w:vAlign w:val="top"/>
          </w:tcPr>
          <w:p>
            <w:pPr>
              <w:spacing w:after="0" w:line="240" w:lineRule="auto"/>
            </w:pPr>
            <w:r/>
            <w:r>
              <w:rPr>
                <w:rFonts w:ascii="Arial" w:hAnsi="Arial" w:eastAsia="Arial"/>
                <w:b w:val="0"/>
                <w:sz w:val="14"/>
              </w:rPr>
            </w:r>
          </w:p>
        </w:tc>
        <w:tc>
          <w:tcPr>
            <w:tcW w:type="dxa" w:w="2088"/>
            <w:vAlign w:val="top"/>
          </w:tcPr>
          <w:p>
            <w:pPr>
              <w:spacing w:after="0" w:line="240" w:lineRule="auto"/>
            </w:pPr>
            <w:r/>
            <w:r>
              <w:rPr>
                <w:rFonts w:ascii="Arial" w:hAnsi="Arial" w:eastAsia="Arial"/>
                <w:b w:val="0"/>
                <w:sz w:val="14"/>
              </w:rPr>
              <w:t>Foreign currency balance</w:t>
            </w:r>
          </w:p>
        </w:tc>
        <w:tc>
          <w:tcPr>
            <w:tcW w:type="dxa" w:w="1512"/>
            <w:vAlign w:val="top"/>
          </w:tcPr>
          <w:p>
            <w:pPr>
              <w:spacing w:after="0" w:line="240" w:lineRule="auto"/>
            </w:pPr>
            <w:r/>
            <w:r>
              <w:rPr>
                <w:rFonts w:ascii="Arial" w:hAnsi="Arial" w:eastAsia="Arial"/>
                <w:b w:val="0"/>
                <w:sz w:val="14"/>
              </w:rPr>
              <w:t>500,000</w:t>
            </w:r>
          </w:p>
        </w:tc>
        <w:tc>
          <w:tcPr>
            <w:tcW w:type="dxa" w:w="1584"/>
            <w:vAlign w:val="top"/>
          </w:tcPr>
          <w:p>
            <w:pPr>
              <w:spacing w:after="0" w:line="240" w:lineRule="auto"/>
            </w:pPr>
            <w:r/>
            <w:r>
              <w:rPr>
                <w:rFonts w:ascii="Arial" w:hAnsi="Arial" w:eastAsia="Arial"/>
                <w:b w:val="0"/>
                <w:sz w:val="14"/>
              </w:rPr>
              <w:t>550,000</w:t>
            </w:r>
          </w:p>
        </w:tc>
      </w:tr>
      <w:tr>
        <w:tc>
          <w:tcPr>
            <w:tcW w:type="dxa" w:w="2088"/>
            <w:vAlign w:val="top"/>
          </w:tcPr>
          <w:p>
            <w:pPr>
              <w:spacing w:after="0" w:line="240" w:lineRule="auto"/>
            </w:pPr>
            <w:r/>
            <w:r>
              <w:rPr>
                <w:rFonts w:ascii="Arial" w:hAnsi="Arial" w:eastAsia="Arial"/>
                <w:b w:val="0"/>
                <w:sz w:val="14"/>
              </w:rPr>
              <w:t>Total</w:t>
            </w:r>
          </w:p>
        </w:tc>
        <w:tc>
          <w:tcPr>
            <w:tcW w:type="dxa" w:w="1512"/>
            <w:vAlign w:val="top"/>
          </w:tcPr>
          <w:p>
            <w:pPr>
              <w:spacing w:after="0" w:line="240" w:lineRule="auto"/>
            </w:pPr>
            <w:r/>
            <w:r>
              <w:rPr>
                <w:rFonts w:ascii="Arial" w:hAnsi="Arial" w:eastAsia="Arial"/>
                <w:b w:val="0"/>
                <w:sz w:val="14"/>
              </w:rPr>
              <w:t>17,500,000</w:t>
            </w:r>
          </w:p>
        </w:tc>
        <w:tc>
          <w:tcPr>
            <w:tcW w:type="dxa" w:w="1584"/>
            <w:vAlign w:val="top"/>
          </w:tcPr>
          <w:p>
            <w:pPr>
              <w:spacing w:after="0" w:line="240" w:lineRule="auto"/>
            </w:pPr>
            <w:r/>
            <w:r>
              <w:rPr>
                <w:rFonts w:ascii="Arial" w:hAnsi="Arial" w:eastAsia="Arial"/>
                <w:b w:val="0"/>
                <w:sz w:val="14"/>
              </w:rPr>
              <w:t>21,850,000</w:t>
            </w:r>
          </w:p>
        </w:tc>
        <w:tc>
          <w:tcPr>
            <w:tcW w:type="dxa" w:w="2088"/>
            <w:vAlign w:val="top"/>
          </w:tcPr>
          <w:p>
            <w:pPr>
              <w:spacing w:after="0" w:line="240" w:lineRule="auto"/>
            </w:pPr>
            <w:r/>
            <w:r>
              <w:rPr>
                <w:rFonts w:ascii="Arial" w:hAnsi="Arial" w:eastAsia="Arial"/>
                <w:b w:val="0"/>
                <w:sz w:val="14"/>
              </w:rPr>
              <w:t>Total</w:t>
            </w:r>
          </w:p>
        </w:tc>
        <w:tc>
          <w:tcPr>
            <w:tcW w:type="dxa" w:w="1512"/>
            <w:vAlign w:val="top"/>
          </w:tcPr>
          <w:p>
            <w:pPr>
              <w:spacing w:after="0" w:line="240" w:lineRule="auto"/>
            </w:pPr>
            <w:r/>
            <w:r>
              <w:rPr>
                <w:rFonts w:ascii="Arial" w:hAnsi="Arial" w:eastAsia="Arial"/>
                <w:b w:val="0"/>
                <w:sz w:val="14"/>
              </w:rPr>
              <w:t>17,500,000</w:t>
            </w:r>
          </w:p>
        </w:tc>
        <w:tc>
          <w:tcPr>
            <w:tcW w:type="dxa" w:w="1584"/>
            <w:vAlign w:val="top"/>
          </w:tcPr>
          <w:p>
            <w:pPr>
              <w:spacing w:after="0" w:line="240" w:lineRule="auto"/>
            </w:pPr>
            <w:r/>
            <w:r>
              <w:rPr>
                <w:rFonts w:ascii="Arial" w:hAnsi="Arial" w:eastAsia="Arial"/>
                <w:b w:val="0"/>
                <w:sz w:val="14"/>
              </w:rPr>
              <w:t>21,850,000</w:t>
            </w:r>
          </w:p>
        </w:tc>
      </w:tr>
    </w:tbl>
    <w:p/>
    <w:p>
      <w:pPr>
        <w:spacing w:after="80" w:line="252" w:lineRule="auto"/>
      </w:pPr>
      <w:r>
        <w:rPr>
          <w:rFonts w:ascii="Arial" w:hAnsi="Arial" w:eastAsia="Arial"/>
          <w:b w:val="0"/>
          <w:i w:val="0"/>
          <w:sz w:val="20"/>
        </w:rPr>
        <w:t>On the basis of the above details, the following amounts arising from disposal of assets and liabilities must be included in computing income. For stock-in-trade, the market value of closing stock at the time of disposal, Rs. 600,000, is included in income under Section 7(2)(b), while the cost or book value of closing stock, Rs. 500,000, is deducted under Section 15. For depreciable property, the remaining depreciation basis after depreciation is Rs. 400,000 and market value at disposal is Rs. 600,000. The excess, Rs. 200,000, is included in income under Section 7(2)(d). For business assets, land has gain of Rs. 5,000,000, investment has loss of Rs. 1,000,000, cash and bank balances have no gain or loss, and the foreign currency balance has gain of Rs. 50,000. The net gain from business assets is Rs. 4,050,000, which must be included in income under Section 7(2)(g). On the liabilities side, because the market value and actual value of the liabilities are equal in the example, no gain arises from disposal of liabilities. If there is gain or loss from a liability, it is computed and netted in the same manner as business assets.</w:t>
      </w:r>
    </w:p>
    <w:p>
      <w:pPr>
        <w:pStyle w:val="Heading3"/>
      </w:pPr>
      <w:r>
        <w:t>13.10.4 Provisions Restricting Adjustment</w:t>
      </w:r>
    </w:p>
    <w:p>
      <w:pPr>
        <w:spacing w:after="80" w:line="252" w:lineRule="auto"/>
      </w:pPr>
      <w:r>
        <w:rPr>
          <w:rFonts w:ascii="Arial" w:hAnsi="Arial" w:eastAsia="Arial"/>
          <w:b w:val="0"/>
          <w:i w:val="0"/>
          <w:sz w:val="20"/>
        </w:rPr>
        <w:t>Section 57(2) imposes a restriction so that various tax attributes of an entity before a change in ownership, including losses eligible for carry forward, may not be adjusted after the change in ownership.</w:t>
      </w:r>
    </w:p>
    <w:p>
      <w:pPr>
        <w:spacing w:after="80" w:line="252" w:lineRule="auto"/>
      </w:pPr>
      <w:r>
        <w:rPr>
          <w:rFonts w:ascii="Arial" w:hAnsi="Arial" w:eastAsia="Arial"/>
          <w:b w:val="0"/>
          <w:i w:val="0"/>
          <w:sz w:val="20"/>
        </w:rPr>
        <w:t>57(2) Where ownership of an entity changes as referred to in subsection (1), after such change the entity shall not be permitted to do the following:</w:t>
      </w:r>
    </w:p>
    <w:p>
      <w:pPr>
        <w:spacing w:after="40" w:line="252" w:lineRule="auto"/>
        <w:ind w:left="360" w:hanging="216"/>
      </w:pPr>
      <w:r>
        <w:rPr>
          <w:rFonts w:ascii="Arial" w:hAnsi="Arial" w:eastAsia="Arial"/>
          <w:sz w:val="20"/>
        </w:rPr>
        <w:t>• deduct interest carried forward under Section 14(3) which was incurred before the change in ownership;</w:t>
      </w:r>
    </w:p>
    <w:p>
      <w:pPr>
        <w:spacing w:after="40" w:line="252" w:lineRule="auto"/>
        <w:ind w:left="360" w:hanging="216"/>
      </w:pPr>
      <w:r>
        <w:rPr>
          <w:rFonts w:ascii="Arial" w:hAnsi="Arial" w:eastAsia="Arial"/>
          <w:sz w:val="20"/>
        </w:rPr>
        <w:t>• deduct losses incurred before the change in ownership under Section 20;</w:t>
      </w:r>
    </w:p>
    <w:p>
      <w:pPr>
        <w:spacing w:after="40" w:line="252" w:lineRule="auto"/>
        <w:ind w:left="360" w:hanging="216"/>
      </w:pPr>
      <w:r>
        <w:rPr>
          <w:rFonts w:ascii="Arial" w:hAnsi="Arial" w:eastAsia="Arial"/>
          <w:sz w:val="20"/>
        </w:rPr>
        <w:t>• carry back losses incurred after the change in ownership to any income year before the change under Section 20(4);</w:t>
      </w:r>
    </w:p>
    <w:p>
      <w:pPr>
        <w:spacing w:after="40" w:line="252" w:lineRule="auto"/>
        <w:ind w:left="360" w:hanging="216"/>
      </w:pPr>
      <w:r>
        <w:rPr>
          <w:rFonts w:ascii="Arial" w:hAnsi="Arial" w:eastAsia="Arial"/>
          <w:sz w:val="20"/>
        </w:rPr>
        <w:t>• adjust, under Section 24(4), any amount or expense accounted for before the change in ownership and adjusted after the change;</w:t>
      </w:r>
    </w:p>
    <w:p>
      <w:pPr>
        <w:spacing w:after="40" w:line="252" w:lineRule="auto"/>
        <w:ind w:left="360" w:hanging="216"/>
      </w:pPr>
      <w:r>
        <w:rPr>
          <w:rFonts w:ascii="Arial" w:hAnsi="Arial" w:eastAsia="Arial"/>
          <w:sz w:val="20"/>
        </w:rPr>
        <w:t>• adjust under Section 25(1) an amount accounted for before the change in ownership where, after the change, the right to receive the amount is relinquished or the amount is written off as a bad debt;</w:t>
      </w:r>
    </w:p>
    <w:p>
      <w:pPr>
        <w:spacing w:after="40" w:line="252" w:lineRule="auto"/>
        <w:ind w:left="360" w:hanging="216"/>
      </w:pPr>
      <w:r>
        <w:rPr>
          <w:rFonts w:ascii="Arial" w:hAnsi="Arial" w:eastAsia="Arial"/>
          <w:sz w:val="20"/>
        </w:rPr>
        <w:t>• deduct, under Section 36, loss incurred before the change in ownership from disposal of an asset or liability against income from disposal of an asset or liability after the change;</w:t>
      </w:r>
    </w:p>
    <w:p>
      <w:pPr>
        <w:spacing w:after="40" w:line="252" w:lineRule="auto"/>
        <w:ind w:left="360" w:hanging="216"/>
      </w:pPr>
      <w:r>
        <w:rPr>
          <w:rFonts w:ascii="Arial" w:hAnsi="Arial" w:eastAsia="Arial"/>
          <w:sz w:val="20"/>
        </w:rPr>
        <w:t>• where the entity carries on general insurance business, claim a deduction after the change for premium accounted for as payable before the change and refunded to the insured after the change; or</w:t>
      </w:r>
    </w:p>
    <w:p>
      <w:pPr>
        <w:spacing w:after="40" w:line="252" w:lineRule="auto"/>
        <w:ind w:left="360" w:hanging="216"/>
      </w:pPr>
      <w:r>
        <w:rPr>
          <w:rFonts w:ascii="Arial" w:hAnsi="Arial" w:eastAsia="Arial"/>
          <w:sz w:val="20"/>
        </w:rPr>
        <w:t>• carry forward foreign tax paid in relation to foreign income before the change under Section 71(3).</w:t>
      </w:r>
    </w:p>
    <w:p>
      <w:pPr>
        <w:spacing w:after="80" w:line="252" w:lineRule="auto"/>
      </w:pPr>
      <w:r>
        <w:rPr>
          <w:rFonts w:ascii="Arial" w:hAnsi="Arial" w:eastAsia="Arial"/>
          <w:b w:val="0"/>
          <w:i w:val="0"/>
          <w:sz w:val="20"/>
        </w:rPr>
        <w:t>Accordingly, where there is a change in ownership under Section 57, Section 57(2) prohibits carrying forward or adjusting the following tax attributes from the period before the change against income tax determination for transactions after the change:</w:t>
      </w:r>
    </w:p>
    <w:p>
      <w:pPr>
        <w:spacing w:after="40" w:line="252" w:lineRule="auto"/>
        <w:ind w:left="360" w:hanging="216"/>
      </w:pPr>
      <w:r>
        <w:rPr>
          <w:rFonts w:ascii="Arial" w:hAnsi="Arial" w:eastAsia="Arial"/>
          <w:sz w:val="20"/>
        </w:rPr>
        <w:t>• Excess interest carried forward under Section 14(3), where the entity is a resident entity controlled by a organization entitled to enjoy exemption and the interest paid to the controlling person exceeded the limit specified in Section 14(2).</w:t>
      </w:r>
    </w:p>
    <w:p>
      <w:pPr>
        <w:spacing w:after="40" w:line="252" w:lineRule="auto"/>
        <w:ind w:left="360" w:hanging="216"/>
      </w:pPr>
      <w:r>
        <w:rPr>
          <w:rFonts w:ascii="Arial" w:hAnsi="Arial" w:eastAsia="Arial"/>
          <w:sz w:val="20"/>
        </w:rPr>
        <w:t>• Losses incurred before the change in ownership, which cannot be carried forward and deducted under Section 20 after the change. If the computation triggered by the change in ownership itself results in a loss, that loss also cannot be deducted after the change.</w:t>
      </w:r>
    </w:p>
    <w:p>
      <w:pPr>
        <w:spacing w:after="40" w:line="252" w:lineRule="auto"/>
        <w:ind w:left="360" w:hanging="216"/>
      </w:pPr>
      <w:r>
        <w:rPr>
          <w:rFonts w:ascii="Arial" w:hAnsi="Arial" w:eastAsia="Arial"/>
          <w:sz w:val="20"/>
        </w:rPr>
        <w:t>• Losses incurred after the change in ownership, which cannot be carried back and claimed against earlier years under Section 20(4).</w:t>
      </w:r>
    </w:p>
    <w:p>
      <w:pPr>
        <w:spacing w:after="40" w:line="252" w:lineRule="auto"/>
        <w:ind w:left="360" w:hanging="216"/>
      </w:pPr>
      <w:r>
        <w:rPr>
          <w:rFonts w:ascii="Arial" w:hAnsi="Arial" w:eastAsia="Arial"/>
          <w:sz w:val="20"/>
        </w:rPr>
        <w:t>• Amounts accounted for on an accrual basis before the change which, after the change, differ upon actual receipt or payment because of exchange rate or any other reason; the difference cannot be adjusted under Section 24.</w:t>
      </w:r>
    </w:p>
    <w:p>
      <w:pPr>
        <w:spacing w:after="40" w:line="252" w:lineRule="auto"/>
        <w:ind w:left="360" w:hanging="216"/>
      </w:pPr>
      <w:r>
        <w:rPr>
          <w:rFonts w:ascii="Arial" w:hAnsi="Arial" w:eastAsia="Arial"/>
          <w:sz w:val="20"/>
        </w:rPr>
        <w:t>• Amounts accounted for as receivable on an accrual basis before the change where, after the change, the right to receive is given up or a debt claim is written off as bad debt; no adjustment is allowed under Section 25(1).</w:t>
      </w:r>
    </w:p>
    <w:p>
      <w:pPr>
        <w:spacing w:after="40" w:line="252" w:lineRule="auto"/>
        <w:ind w:left="360" w:hanging="216"/>
      </w:pPr>
      <w:r>
        <w:rPr>
          <w:rFonts w:ascii="Arial" w:hAnsi="Arial" w:eastAsia="Arial"/>
          <w:sz w:val="20"/>
        </w:rPr>
        <w:t>• Losses from disposal of assets or liabilities before the change cannot be deducted from income arising from disposal of assets or liabilities after the change under Section 36. Losses arising from the deemed disposal caused by the change are also not deductible after the change.</w:t>
      </w:r>
    </w:p>
    <w:p>
      <w:pPr>
        <w:spacing w:after="40" w:line="252" w:lineRule="auto"/>
        <w:ind w:left="360" w:hanging="216"/>
      </w:pPr>
      <w:r>
        <w:rPr>
          <w:rFonts w:ascii="Arial" w:hAnsi="Arial" w:eastAsia="Arial"/>
          <w:sz w:val="20"/>
        </w:rPr>
        <w:t>• In the case of a general insurance business, premium accounted for before the change as payable by the insurer and refunded to the insured after the change cannot be claimed as deduction after the change.</w:t>
      </w:r>
    </w:p>
    <w:p>
      <w:pPr>
        <w:spacing w:after="40" w:line="252" w:lineRule="auto"/>
        <w:ind w:left="360" w:hanging="216"/>
      </w:pPr>
      <w:r>
        <w:rPr>
          <w:rFonts w:ascii="Arial" w:hAnsi="Arial" w:eastAsia="Arial"/>
          <w:sz w:val="20"/>
        </w:rPr>
        <w:t>• For an entity having foreign-source income, excess foreign tax paid before the change cannot be credited against foreign tax payable after the change.</w:t>
      </w:r>
    </w:p>
    <w:p>
      <w:pPr>
        <w:pStyle w:val="Heading3"/>
      </w:pPr>
      <w:r>
        <w:t>13.10.5 Tax Assessment and Income Return</w:t>
      </w:r>
    </w:p>
    <w:p>
      <w:pPr>
        <w:spacing w:after="80" w:line="252" w:lineRule="auto"/>
      </w:pPr>
      <w:r>
        <w:rPr>
          <w:rFonts w:ascii="Arial" w:hAnsi="Arial" w:eastAsia="Arial"/>
          <w:b w:val="0"/>
          <w:i w:val="0"/>
          <w:sz w:val="20"/>
        </w:rPr>
        <w:t>Where an entity is treated as having a change in ownership, the part of the income year before the change and the part after the change are treated as separate income years. Section 57(3) provides:</w:t>
      </w:r>
    </w:p>
    <w:p>
      <w:pPr>
        <w:spacing w:after="80" w:line="252" w:lineRule="auto"/>
      </w:pPr>
      <w:r>
        <w:rPr>
          <w:rFonts w:ascii="Arial" w:hAnsi="Arial" w:eastAsia="Arial"/>
          <w:b w:val="0"/>
          <w:i w:val="0"/>
          <w:sz w:val="20"/>
        </w:rPr>
        <w:t>57(3) Where ownership of an entity changes in an income year in the manner referred to in subsection (1), the parts of that income year before and after the change in ownership shall be treated as separate income years.</w:t>
      </w:r>
    </w:p>
    <w:p>
      <w:pPr>
        <w:spacing w:after="80" w:line="252" w:lineRule="auto"/>
      </w:pPr>
      <w:r>
        <w:rPr>
          <w:rFonts w:ascii="Arial" w:hAnsi="Arial" w:eastAsia="Arial"/>
          <w:b w:val="0"/>
          <w:i w:val="0"/>
          <w:sz w:val="20"/>
        </w:rPr>
        <w:t>Accordingly, where ownership of an entity changes under Section 57, the portions of the income year before and after the change are treated as separate income years. The entity must make separate self-assessments and file separate income returns for the period before the date of change and for the period after that date. In preparing the return for the period after the change, the assets and liabilities must be valued at the market value prevailing at the time of change in ownership.</w:t>
      </w:r>
    </w:p>
    <w:p>
      <w:pPr>
        <w:spacing w:after="80" w:line="252" w:lineRule="auto"/>
      </w:pPr>
      <w:r>
        <w:rPr>
          <w:rFonts w:ascii="Arial" w:hAnsi="Arial" w:eastAsia="Arial"/>
          <w:b w:val="0"/>
          <w:i w:val="0"/>
          <w:sz w:val="20"/>
        </w:rPr>
        <w:t>Because the portions of the income year before and after the change are treated as separate income years, the due dates for filing income returns also differ. The income return for the period up to the date of change in ownership must be filed within three months from that date.</w:t>
      </w:r>
    </w:p>
    <w:p>
      <w:pPr>
        <w:spacing w:after="80" w:line="252" w:lineRule="auto"/>
      </w:pPr>
      <w:r>
        <w:rPr>
          <w:rFonts w:ascii="Arial" w:hAnsi="Arial" w:eastAsia="Arial"/>
          <w:b/>
          <w:i w:val="0"/>
          <w:sz w:val="20"/>
        </w:rPr>
        <w:t>Example 13.10.7:</w:t>
      </w:r>
    </w:p>
    <w:p>
      <w:pPr>
        <w:spacing w:after="80" w:line="252" w:lineRule="auto"/>
      </w:pPr>
      <w:r>
        <w:rPr>
          <w:rFonts w:ascii="Arial" w:hAnsi="Arial" w:eastAsia="Arial"/>
          <w:b w:val="0"/>
          <w:i w:val="0"/>
          <w:sz w:val="20"/>
        </w:rPr>
        <w:t>Assume that the ownership of Danfe Company Pvt. Ltd. changed on 15 Chaitra 2079. The company must file, within three months from that date, that is, by 14 Ashad 2080, the income return for the period before the change in ownership, namely 1 Shrawan 2079 to 15 Chaitra 2079. Similarly, the income return for the period from 16 Chaitra 2079 to the end of Ashad 2080 must be filed by the end of Ashwin 2080.</w:t>
      </w:r>
    </w:p>
    <w:p>
      <w:pPr>
        <w:pStyle w:val="Heading2"/>
      </w:pPr>
      <w:r>
        <w:t>13.11 Provision to Prevent Reduction of Dividend Tax</w:t>
      </w:r>
    </w:p>
    <w:p>
      <w:pPr>
        <w:spacing w:after="80" w:line="252" w:lineRule="auto"/>
      </w:pPr>
      <w:r>
        <w:rPr>
          <w:rFonts w:ascii="Arial" w:hAnsi="Arial" w:eastAsia="Arial"/>
          <w:b w:val="0"/>
          <w:i w:val="0"/>
          <w:sz w:val="20"/>
        </w:rPr>
        <w:t>An entity may distribute to its beneficiaries profit derived by the entity. Such distribution is generally called dividend distribution. Dividend may be distributed in cash, by bonus shares, or in any other form. Sometimes an arrangement may be made between an entity and a beneficiary with the intention of avoiding dividend tax. Section 58 of the Act contains the following provision so that dividend tax is paid in such cases:</w:t>
      </w:r>
    </w:p>
    <w:p>
      <w:pPr>
        <w:spacing w:after="80" w:line="252" w:lineRule="auto"/>
      </w:pPr>
      <w:r>
        <w:rPr>
          <w:rFonts w:ascii="Arial" w:hAnsi="Arial" w:eastAsia="Arial"/>
          <w:b w:val="0"/>
          <w:i w:val="0"/>
          <w:sz w:val="20"/>
        </w:rPr>
        <w:t>58(1) An arrangement made by an entity maintaining all of the following circumstances shall be treated as an arrangement for reducing dividend tax:</w:t>
      </w:r>
    </w:p>
    <w:p>
      <w:pPr>
        <w:spacing w:after="80" w:line="252" w:lineRule="auto"/>
      </w:pPr>
      <w:r>
        <w:rPr>
          <w:rFonts w:ascii="Arial" w:hAnsi="Arial" w:eastAsia="Arial"/>
          <w:b w:val="0"/>
          <w:i w:val="0"/>
          <w:sz w:val="20"/>
        </w:rPr>
        <w:t>(a) the entity has accumulated, current or expected profits;</w:t>
      </w:r>
    </w:p>
    <w:p>
      <w:pPr>
        <w:spacing w:after="80" w:line="252" w:lineRule="auto"/>
      </w:pPr>
      <w:r>
        <w:rPr>
          <w:rFonts w:ascii="Arial" w:hAnsi="Arial" w:eastAsia="Arial"/>
          <w:b w:val="0"/>
          <w:i w:val="0"/>
          <w:sz w:val="20"/>
        </w:rPr>
        <w:t>(b) a person acquiring an interest acquires an interest in the entity, and that acquirer or an associated person of that acquirer makes any payment to a current or former beneficiary of the entity or to an associated person of such beneficiary, whether or not connected with the acquisition of the interest and whether or not made at the time of acquisition;</w:t>
      </w:r>
    </w:p>
    <w:p>
      <w:pPr>
        <w:spacing w:after="80" w:line="252" w:lineRule="auto"/>
      </w:pPr>
      <w:r>
        <w:rPr>
          <w:rFonts w:ascii="Arial" w:hAnsi="Arial" w:eastAsia="Arial"/>
          <w:b w:val="0"/>
          <w:i w:val="0"/>
          <w:sz w:val="20"/>
        </w:rPr>
        <w:t>(c) that payment is wholly or partly reflected in the profits of the entity; and</w:t>
      </w:r>
    </w:p>
    <w:p>
      <w:pPr>
        <w:spacing w:after="80" w:line="252" w:lineRule="auto"/>
      </w:pPr>
      <w:r>
        <w:rPr>
          <w:rFonts w:ascii="Arial" w:hAnsi="Arial" w:eastAsia="Arial"/>
          <w:b w:val="0"/>
          <w:i w:val="0"/>
          <w:sz w:val="20"/>
        </w:rPr>
        <w:t>(d) the entity distributes dividend to that acquirer of interest, and that dividend wholly or partly includes such profits.</w:t>
      </w:r>
    </w:p>
    <w:p>
      <w:pPr>
        <w:spacing w:after="80" w:line="252" w:lineRule="auto"/>
      </w:pPr>
      <w:r>
        <w:rPr>
          <w:rFonts w:ascii="Arial" w:hAnsi="Arial" w:eastAsia="Arial"/>
          <w:b w:val="0"/>
          <w:i w:val="0"/>
          <w:sz w:val="20"/>
        </w:rPr>
        <w:t>58(2) Where dividend is distributed by an entity under an arrangement for reducing dividend tax under subsection (1), the arrangement shall be treated as follows:</w:t>
      </w:r>
    </w:p>
    <w:p>
      <w:pPr>
        <w:spacing w:after="80" w:line="252" w:lineRule="auto"/>
      </w:pPr>
      <w:r>
        <w:rPr>
          <w:rFonts w:ascii="Arial" w:hAnsi="Arial" w:eastAsia="Arial"/>
          <w:b w:val="0"/>
          <w:i w:val="0"/>
          <w:sz w:val="20"/>
        </w:rPr>
        <w:t>(a) the payment made by the acquirer of interest or the associated person of the acquirer shall not be treated as a payment by that person, but shall be treated as dividend distributed by the entity to the former or current beneficiary referred to in clause (b).</w:t>
      </w:r>
    </w:p>
    <w:p>
      <w:pPr>
        <w:spacing w:after="80" w:line="252" w:lineRule="auto"/>
      </w:pPr>
      <w:r>
        <w:rPr>
          <w:rFonts w:ascii="Arial" w:hAnsi="Arial" w:eastAsia="Arial"/>
          <w:b w:val="0"/>
          <w:i w:val="0"/>
          <w:sz w:val="20"/>
        </w:rPr>
        <w:t>If all the above provisions apply, the arrangement is treated as diversion or avoidance of dividend and dividend tax is recovered accordingly. The following example clarifies the provision.</w:t>
      </w:r>
    </w:p>
    <w:p>
      <w:pPr>
        <w:spacing w:after="80" w:line="252" w:lineRule="auto"/>
      </w:pPr>
      <w:r>
        <w:rPr>
          <w:rFonts w:ascii="Arial" w:hAnsi="Arial" w:eastAsia="Arial"/>
          <w:b/>
          <w:i w:val="0"/>
          <w:sz w:val="20"/>
        </w:rPr>
        <w:t>Example 13.11.1:</w:t>
      </w:r>
    </w:p>
    <w:p>
      <w:pPr>
        <w:spacing w:after="80" w:line="252" w:lineRule="auto"/>
      </w:pPr>
      <w:r>
        <w:rPr>
          <w:rFonts w:ascii="Arial" w:hAnsi="Arial" w:eastAsia="Arial"/>
          <w:b w:val="0"/>
          <w:i w:val="0"/>
          <w:sz w:val="20"/>
        </w:rPr>
        <w:t>Assume that Danfe Company Pvt. Ltd. is a resident person of Nepal. All of its shares are held by a non-resident company named Donald Inc. Danfe Company Pvt. Ltd. has been earning profit every year and has accumulated the profit instead of distributing it to its beneficiary Donald Inc. Assume that accumulated profit has reached Rs. 100,000. Sky Company Pvt. Ltd., another company established in Nepal, purchases all shares of Danfe Company Pvt. Ltd. from Donald Inc. for Rs. 160,000. After Sky Company Pvt. Ltd. purchases the shares, Danfe Company Pvt. Ltd. declares dividend of Rs. 70,000. In this situation, out of the payment made by Sky Company Pvt. Ltd. to Donald Inc. for purchase of the shares, to the extent of the current distribution of Rs. 70,000 out of the accumulated profit of Rs. 100,000, the dividend is not treated as dividend received by Sky Company Pvt. Ltd. It is treated as a distribution made by Danfe Company Pvt. Ltd. to Donald Inc. If, in the year of distribution, dividend to resident shareholders is taxed at 5 percent, but the rate applicable to a non-resident such as Donald Inc. for the year of transfer would be 10 percent, tax should have been withheld at 10 percent as applicable to Donald Inc. Since the distribution is treated as having been made to Donald Inc., interest under Section 119 also applies when tax is paid in the actual year of distribution.</w:t>
      </w:r>
    </w:p>
    <w:p>
      <w:pPr>
        <w:spacing w:after="80" w:line="252" w:lineRule="auto"/>
      </w:pPr>
      <w:r>
        <w:rPr>
          <w:rFonts w:ascii="Arial" w:hAnsi="Arial" w:eastAsia="Arial"/>
          <w:b w:val="0"/>
          <w:i w:val="0"/>
          <w:sz w:val="20"/>
        </w:rPr>
        <w:t>(b) the dividend distributed by the entity to the acquirer of the interest shall be treated as reduced by the amount treated as the dividend referred to in clause (a).</w:t>
      </w:r>
    </w:p>
    <w:p>
      <w:pPr>
        <w:spacing w:after="80" w:line="252" w:lineRule="auto"/>
      </w:pPr>
      <w:r>
        <w:rPr>
          <w:rFonts w:ascii="Arial" w:hAnsi="Arial" w:eastAsia="Arial"/>
          <w:b w:val="0"/>
          <w:i w:val="0"/>
          <w:sz w:val="20"/>
        </w:rPr>
        <w:t>In the above example, if in a later year Sky Company distributes dividend of Rs. 110,000 including profit earned by it from business, then up to Rs. 100,000 of the dividend is treated as dividend received by Donald Inc. from Danfe Company Pvt. Ltd., and only the remaining Rs. 10,000 is treated as dividend received by Sky Company, even though the whole dividend is in fact received by Sky Company.</w:t>
      </w:r>
    </w:p>
    <w:p>
      <w:pPr>
        <w:pStyle w:val="Heading2"/>
      </w:pPr>
      <w:r>
        <w:t>13.12 Rate of Tax on Dividend and Exemptions and Concessions</w:t>
      </w:r>
    </w:p>
    <w:p>
      <w:pPr>
        <w:pStyle w:val="Heading3"/>
      </w:pPr>
      <w:r>
        <w:t>13.12.1 Rate of Tax on Dividend</w:t>
      </w:r>
    </w:p>
    <w:p>
      <w:pPr>
        <w:spacing w:after="80" w:line="252" w:lineRule="auto"/>
      </w:pPr>
      <w:r>
        <w:rPr>
          <w:rFonts w:ascii="Arial" w:hAnsi="Arial" w:eastAsia="Arial"/>
          <w:b w:val="0"/>
          <w:i w:val="0"/>
          <w:sz w:val="20"/>
        </w:rPr>
        <w:t>Under Section 88(2)(a) of the Act, a resident company or partnership firm is required to withhold tax at the rate of 5 percent on dividend paid. Section 92(1)(a) treats such payment as a final withholding payment. Therefore, a payment received after such withholding is not required to be included in income. Dividend income paid by a non-resident person is included in business income or investment income and taxed at the normal rate. However, tax paid in that foreign country under the law of that country on such dividend income may be credited by the recipient against the recipient’s tax liability as a foreign tax adjustment. In making such foreign tax adjustment, credit is not allowed in that year in excess of the average rate of tax in Nepal. Any remaining tax amount may be carried forward and adjusted against such tax liability in later years. Foreign tax adjustment is explained in detail in Chapter 14 of this Directive.</w:t>
      </w:r>
    </w:p>
    <w:p>
      <w:pPr>
        <w:spacing w:after="80" w:line="252" w:lineRule="auto"/>
      </w:pPr>
      <w:r>
        <w:rPr>
          <w:rFonts w:ascii="Arial" w:hAnsi="Arial" w:eastAsia="Arial"/>
          <w:b w:val="0"/>
          <w:i w:val="0"/>
          <w:sz w:val="20"/>
        </w:rPr>
        <w:t>Under Section 68(4) of the Act, the income repatriated by a Nepal-based foreign permanent establishment of a non-resident person in an income year equals the dividend amount distributed by that foreign permanent establishment in that year. Further, under Section 2(6) of Schedule 1, tax at the rate of 5 percent applies to income repatriated by a Nepal-based foreign permanent establishment of a non-resident person.</w:t>
      </w:r>
    </w:p>
    <w:p>
      <w:pPr>
        <w:pStyle w:val="Heading3"/>
      </w:pPr>
      <w:r>
        <w:t>13.12.2 Exemptions and Concessions</w:t>
      </w:r>
    </w:p>
    <w:p>
      <w:pPr>
        <w:spacing w:after="40" w:line="252" w:lineRule="auto"/>
        <w:ind w:left="360" w:hanging="216"/>
      </w:pPr>
      <w:r>
        <w:rPr>
          <w:rFonts w:ascii="Arial" w:hAnsi="Arial" w:eastAsia="Arial"/>
          <w:sz w:val="20"/>
        </w:rPr>
        <w:t>• Under Section 11(2) of the Act, no tax is imposed on the income of specified cooperatives registered and operating under the Cooperatives Act, 2074, including cooperatives operating agriculture- and forest-product-based industries such as sericulture and silk production, fruit cultivation, fruit production and processing, animal husbandry, dairy industry, poultry farming, fisheries, tea cultivation and processing, coffee cultivation and processing, herbs cultivation and processing, vegetable seed production, bee-keeping, honey production, rubber farming, leasehold forestry, agro-forestry and similar commercial forestry businesses; cold stores established for vegetables; cooperatives dealing in agricultural seeds, animal feed, feed, pesticides, fertilisers and agricultural tools other than those operated by mechanical power; and cooperative organisations or unions operating in rural municipality areas. Dividend distributed by such organisation or union is also not subject to tax. However, dividend distributed by cooperative organisations or unions registered in municipality, sub-metropolitan city or metropolitan city areas under the Cooperatives Act, 2074 is taxable.</w:t>
      </w:r>
    </w:p>
    <w:p>
      <w:pPr>
        <w:spacing w:after="40" w:line="252" w:lineRule="auto"/>
        <w:ind w:left="360" w:hanging="216"/>
      </w:pPr>
      <w:r>
        <w:rPr>
          <w:rFonts w:ascii="Arial" w:hAnsi="Arial" w:eastAsia="Arial"/>
          <w:sz w:val="20"/>
        </w:rPr>
        <w:t>• Under Section 11(3A)(c) of the Act, dividend distributed by an industry established in a Special Economic Zone is fully exempt from tax for five years from the date of commencement of transactions, meaning that no tax is required to be withheld at source on dividend payment. In the sixth, seventh and eighth years, 50 percent of the applicable tax applies, i.e., 2.5 percent; from the ninth year onward, the normal rate, i.e., 5 percent, applies.</w:t>
      </w:r>
    </w:p>
    <w:p>
      <w:pPr>
        <w:spacing w:after="40" w:line="252" w:lineRule="auto"/>
        <w:ind w:left="360" w:hanging="216"/>
      </w:pPr>
      <w:r>
        <w:rPr>
          <w:rFonts w:ascii="Arial" w:hAnsi="Arial" w:eastAsia="Arial"/>
          <w:sz w:val="20"/>
        </w:rPr>
        <w:t>• Under Section 11(3Tha) of the Act, where a special industry, information technology industry or tourism-related industry capitalises its accumulated profit in shares for expansion of the capacity of the same industry, a 100 percent exemption is available on dividend tax applicable as distribution of dividend on such capitalisation. For this purpose, "information technology industry" means an industry relating to technology park, information technology park, biotech park, software development, data processing, digital mapping, business process outsourcing, data mining and cloud computing.</w:t>
      </w:r>
    </w:p>
    <w:p>
      <w:r>
        <w:br w:type="page"/>
      </w:r>
    </w:p>
    <w:p>
      <w:pPr>
        <w:pStyle w:val="Title"/>
        <w:spacing w:after="80" w:line="259" w:lineRule="auto"/>
        <w:jc w:val="center"/>
      </w:pPr>
      <w:r>
        <w:rPr>
          <w:rFonts w:ascii="Times New Roman" w:hAnsi="Times New Roman"/>
          <w:b w:val="0"/>
          <w:i w:val="0"/>
        </w:rPr>
        <w:t>Income Tax Directive, 2066 (with Fifth Amendment, 2081)</w:t>
      </w:r>
    </w:p>
    <w:p>
      <w:pPr>
        <w:pStyle w:val="Title"/>
        <w:spacing w:after="80" w:line="259" w:lineRule="auto"/>
        <w:jc w:val="center"/>
      </w:pPr>
      <w:r>
        <w:rPr>
          <w:rFonts w:ascii="Times New Roman" w:hAnsi="Times New Roman"/>
          <w:b w:val="0"/>
          <w:i w:val="0"/>
        </w:rPr>
        <w:t>English Translation - Part 14</w:t>
      </w:r>
    </w:p>
    <w:p>
      <w:pPr>
        <w:pStyle w:val="Heading1"/>
        <w:keepNext/>
        <w:spacing w:after="80" w:line="259" w:lineRule="auto" w:before="160"/>
        <w:jc w:val="center"/>
      </w:pPr>
      <w:r>
        <w:rPr>
          <w:rFonts w:ascii="Times New Roman" w:hAnsi="Times New Roman"/>
          <w:b w:val="0"/>
          <w:i w:val="0"/>
        </w:rPr>
        <w:t>Chapter 14: International Tax and Foreign Tax Adjustment</w:t>
      </w:r>
    </w:p>
    <w:p>
      <w:pPr>
        <w:spacing w:after="80" w:line="259" w:lineRule="auto"/>
        <w:jc w:val="center"/>
      </w:pPr>
      <w:r>
        <w:rPr>
          <w:rFonts w:ascii="Times New Roman" w:hAnsi="Times New Roman"/>
          <w:b w:val="0"/>
          <w:i w:val="0"/>
        </w:rPr>
        <w:t>Source pages: Directive pages 202-223</w:t>
      </w:r>
    </w:p>
    <w:p>
      <w:pPr>
        <w:spacing w:after="80" w:line="259" w:lineRule="auto"/>
      </w:pPr>
      <w:r>
        <w:rPr>
          <w:rFonts w:ascii="Times New Roman" w:hAnsi="Times New Roman"/>
          <w:b w:val="0"/>
          <w:i/>
        </w:rPr>
        <w:t>Note: This translation preserves the sequence, section numbering, statutory references, examples and tabular presentation of the Nepali directive as far as practicable in Word format. Statutory expressions such as resident person, non-resident person, permanent establishment, controlled foreign entity, assessable foreign income and foreign tax adjustment have been aligned with the official English terminology of the Income Tax Act, 2002 (2058) where applicable.</w:t>
      </w:r>
    </w:p>
    <w:p>
      <w:pPr>
        <w:pStyle w:val="Heading1"/>
        <w:keepNext/>
        <w:spacing w:after="80" w:line="259" w:lineRule="auto" w:before="160"/>
      </w:pPr>
      <w:r>
        <w:rPr>
          <w:rFonts w:ascii="Times New Roman" w:hAnsi="Times New Roman"/>
          <w:b w:val="0"/>
          <w:i w:val="0"/>
        </w:rPr>
        <w:t>Chapter 14</w:t>
      </w:r>
    </w:p>
    <w:p>
      <w:pPr>
        <w:pStyle w:val="Heading1"/>
        <w:keepNext/>
        <w:spacing w:after="80" w:line="259" w:lineRule="auto" w:before="160"/>
      </w:pPr>
      <w:r>
        <w:rPr>
          <w:rFonts w:ascii="Times New Roman" w:hAnsi="Times New Roman"/>
          <w:b w:val="0"/>
          <w:i w:val="0"/>
        </w:rPr>
        <w:t>International Tax and Foreign Tax Adjustment</w:t>
      </w:r>
    </w:p>
    <w:p>
      <w:pPr>
        <w:pStyle w:val="Heading2"/>
        <w:keepNext/>
        <w:spacing w:after="80" w:line="259" w:lineRule="auto" w:before="160"/>
      </w:pPr>
      <w:r>
        <w:rPr>
          <w:rFonts w:ascii="Times New Roman" w:hAnsi="Times New Roman"/>
          <w:b w:val="0"/>
          <w:i w:val="0"/>
        </w:rPr>
        <w:t>14.1 Introduction</w:t>
      </w:r>
    </w:p>
    <w:p>
      <w:pPr>
        <w:spacing w:after="80" w:line="259" w:lineRule="auto"/>
      </w:pPr>
      <w:r>
        <w:rPr>
          <w:rFonts w:ascii="Times New Roman" w:hAnsi="Times New Roman"/>
          <w:b w:val="0"/>
          <w:i w:val="0"/>
        </w:rPr>
        <w:t>The Income Tax Act, 2058 provides that where a non-resident person is engaged in employment, business or investment in Nepal and derives income or receives a payment in Nepal, such income or payment is taxable in Nepal on the basis of source. Where a resident of Nepal derives income or receives a payment outside Nepal, such income or payment is also taxable in Nepal on the basis of residence. Income derived by a resident of Nepal in another country, and income or payments having a source in Nepal in the hands of a non-resident, fall within the scope of international taxation.</w:t>
      </w:r>
    </w:p>
    <w:p>
      <w:pPr>
        <w:spacing w:after="80" w:line="259" w:lineRule="auto"/>
      </w:pPr>
      <w:r>
        <w:rPr>
          <w:rFonts w:ascii="Times New Roman" w:hAnsi="Times New Roman"/>
          <w:b w:val="0"/>
          <w:i w:val="0"/>
        </w:rPr>
        <w:t>Where a resident person of Nepal derives income outside Nepal from services, employment, business, investment, casual gains or similar activities, that income must be included together with the income earned in Nepal and tax must be paid accordingly. Similarly, where a non-resident person outside Nepal derives income from employment, business, investment or casual gains having a source in Nepal, income tax is payable in Nepal on that Nepal-source income. This chapter explains the tax payable on income earned by non-residents in Nepal and on foreign income earned by Nepali residents. In the context of international taxation, it clarifies the provisions relating to foreign permanent establishments, controlled foreign entities and foreign tax adjustment.</w:t>
      </w:r>
    </w:p>
    <w:p>
      <w:pPr>
        <w:pStyle w:val="Heading2"/>
        <w:keepNext/>
        <w:spacing w:after="80" w:line="259" w:lineRule="auto" w:before="160"/>
      </w:pPr>
      <w:r>
        <w:rPr>
          <w:rFonts w:ascii="Times New Roman" w:hAnsi="Times New Roman"/>
          <w:b w:val="0"/>
          <w:i w:val="0"/>
        </w:rPr>
        <w:t>14.2 Foreign Permanent Establishment</w:t>
      </w:r>
    </w:p>
    <w:p>
      <w:pPr>
        <w:spacing w:after="80" w:line="259" w:lineRule="auto"/>
      </w:pPr>
      <w:r>
        <w:rPr>
          <w:rFonts w:ascii="Times New Roman" w:hAnsi="Times New Roman"/>
          <w:b w:val="0"/>
          <w:i w:val="0"/>
        </w:rPr>
        <w:t>Generally, permanent establishment means a place of business. Section 2(kad) of the Act defines permanent establishment as follows:</w:t>
      </w:r>
    </w:p>
    <w:p>
      <w:pPr>
        <w:spacing w:after="80" w:line="259" w:lineRule="auto"/>
      </w:pPr>
      <w:r>
        <w:rPr>
          <w:rFonts w:ascii="Times New Roman" w:hAnsi="Times New Roman"/>
          <w:b/>
          <w:i w:val="0"/>
        </w:rPr>
        <w:t>2(kad) "Permanent establishment" means a place where a person wholly or partly carries on business, and includes the following places:</w:t>
      </w:r>
    </w:p>
    <w:p>
      <w:pPr>
        <w:spacing w:after="80" w:line="259" w:lineRule="auto"/>
      </w:pPr>
      <w:r>
        <w:rPr>
          <w:rFonts w:ascii="Times New Roman" w:hAnsi="Times New Roman"/>
          <w:b w:val="0"/>
          <w:i w:val="0"/>
        </w:rPr>
        <w:t>(1) a place where a person wholly or partly carries on business through an agent, other than a general agent of independent status acting in the ordinary course of business;</w:t>
      </w:r>
    </w:p>
    <w:p>
      <w:pPr>
        <w:spacing w:after="80" w:line="259" w:lineRule="auto"/>
      </w:pPr>
      <w:r>
        <w:rPr>
          <w:rFonts w:ascii="Times New Roman" w:hAnsi="Times New Roman"/>
          <w:b w:val="0"/>
          <w:i w:val="0"/>
        </w:rPr>
        <w:t>(2) a place where the main equipment or main machinery of a person is located, used or installed;</w:t>
      </w:r>
    </w:p>
    <w:p>
      <w:pPr>
        <w:spacing w:after="80" w:line="259" w:lineRule="auto"/>
      </w:pPr>
      <w:r>
        <w:rPr>
          <w:rFonts w:ascii="Times New Roman" w:hAnsi="Times New Roman"/>
          <w:b w:val="0"/>
          <w:i w:val="0"/>
        </w:rPr>
        <w:t>(3) one or more places in a country where, in any twelve-month period, a person provides technical, professional or consultancy services through employees or otherwise for more than ninety days in aggregate, whether continuously or intermittently;</w:t>
      </w:r>
    </w:p>
    <w:p>
      <w:pPr>
        <w:spacing w:after="80" w:line="259" w:lineRule="auto"/>
      </w:pPr>
      <w:r>
        <w:rPr>
          <w:rFonts w:ascii="Times New Roman" w:hAnsi="Times New Roman"/>
          <w:b w:val="0"/>
          <w:i w:val="0"/>
        </w:rPr>
        <w:t>(4) a place where a person is involved in a construction, installation or establishment project for ninety days or more, and a place where supervisory activities connected with that project are carried out; and</w:t>
      </w:r>
    </w:p>
    <w:p>
      <w:pPr>
        <w:spacing w:after="80" w:line="259" w:lineRule="auto"/>
      </w:pPr>
      <w:r>
        <w:rPr>
          <w:rFonts w:ascii="Times New Roman" w:hAnsi="Times New Roman"/>
          <w:b w:val="0"/>
          <w:i w:val="0"/>
        </w:rPr>
        <w:t>(5) a place outside Nepal where a person has a significant digital presence in Nepal, or where a server is located outside Nepal and the person carries out transactions of data or services in Nepal for at least ninety days during the preceding twelve months.</w:t>
      </w:r>
    </w:p>
    <w:p>
      <w:pPr>
        <w:spacing w:after="80" w:line="259" w:lineRule="auto"/>
      </w:pPr>
      <w:r>
        <w:rPr>
          <w:rFonts w:ascii="Times New Roman" w:hAnsi="Times New Roman"/>
          <w:b w:val="0"/>
          <w:i w:val="0"/>
        </w:rPr>
        <w:t>The place where a person carries on business is a fixed place and is treated as a permanent establishment. For tax purposes, a permanent establishment of a foreign person must be viewed as a foreign permanent establishment. For a foreign person, a place of transaction is treated as a foreign permanent establishment in the following situations.</w:t>
      </w:r>
    </w:p>
    <w:p>
      <w:pPr>
        <w:pStyle w:val="Heading3"/>
        <w:keepNext/>
        <w:spacing w:after="80" w:line="259" w:lineRule="auto" w:before="160"/>
      </w:pPr>
      <w:r>
        <w:rPr>
          <w:rFonts w:ascii="Times New Roman" w:hAnsi="Times New Roman"/>
          <w:b w:val="0"/>
          <w:i w:val="0"/>
        </w:rPr>
        <w:t>Fixed Place PE</w:t>
      </w:r>
    </w:p>
    <w:p>
      <w:pPr>
        <w:spacing w:after="80" w:line="259" w:lineRule="auto"/>
      </w:pPr>
      <w:r>
        <w:rPr>
          <w:rFonts w:ascii="Times New Roman" w:hAnsi="Times New Roman"/>
          <w:b w:val="0"/>
          <w:i w:val="0"/>
        </w:rPr>
        <w:t>A structure established by a non-resident in Nepal in any form for carrying on business is a permanent establishment. Such a structure may include a branch, factory, workshop, place of management, oil well, mine, gas well, agricultural or plantation farm and similar places. Where business is carried on through a fixed place in Nepal, the duration of the non-resident’s stay is not relevant for determining the existence of the permanent establishment.</w:t>
      </w:r>
    </w:p>
    <w:p>
      <w:pPr>
        <w:spacing w:after="80" w:line="259" w:lineRule="auto"/>
      </w:pPr>
      <w:r>
        <w:rPr>
          <w:rFonts w:ascii="Times New Roman" w:hAnsi="Times New Roman"/>
          <w:b/>
          <w:i w:val="0"/>
        </w:rPr>
        <w:t>Example 14.2.1:</w:t>
      </w:r>
    </w:p>
    <w:p>
      <w:pPr>
        <w:spacing w:after="80" w:line="259" w:lineRule="auto"/>
      </w:pPr>
      <w:r>
        <w:rPr>
          <w:rFonts w:ascii="Times New Roman" w:hAnsi="Times New Roman"/>
          <w:b w:val="0"/>
          <w:i w:val="0"/>
        </w:rPr>
        <w:t>Assume that American Sport Inc. opens a branch office at Durbar Marg for the purpose of selling and distributing its goods in Nepal. Although the Income Tax Act, 2058 imposes tax on entities and natural persons, even a branch of a non-resident is taxed as a permanent establishment. Where the existence of the place is the determining factor, it is not necessary to count the number of days for which that structure remained effective in Nepal.</w:t>
      </w:r>
    </w:p>
    <w:p>
      <w:pPr>
        <w:pStyle w:val="Heading3"/>
        <w:keepNext/>
        <w:spacing w:after="80" w:line="259" w:lineRule="auto" w:before="160"/>
      </w:pPr>
      <w:r>
        <w:rPr>
          <w:rFonts w:ascii="Times New Roman" w:hAnsi="Times New Roman"/>
          <w:b w:val="0"/>
          <w:i w:val="0"/>
        </w:rPr>
        <w:t>Agency Permanent Establishment</w:t>
      </w:r>
    </w:p>
    <w:p>
      <w:pPr>
        <w:spacing w:after="80" w:line="259" w:lineRule="auto"/>
      </w:pPr>
      <w:r>
        <w:rPr>
          <w:rFonts w:ascii="Times New Roman" w:hAnsi="Times New Roman"/>
          <w:b w:val="0"/>
          <w:i w:val="0"/>
        </w:rPr>
        <w:t>In addition to the fixed-place permanent establishments mentioned above, a non-resident is also regarded as having a permanent establishment in Nepal where the non-resident carries on business wholly or partly through an agent in Nepal, other than an ordinary agent of independent status acting in the normal course of business. Work performed through an independent agent is not treated as a permanent establishment. In international business, where a local agent has authority from the foreign person to conclude contracts and habitually exercises that authority in the name of the principal, that agency is treated as a dependent agent.</w:t>
      </w:r>
    </w:p>
    <w:p>
      <w:pPr>
        <w:spacing w:after="80" w:line="259" w:lineRule="auto"/>
      </w:pPr>
      <w:r>
        <w:rPr>
          <w:rFonts w:ascii="Times New Roman" w:hAnsi="Times New Roman"/>
          <w:b/>
          <w:i w:val="0"/>
        </w:rPr>
        <w:t>Example 14.2.2:</w:t>
      </w:r>
    </w:p>
    <w:p>
      <w:pPr>
        <w:spacing w:after="80" w:line="259" w:lineRule="auto"/>
      </w:pPr>
      <w:r>
        <w:rPr>
          <w:rFonts w:ascii="Times New Roman" w:hAnsi="Times New Roman"/>
          <w:b w:val="0"/>
          <w:i w:val="0"/>
        </w:rPr>
        <w:t>Assume that American Sport Inc. appoints Amco Sports Pvt. Ltd., a resident of Nepal, as distributor for the purpose of selling and distributing its goods in Nepal. Amco Sports Pvt. Ltd. imports the goods from the American company, sets prices on the basis of its own risk analysis and sells the goods. The American company does not retain ownership over the goods imported into Nepal for sale, nor does it impose restrictions or provide special assistance in relation to sales prices or prospective customers. The American company merely routes the goods through Amco Sports Pvt. Ltd. In this situation, even though American Sport Inc. appears to have a commercial relationship with Amco Sports Pvt. Ltd., Amco Sports Pvt. Ltd. carries on its own business independently and is only an ordinary importer. Therefore, Amco Sports Pvt. Ltd. is not the Nepali permanent establishment of the American company.</w:t>
      </w:r>
    </w:p>
    <w:p>
      <w:pPr>
        <w:spacing w:after="80" w:line="259" w:lineRule="auto"/>
      </w:pPr>
      <w:r>
        <w:rPr>
          <w:rFonts w:ascii="Times New Roman" w:hAnsi="Times New Roman"/>
          <w:b w:val="0"/>
          <w:i w:val="0"/>
        </w:rPr>
        <w:t>In the same example, if the sale price of goods sold by Amco Sports Pvt. Ltd. is fixed by the American company and the profit or loss is borne by the American company, the agency is treated as a permanent establishment in the form of a dependent agent. Whether an agency is dependent is determined more by conduct than by declarations or documents. A dependent agent must file separate income returns for the permanent establishment business of the principal and for its own business, including commission or other consideration received from that business.</w:t>
      </w:r>
    </w:p>
    <w:p>
      <w:pPr>
        <w:pStyle w:val="Heading3"/>
        <w:keepNext/>
        <w:spacing w:after="80" w:line="259" w:lineRule="auto" w:before="160"/>
      </w:pPr>
      <w:r>
        <w:rPr>
          <w:rFonts w:ascii="Times New Roman" w:hAnsi="Times New Roman"/>
          <w:b w:val="0"/>
          <w:i w:val="0"/>
        </w:rPr>
        <w:t>Service Permanent Establishment</w:t>
      </w:r>
    </w:p>
    <w:p>
      <w:pPr>
        <w:spacing w:after="80" w:line="259" w:lineRule="auto"/>
      </w:pPr>
      <w:r>
        <w:rPr>
          <w:rFonts w:ascii="Times New Roman" w:hAnsi="Times New Roman"/>
          <w:b w:val="0"/>
          <w:i w:val="0"/>
        </w:rPr>
        <w:t>A non-resident person may provide services in Nepal for part of an income year through employees or other representatives. In such a case, there may not be a single physical basis of business such as sale or production of goods. However, where a non-resident provides services in Nepal through its own employees or other representatives - including technical, professional, consultancy or similar services - and the aggregate stay of such employees or representatives reaches 90 days during any moving 12-month period, the person providing the services is treated as having a permanent establishment.</w:t>
      </w:r>
    </w:p>
    <w:p>
      <w:pPr>
        <w:spacing w:after="80" w:line="259" w:lineRule="auto"/>
      </w:pPr>
      <w:r>
        <w:rPr>
          <w:rFonts w:ascii="Times New Roman" w:hAnsi="Times New Roman"/>
          <w:b/>
          <w:i w:val="0"/>
        </w:rPr>
        <w:t>Example 14.2.3:</w:t>
      </w:r>
    </w:p>
    <w:p>
      <w:pPr>
        <w:spacing w:after="80" w:line="259" w:lineRule="auto"/>
      </w:pPr>
      <w:r>
        <w:rPr>
          <w:rFonts w:ascii="Times New Roman" w:hAnsi="Times New Roman"/>
          <w:b w:val="0"/>
          <w:i w:val="0"/>
        </w:rPr>
        <w:t>Assume that American Sport Inc. obtains work in Nepal to conduct research on international sports opportunities. To complete the work, it sends two employees who work for 35 days from 1 January. Later, to complete the remaining work, two employees stay and work in Nepal for 30 days in July and 60 days in December. Since the employees of American Sport Inc. stay in Nepal for 90 days or more within a moving 12-month period to complete the work, American Sport Inc. is treated as having a permanent establishment in Nepal.</w:t>
      </w:r>
    </w:p>
    <w:p>
      <w:pPr>
        <w:pStyle w:val="Heading3"/>
        <w:keepNext/>
        <w:spacing w:after="80" w:line="259" w:lineRule="auto" w:before="160"/>
      </w:pPr>
      <w:r>
        <w:rPr>
          <w:rFonts w:ascii="Times New Roman" w:hAnsi="Times New Roman"/>
          <w:b w:val="0"/>
          <w:i w:val="0"/>
        </w:rPr>
        <w:t>Construction and Installation Permanent Establishment</w:t>
      </w:r>
    </w:p>
    <w:p>
      <w:pPr>
        <w:spacing w:after="80" w:line="259" w:lineRule="auto"/>
      </w:pPr>
      <w:r>
        <w:rPr>
          <w:rFonts w:ascii="Times New Roman" w:hAnsi="Times New Roman"/>
          <w:b w:val="0"/>
          <w:i w:val="0"/>
        </w:rPr>
        <w:t>Where a non-resident person undertakes construction, installation or establishment work in Nepal, or provides ancillary services connected with such work, and the non-resident’s presence at the construction, installation or establishment site continues for 90 days or more, that place of construction, installation or establishment itself becomes a permanent establishment.</w:t>
      </w:r>
    </w:p>
    <w:p>
      <w:pPr>
        <w:spacing w:after="80" w:line="259" w:lineRule="auto"/>
      </w:pPr>
      <w:r>
        <w:rPr>
          <w:rFonts w:ascii="Times New Roman" w:hAnsi="Times New Roman"/>
          <w:b/>
          <w:i w:val="0"/>
        </w:rPr>
        <w:t>Example 14.2.4:</w:t>
      </w:r>
    </w:p>
    <w:p>
      <w:pPr>
        <w:spacing w:after="80" w:line="259" w:lineRule="auto"/>
      </w:pPr>
      <w:r>
        <w:rPr>
          <w:rFonts w:ascii="Times New Roman" w:hAnsi="Times New Roman"/>
          <w:b w:val="0"/>
          <w:i w:val="0"/>
        </w:rPr>
        <w:t>Assume that Singapore Construction Company receives a 100-day work order for drying tunnel slurry in the Melamchi project. The company sends five employees to perform the work and those employees complete the assigned work within 95 days. Since Singapore Construction Company remains involved in Nepal for more than 90 consecutive days and performs the work, it is treated as having a permanent establishment in Nepal.</w:t>
      </w:r>
    </w:p>
    <w:p>
      <w:pPr>
        <w:spacing w:after="80" w:line="259" w:lineRule="auto"/>
      </w:pPr>
      <w:r>
        <w:rPr>
          <w:rFonts w:ascii="Times New Roman" w:hAnsi="Times New Roman"/>
          <w:b w:val="0"/>
          <w:i w:val="0"/>
        </w:rPr>
        <w:t>Where a person carries on business wholly or partly in a country other than the country of that person’s residence through the situations mentioned above, the place is called a foreign permanent establishment. A resident person may carry on business in another country through an office, factory, warehouse, sales outlet or place of effective management.</w:t>
      </w:r>
    </w:p>
    <w:p>
      <w:pPr>
        <w:pStyle w:val="Heading3"/>
        <w:keepNext/>
        <w:spacing w:after="80" w:line="259" w:lineRule="auto" w:before="160"/>
      </w:pPr>
      <w:r>
        <w:rPr>
          <w:rFonts w:ascii="Times New Roman" w:hAnsi="Times New Roman"/>
          <w:b w:val="0"/>
          <w:i w:val="0"/>
        </w:rPr>
        <w:t>14.2.1 Taxable Income of a Foreign Permanent Establishment</w:t>
      </w:r>
    </w:p>
    <w:p>
      <w:pPr>
        <w:spacing w:after="80" w:line="259" w:lineRule="auto"/>
      </w:pPr>
      <w:r>
        <w:rPr>
          <w:rFonts w:ascii="Times New Roman" w:hAnsi="Times New Roman"/>
          <w:b w:val="0"/>
          <w:i w:val="0"/>
        </w:rPr>
        <w:t>The taxable income of a foreign permanent establishment is taxed in the same manner as that of a resident company. The method for allocation of expenses relating to assets, head-office expenses, income and liabilities between such permanent establishment and its head office should be determined. The following bases are relevant for calculating the profit and gain of such permanent establishment:</w:t>
      </w:r>
    </w:p>
    <w:p>
      <w:pPr>
        <w:pStyle w:val="ListBullet"/>
        <w:spacing w:after="80" w:line="259" w:lineRule="auto"/>
      </w:pPr>
      <w:r>
        <w:rPr>
          <w:rFonts w:ascii="Times New Roman" w:hAnsi="Times New Roman"/>
        </w:rPr>
        <w:t>Independent entity: For tax purposes, a foreign permanent establishment is treated as an entity independent of its head office.</w:t>
      </w:r>
    </w:p>
    <w:p>
      <w:pPr>
        <w:pStyle w:val="ListBullet"/>
        <w:spacing w:after="80" w:line="259" w:lineRule="auto"/>
      </w:pPr>
      <w:r>
        <w:rPr>
          <w:rFonts w:ascii="Times New Roman" w:hAnsi="Times New Roman"/>
        </w:rPr>
        <w:t>Capital investment: Amount invested in a permanent establishment is treated as capital of that establishment. Where the head office or an associated person provides debt investment to the establishment, the debt is treated as investment by the head office in the establishment. However, if the debt is on terms that could have been obtained from an unrelated third party under the arm’s length principle, the amount may be treated as debt. Even where a loan is arm’s length, if the capital invested is below the proportion of total assets and capital of the head office, the loan is treated as capital to that extent and only the balance is treated as debt. Interest is subject to Section 14(2) of the Act.</w:t>
      </w:r>
    </w:p>
    <w:p>
      <w:pPr>
        <w:pStyle w:val="ListBullet"/>
        <w:spacing w:after="80" w:line="259" w:lineRule="auto"/>
      </w:pPr>
      <w:r>
        <w:rPr>
          <w:rFonts w:ascii="Times New Roman" w:hAnsi="Times New Roman"/>
        </w:rPr>
        <w:t>Allocation of assets: Expenses relating to assets under the economic control of the establishment, including depreciation, losses and expenses, belong to the establishment.</w:t>
      </w:r>
    </w:p>
    <w:p>
      <w:pPr>
        <w:pStyle w:val="ListBullet"/>
        <w:spacing w:after="80" w:line="259" w:lineRule="auto"/>
      </w:pPr>
      <w:r>
        <w:rPr>
          <w:rFonts w:ascii="Times New Roman" w:hAnsi="Times New Roman"/>
        </w:rPr>
        <w:t>Allocation of expenses: Expenses incurred only in the transaction of the establishment are expenses of the establishment. However, indirect expenses incurred by the head office are expenses of the establishment only to the extent allocated under Section 33.</w:t>
      </w:r>
    </w:p>
    <w:p>
      <w:pPr>
        <w:pStyle w:val="ListBullet"/>
        <w:spacing w:after="80" w:line="259" w:lineRule="auto"/>
      </w:pPr>
      <w:r>
        <w:rPr>
          <w:rFonts w:ascii="Times New Roman" w:hAnsi="Times New Roman"/>
        </w:rPr>
        <w:t>Allocation of income: Income derived from transactions of the establishment is income of the establishment. Income received or receivable by the head office from the establishment is allocated to the establishment to that extent.</w:t>
      </w:r>
    </w:p>
    <w:p>
      <w:pPr>
        <w:pStyle w:val="ListBullet"/>
        <w:spacing w:after="80" w:line="259" w:lineRule="auto"/>
      </w:pPr>
      <w:r>
        <w:rPr>
          <w:rFonts w:ascii="Times New Roman" w:hAnsi="Times New Roman"/>
        </w:rPr>
        <w:t>Transfer pricing: Transactions with the head office or associated persons, including purchases, transfers or payments, must be on an arm’s length basis. Even where transactions are arm’s length, transactions with the head office are subject to tax treatment applicable to transactions with other persons, including withholding tax on payments where applicable.</w:t>
      </w:r>
    </w:p>
    <w:p>
      <w:pPr>
        <w:pStyle w:val="ListBullet"/>
        <w:spacing w:after="80" w:line="259" w:lineRule="auto"/>
      </w:pPr>
      <w:r>
        <w:rPr>
          <w:rFonts w:ascii="Times New Roman" w:hAnsi="Times New Roman"/>
        </w:rPr>
        <w:t>Agency establishment: Where an establishment arises through an agent, the agent’s own business and the permanent-establishment business are treated as those of separate persons. All the above principles apply to the transaction that is treated as the agency permanent establishment.</w:t>
      </w:r>
    </w:p>
    <w:p>
      <w:pPr>
        <w:spacing w:after="80" w:line="259" w:lineRule="auto"/>
      </w:pPr>
      <w:r>
        <w:rPr>
          <w:rFonts w:ascii="Times New Roman" w:hAnsi="Times New Roman"/>
          <w:b w:val="0"/>
          <w:i w:val="0"/>
        </w:rPr>
        <w:t>On the basis of these principles, the taxable income from the business of a foreign permanent establishment is determined and the applicable tax rate under Schedule 1 of the Act is applied.</w:t>
      </w:r>
    </w:p>
    <w:p>
      <w:pPr>
        <w:spacing w:after="80" w:line="259" w:lineRule="auto"/>
      </w:pPr>
      <w:r>
        <w:rPr>
          <w:rFonts w:ascii="Times New Roman" w:hAnsi="Times New Roman"/>
          <w:b w:val="0"/>
          <w:i w:val="0"/>
        </w:rPr>
        <w:t>Section 68 of the Act deals with tax on the income of a foreign permanent establishment and on income sent abroad by such an establishment. The relevant provisions are explained below.</w:t>
      </w:r>
    </w:p>
    <w:p>
      <w:pPr>
        <w:spacing w:after="80" w:line="259" w:lineRule="auto"/>
      </w:pPr>
      <w:r>
        <w:rPr>
          <w:rFonts w:ascii="Times New Roman" w:hAnsi="Times New Roman"/>
          <w:b/>
          <w:i w:val="0"/>
        </w:rPr>
        <w:t>68(1) Notwithstanding anything contained in Section 3, and subject to the other provisions of the Act, the responsibility for paying tax on the income of any foreign permanent establishment situated in Nepal of a non-resident person shall be on that establishment.</w:t>
      </w:r>
    </w:p>
    <w:p>
      <w:pPr>
        <w:spacing w:after="80" w:line="259" w:lineRule="auto"/>
      </w:pPr>
      <w:r>
        <w:rPr>
          <w:rFonts w:ascii="Times New Roman" w:hAnsi="Times New Roman"/>
          <w:b w:val="0"/>
          <w:i w:val="0"/>
        </w:rPr>
        <w:t>Section 3 of the Act sets out the basis for imposing income tax on: (a) a person having taxable income in an income year; (b) a foreign permanent establishment situated in Nepal of a non-resident person that sends income abroad under Section 68(3) and (4); and (c) a person receiving a payment subject to final withholding. For a person under clause (a), tax applies to income having a source in Nepal or a source outside Nepal, or both, if the income is derived by a resident person. Under clauses (b) and (c), tax is imposed only on income having a source in Nepal.</w:t>
      </w:r>
    </w:p>
    <w:p>
      <w:pPr>
        <w:spacing w:after="80" w:line="259" w:lineRule="auto"/>
      </w:pPr>
      <w:r>
        <w:rPr>
          <w:rFonts w:ascii="Times New Roman" w:hAnsi="Times New Roman"/>
          <w:b w:val="0"/>
          <w:i w:val="0"/>
        </w:rPr>
        <w:t>Where a resident person of Nepal derives income abroad, tax may be payable in the country where the income is derived and also in Nepal. To avoid double taxation, Section 71 provides for foreign tax adjustment. In relation to a foreign permanent establishment situated in Nepal of a non-resident person, where business is carried on through a branch, office, sales room, trading warehouse, construction site or similar place, the permanent establishment itself is responsible for tax collection on the income of that business. Nepal taxes only the income attributable to the transactions carried on by that foreign permanent establishment in Nepal.</w:t>
      </w:r>
    </w:p>
    <w:p>
      <w:pPr>
        <w:spacing w:after="80" w:line="259" w:lineRule="auto"/>
      </w:pPr>
      <w:r>
        <w:rPr>
          <w:rFonts w:ascii="Times New Roman" w:hAnsi="Times New Roman"/>
          <w:b/>
          <w:i w:val="0"/>
        </w:rPr>
        <w:t>Example 14.2.5:</w:t>
      </w:r>
    </w:p>
    <w:p>
      <w:pPr>
        <w:spacing w:after="80" w:line="259" w:lineRule="auto"/>
      </w:pPr>
      <w:r>
        <w:rPr>
          <w:rFonts w:ascii="Times New Roman" w:hAnsi="Times New Roman"/>
          <w:b w:val="0"/>
          <w:i w:val="0"/>
        </w:rPr>
        <w:t>Assume that Dare Devil Inc. of Spain is a company providing adventure entertainment. It operates a branch in Nepal and provides sky-jump entertainment to Nepali and foreign tourists visiting Nepal. In income year 2080/81, the Nepali branch of Dare Devil Inc. derives taxable income of Rs. 10,000,000. Since Dare Devil Inc. is a foreign entity and carries on operations in Nepal through a branch, the branch is a foreign permanent establishment under Nepal’s Income Tax Act. The responsibility for paying tax on the taxable income of income year 2080/81 lies not with Dare Devil Inc. in Spain but with the branch situated in Nepal, i.e. the foreign permanent establishment. The branch must pay tax on that income in the same manner as a domestic company. In addition, the responsibility for paying tax on income sent abroad by Dare Devil Inc. to Spain is also on the Nepal branch, i.e. the foreign permanent establishment.</w:t>
      </w:r>
    </w:p>
    <w:p>
      <w:pPr>
        <w:spacing w:after="80" w:line="259" w:lineRule="auto"/>
      </w:pPr>
      <w:r>
        <w:rPr>
          <w:rFonts w:ascii="Times New Roman" w:hAnsi="Times New Roman"/>
          <w:b/>
          <w:i w:val="0"/>
        </w:rPr>
        <w:t>68(2) From the income of a foreign permanent establishment, the income of the person who owns that establishment shall be separated in accordance with Section 69.</w:t>
      </w:r>
    </w:p>
    <w:p>
      <w:pPr>
        <w:spacing w:after="80" w:line="259" w:lineRule="auto"/>
      </w:pPr>
      <w:r>
        <w:rPr>
          <w:rFonts w:ascii="Times New Roman" w:hAnsi="Times New Roman"/>
          <w:b w:val="0"/>
          <w:i w:val="0"/>
        </w:rPr>
        <w:t>Section 69 contains provisions relating to tax on the income of a controlled foreign entity. Where a resident person of Nepal has a direct or indirect interest in a foreign entity and controls that entity by itself or through a group of associated persons, the entity is a controlled foreign entity. Section 69 also provides that taxable income of a controlled foreign entity may be computed as if that entity were a resident entity. If a foreign entity earns income through a permanent establishment situated in Nepal and a Nepali resident person has an interest in that foreign entity, the amount corresponding to the Nepali resident’s proportionate interest must be separated from the total income of the foreign permanent establishment.</w:t>
      </w:r>
    </w:p>
    <w:p>
      <w:pPr>
        <w:spacing w:after="80" w:line="259" w:lineRule="auto"/>
      </w:pPr>
      <w:r>
        <w:rPr>
          <w:rFonts w:ascii="Times New Roman" w:hAnsi="Times New Roman"/>
          <w:b/>
          <w:i w:val="0"/>
        </w:rPr>
        <w:t>Example 14.2.6:</w:t>
      </w:r>
    </w:p>
    <w:p>
      <w:pPr>
        <w:spacing w:after="80" w:line="259" w:lineRule="auto"/>
      </w:pPr>
      <w:r>
        <w:rPr>
          <w:rFonts w:ascii="Times New Roman" w:hAnsi="Times New Roman"/>
          <w:b w:val="0"/>
          <w:i w:val="0"/>
        </w:rPr>
        <w:t>Assume that Daro Construction Company Ltd. of Bhutan owns 60 percent of the shares of Timila Nirman Company Pvt. Ltd., a company registered in Nepal. Under Section 69, Daro Construction Company Ltd. is a controlled foreign entity. Daro Construction Company Ltd. receives a contract to construct a cricket stadium at Dhapasi, Kathmandu. It derives business income of Rs. 10,000,000 from that construction contract, assuming includible income of Rs. 50,000,000 and deductible expenses of Rs. 40,000,000. Since Daro Construction Company Ltd. is a controlled foreign entity and has a permanent establishment in Nepal, Timila Nirman Company must include, in proportion to its control, Rs. 30,000,000 as includible income and Rs. 24,000,000 as deductible expense in the same income year. After the company pays 25 percent tax on its income of Rs. 10,000,000, only Rs. 3,000,000 out of the remaining Rs. 7,500,000 is included in income sent abroad to the head company in Bhutan.</w:t>
      </w:r>
    </w:p>
    <w:p>
      <w:pPr>
        <w:spacing w:after="80" w:line="259" w:lineRule="auto"/>
      </w:pPr>
      <w:r>
        <w:rPr>
          <w:rFonts w:ascii="Times New Roman" w:hAnsi="Times New Roman"/>
          <w:b/>
          <w:i w:val="0"/>
        </w:rPr>
        <w:t>68(3) Tax shall be imposed on a foreign permanent establishment situated in Nepal of a non-resident person in respect of income sent abroad by that establishment, as referred to in Section 3(b).</w:t>
      </w:r>
    </w:p>
    <w:p>
      <w:pPr>
        <w:spacing w:after="80" w:line="259" w:lineRule="auto"/>
      </w:pPr>
      <w:r>
        <w:rPr>
          <w:rFonts w:ascii="Times New Roman" w:hAnsi="Times New Roman"/>
          <w:b w:val="0"/>
          <w:i w:val="0"/>
        </w:rPr>
        <w:t>Section 3 imposes tax on income sent abroad by a foreign permanent establishment situated in Nepal. Section 68(1) taxes the income derived from business operations of a foreign permanent establishment in the same manner as the income of a company. Since a permanent establishment is not incorporated under the Companies Act or other laws of Nepal, the income derived by such establishment is not distributed as a dividend. Instead, the business income is repatriated to the country where the head office of the foreign permanent establishment is located. This subsection imposes tax on the repatriated amount.</w:t>
      </w:r>
    </w:p>
    <w:p>
      <w:pPr>
        <w:spacing w:after="80" w:line="259" w:lineRule="auto"/>
      </w:pPr>
      <w:r>
        <w:rPr>
          <w:rFonts w:ascii="Times New Roman" w:hAnsi="Times New Roman"/>
          <w:b/>
          <w:i w:val="0"/>
        </w:rPr>
        <w:t>Example 14.2.7:</w:t>
      </w:r>
    </w:p>
    <w:p>
      <w:pPr>
        <w:spacing w:after="80" w:line="259" w:lineRule="auto"/>
      </w:pPr>
      <w:r>
        <w:rPr>
          <w:rFonts w:ascii="Times New Roman" w:hAnsi="Times New Roman"/>
          <w:b w:val="0"/>
          <w:i w:val="0"/>
        </w:rPr>
        <w:t>Assume that Buloski Construction Company of Italy is a road-construction company. It receives a road-construction contract in Nepal and completes the work under the contract within nine months in income year 2080/81. Since the company is engaged in road construction in Nepal for nine months, it is treated as a permanent establishment under Nepalese law. It derives taxable income of Rs. 10,000,000 from the road-construction work. As a foreign permanent establishment, it must pay corporate income tax of Rs. 2,500,000 at the rate of 25 percent on the Rs. 10,000,000 income. After paying corporate income tax of Rs. 2,500,000, the remaining Rs. 7,500,000 sent to the company’s head office is treated as income sent abroad by a foreign permanent establishment. Under Schedule 1, Section 2(6), tax at 5 percent is payable on that income. Therefore, when the permanent establishment sends the entire after-tax income of Rs. 7,500,000 abroad, tax of Rs. 375,000 must be withheld and only Rs. 7,125,000 should be sent.</w:t>
      </w:r>
    </w:p>
    <w:p>
      <w:pPr>
        <w:spacing w:after="80" w:line="259" w:lineRule="auto"/>
      </w:pPr>
      <w:r>
        <w:rPr>
          <w:rFonts w:ascii="Times New Roman" w:hAnsi="Times New Roman"/>
          <w:b/>
          <w:i w:val="0"/>
        </w:rPr>
        <w:t>68(4) The income sent abroad in an income year by a foreign permanent establishment situated in Nepal of a non-resident person shall be equal to the dividend amount distributed by that foreign permanent establishment in that year.</w:t>
      </w:r>
    </w:p>
    <w:p>
      <w:pPr>
        <w:spacing w:after="80" w:line="259" w:lineRule="auto"/>
      </w:pPr>
      <w:r>
        <w:rPr>
          <w:rFonts w:ascii="Times New Roman" w:hAnsi="Times New Roman"/>
          <w:b w:val="0"/>
          <w:i w:val="0"/>
        </w:rPr>
        <w:t>Where a foreign permanent establishment situated in Nepal of a non-resident person sends abroad income derived from transactions in Nepal to a non-resident entity, tax applies to the repatriated income. Such repatriated income is comparable to a dividend paid by an associated entity situated in Nepal to another non-resident entity. Where an associated entity pays a dividend, the tax obligation lies with the entity abroad; where a foreign permanent establishment sends income abroad, the tax obligation lies with that foreign permanent establishment itself. Dividends paid by an associated entity have a Nepal source under Section 67(6)(a) and are subject to withholding as provided in Section 88(2)(a). In the case of repatriated income, tax applies directly under Section 3(b), and the rate is provided in Schedule 1, Section 2(6). The Act treats the amount sent abroad by a foreign permanent establishment as equal to the amount of dividend distributed by that establishment in that year.</w:t>
      </w:r>
    </w:p>
    <w:p>
      <w:pPr>
        <w:spacing w:after="80" w:line="259" w:lineRule="auto"/>
      </w:pPr>
      <w:r>
        <w:rPr>
          <w:rFonts w:ascii="Times New Roman" w:hAnsi="Times New Roman"/>
          <w:b/>
          <w:i w:val="0"/>
        </w:rPr>
        <w:t>Example 14.2.8:</w:t>
      </w:r>
    </w:p>
    <w:p>
      <w:pPr>
        <w:spacing w:after="80" w:line="259" w:lineRule="auto"/>
      </w:pPr>
      <w:r>
        <w:rPr>
          <w:rFonts w:ascii="Times New Roman" w:hAnsi="Times New Roman"/>
          <w:b w:val="0"/>
          <w:i w:val="0"/>
        </w:rPr>
        <w:t>Assume that Kasmar Insurance Company of India establishes a branch office in Nepal and carries on general insurance business in Nepal. Since it carries on insurance business through a branch office in Nepal, the branch is a foreign permanent establishment under the Act. In income year 2080/81, the company earns income of Rs. 10,000,000 from general insurance transactions in Nepal. The branch pays tax liability of Rs. 3,000,000 on that income according to the corporate income tax rate applicable in Nepal. Out of the remaining Rs. 7,000,000, it sends Rs. 5,000,000 to its head office in India. On that repatriated income, the Nepal branch must deposit tax of Rs. 250,000 at the rate of 5 percent under Schedule 1, Section 2(6).</w:t>
      </w:r>
    </w:p>
    <w:p>
      <w:pPr>
        <w:pStyle w:val="Heading2"/>
        <w:keepNext/>
        <w:spacing w:after="80" w:line="259" w:lineRule="auto" w:before="160"/>
      </w:pPr>
      <w:r>
        <w:rPr>
          <w:rFonts w:ascii="Times New Roman" w:hAnsi="Times New Roman"/>
          <w:b w:val="0"/>
          <w:i w:val="0"/>
        </w:rPr>
        <w:t>14.3 Controlled Foreign Entity</w:t>
      </w:r>
    </w:p>
    <w:p>
      <w:pPr>
        <w:spacing w:after="80" w:line="259" w:lineRule="auto"/>
      </w:pPr>
      <w:r>
        <w:rPr>
          <w:rFonts w:ascii="Times New Roman" w:hAnsi="Times New Roman"/>
          <w:b w:val="0"/>
          <w:i w:val="0"/>
        </w:rPr>
        <w:t>The explanation to Section 69 of the Act defines a controlled foreign entity as follows:</w:t>
      </w:r>
    </w:p>
    <w:p>
      <w:pPr>
        <w:spacing w:after="80" w:line="259" w:lineRule="auto"/>
      </w:pPr>
      <w:r>
        <w:rPr>
          <w:rFonts w:ascii="Times New Roman" w:hAnsi="Times New Roman"/>
          <w:b/>
          <w:i w:val="0"/>
        </w:rPr>
        <w:t>"Controlled foreign entity" means a non-resident entity in which, in any income year, a resident person has an interest directly or indirectly through one or more interposed non-resident entities, and the person is associated with that entity; or where that associated person and not more than four other resident persons are associated with that entity, such entity shall also be treated as a controlled foreign entity.</w:t>
      </w:r>
    </w:p>
    <w:p>
      <w:pPr>
        <w:spacing w:after="80" w:line="259" w:lineRule="auto"/>
      </w:pPr>
      <w:r>
        <w:rPr>
          <w:rFonts w:ascii="Times New Roman" w:hAnsi="Times New Roman"/>
          <w:b w:val="0"/>
          <w:i w:val="0"/>
        </w:rPr>
        <w:t>According to the explanation, if a single resident person controls a foreign entity through income, capital or voting rights, or if a foreign entity or other entity of a Nepali resident together with a Nepali entity and not more than four resident associated persons owns more than 50 percent, such entity is a controlled foreign entity. A foreign company, trust or partnership in which a resident person of Nepal has more than 50 percent ownership or interest is a controlled foreign entity.</w:t>
      </w:r>
    </w:p>
    <w:p>
      <w:pPr>
        <w:spacing w:after="80" w:line="259" w:lineRule="auto"/>
      </w:pPr>
      <w:r>
        <w:rPr>
          <w:rFonts w:ascii="Times New Roman" w:hAnsi="Times New Roman"/>
          <w:b/>
          <w:i w:val="0"/>
        </w:rPr>
        <w:t>Example 14.3.1:</w:t>
      </w:r>
    </w:p>
    <w:p>
      <w:pPr>
        <w:spacing w:after="80" w:line="259" w:lineRule="auto"/>
      </w:pPr>
      <w:r>
        <w:rPr>
          <w:rFonts w:ascii="Times New Roman" w:hAnsi="Times New Roman"/>
          <w:b w:val="0"/>
          <w:i w:val="0"/>
        </w:rPr>
        <w:t>Assume that Sagarmatha Company Ltd. is a resident company of Nepal and owns 70 percent of the shares of Mount Fuji Company Pvt. Ltd. situated in Japan. Since Sagarmatha Company Ltd., a resident of Nepal, has a direct interest and control in Mount Fuji Company Pvt. Ltd., Mount Fuji Company Pvt. Ltd. is a controlled foreign entity controlled by a Nepali resident.</w:t>
      </w:r>
    </w:p>
    <w:p>
      <w:pPr>
        <w:spacing w:after="80" w:line="259" w:lineRule="auto"/>
      </w:pPr>
      <w:r>
        <w:rPr>
          <w:rFonts w:ascii="Times New Roman" w:hAnsi="Times New Roman"/>
          <w:b/>
          <w:i w:val="0"/>
        </w:rPr>
        <w:t>Example 14.3.2:</w:t>
      </w:r>
    </w:p>
    <w:p>
      <w:pPr>
        <w:spacing w:after="80" w:line="259" w:lineRule="auto"/>
      </w:pPr>
      <w:r>
        <w:rPr>
          <w:rFonts w:ascii="Times New Roman" w:hAnsi="Times New Roman"/>
          <w:b w:val="0"/>
          <w:i w:val="0"/>
        </w:rPr>
        <w:t>Assume that Koshi Company Ltd. is a resident company of Nepal and invests in preference shares participating in the profit of Askari Group of Companies Pvt. Ltd. situated in Pakistan. The share agreement provides that 70 percent of the company’s income will belong to Koshi Company through the preference shares. In this situation, because the resident company of Nepal has direct control over income in Askari Group of Companies Pvt. Ltd., that company is a controlled foreign entity controlled by a Nepali resident.</w:t>
      </w:r>
    </w:p>
    <w:p>
      <w:pPr>
        <w:spacing w:after="80" w:line="259" w:lineRule="auto"/>
      </w:pPr>
      <w:r>
        <w:rPr>
          <w:rFonts w:ascii="Times New Roman" w:hAnsi="Times New Roman"/>
          <w:b/>
          <w:i w:val="0"/>
        </w:rPr>
        <w:t>Example 14.3.3:</w:t>
      </w:r>
    </w:p>
    <w:p>
      <w:pPr>
        <w:spacing w:after="80" w:line="259" w:lineRule="auto"/>
      </w:pPr>
      <w:r>
        <w:rPr>
          <w:rFonts w:ascii="Times New Roman" w:hAnsi="Times New Roman"/>
          <w:b w:val="0"/>
          <w:i w:val="0"/>
        </w:rPr>
        <w:t>Assume that Mechi Company Ltd. is a resident company of Nepal and holds 40 percent ordinary shares in a company situated in Pakistan. The memorandum of that company provides that the class of shareholders holding those shares may appoint four out of seven directors. In this situation, because the resident company of Nepal has direct control over management, the company is a controlled foreign entity controlled by a Nepali resident.</w:t>
      </w:r>
    </w:p>
    <w:p>
      <w:pPr>
        <w:spacing w:after="80" w:line="259" w:lineRule="auto"/>
      </w:pPr>
      <w:r>
        <w:rPr>
          <w:rFonts w:ascii="Times New Roman" w:hAnsi="Times New Roman"/>
          <w:b/>
          <w:i w:val="0"/>
        </w:rPr>
        <w:t>Example 14.3.4:</w:t>
      </w:r>
    </w:p>
    <w:p>
      <w:pPr>
        <w:spacing w:after="80" w:line="259" w:lineRule="auto"/>
      </w:pPr>
      <w:r>
        <w:rPr>
          <w:rFonts w:ascii="Times New Roman" w:hAnsi="Times New Roman"/>
          <w:b w:val="0"/>
          <w:i w:val="0"/>
        </w:rPr>
        <w:t>Assume that Mount Fuji Company Pvt. Ltd. mentioned in Example 14.3.1 is a non-resident company but is controlled by a Nepali resident person. That company owns 80 percent of the shares of Nippon Pvt. Ltd. situated in Japan. Mount Fuji Company Pvt. Ltd. is an associated entity of Sagarmatha Company Ltd., a Nepali resident company, and it controls Nippon Pvt. Ltd. through 80 percent share ownership. In this situation, Nippon Pvt. Ltd. is also a controlled foreign entity because it is indirectly controlled by the Nepali resident company Sagarmatha Company Ltd. through its associated entity. Since the Nepali resident’s control in Nippon Company through the associated entity is 56 percent (70 percent of 80 percent), it is a controlled foreign entity.</w:t>
      </w:r>
    </w:p>
    <w:p>
      <w:pPr>
        <w:spacing w:after="80" w:line="259" w:lineRule="auto"/>
      </w:pPr>
      <w:r>
        <w:rPr>
          <w:rFonts w:ascii="Times New Roman" w:hAnsi="Times New Roman"/>
          <w:b/>
          <w:i w:val="0"/>
        </w:rPr>
        <w:t>Example 14.3.5:</w:t>
      </w:r>
    </w:p>
    <w:p>
      <w:pPr>
        <w:spacing w:after="80" w:line="259" w:lineRule="auto"/>
      </w:pPr>
      <w:r>
        <w:rPr>
          <w:rFonts w:ascii="Times New Roman" w:hAnsi="Times New Roman"/>
          <w:b w:val="0"/>
          <w:i w:val="0"/>
        </w:rPr>
        <w:t>Assume that A, B, C, D, E and F are resident persons of Nepal. Each of them owns 10 percent of the shares of ABC Company situated in Japan. Although A, B, C, D, E and F are resident persons of Nepal, they are not associated persons. Even though they together own 60 percent of ABC Company in Japan, that company is controlled by more than four persons. Therefore, it is not treated as a controlled foreign entity controlled by resident persons of Nepal.</w:t>
      </w:r>
    </w:p>
    <w:p>
      <w:pPr>
        <w:pStyle w:val="Heading3"/>
        <w:keepNext/>
        <w:spacing w:after="80" w:line="259" w:lineRule="auto" w:before="160"/>
      </w:pPr>
      <w:r>
        <w:rPr>
          <w:rFonts w:ascii="Times New Roman" w:hAnsi="Times New Roman"/>
          <w:b w:val="0"/>
          <w:i w:val="0"/>
        </w:rPr>
        <w:t>14.3.2 Income of a Controlled Foreign Entity</w:t>
      </w:r>
    </w:p>
    <w:p>
      <w:pPr>
        <w:spacing w:after="80" w:line="259" w:lineRule="auto"/>
      </w:pPr>
      <w:r>
        <w:rPr>
          <w:rFonts w:ascii="Times New Roman" w:hAnsi="Times New Roman"/>
          <w:b w:val="0"/>
          <w:i w:val="0"/>
        </w:rPr>
        <w:t>Where, for a resident person, a foreign entity in which the person has invested falls within the category of controlled foreign entity for tax purposes, the tax treatment of that foreign entity is as follows:</w:t>
      </w:r>
    </w:p>
    <w:p>
      <w:pPr>
        <w:pStyle w:val="ListBullet"/>
        <w:spacing w:after="80" w:line="259" w:lineRule="auto"/>
      </w:pPr>
      <w:r>
        <w:rPr>
          <w:rFonts w:ascii="Times New Roman" w:hAnsi="Times New Roman"/>
        </w:rPr>
        <w:t>Determination of attributable income: The foreign entity is treated as a resident entity of Nepal for purposes of the Income Tax Act, 2058.</w:t>
      </w:r>
    </w:p>
    <w:p>
      <w:pPr>
        <w:pStyle w:val="ListBullet"/>
        <w:spacing w:after="80" w:line="259" w:lineRule="auto"/>
      </w:pPr>
      <w:r>
        <w:rPr>
          <w:rFonts w:ascii="Times New Roman" w:hAnsi="Times New Roman"/>
        </w:rPr>
        <w:t>Irrespective of the tax year of the country in which the entity is situated or the financial year of that entity, the income return must be prepared according to Nepal’s income year.</w:t>
      </w:r>
    </w:p>
    <w:p>
      <w:pPr>
        <w:pStyle w:val="ListBullet"/>
        <w:spacing w:after="80" w:line="259" w:lineRule="auto"/>
      </w:pPr>
      <w:r>
        <w:rPr>
          <w:rFonts w:ascii="Times New Roman" w:hAnsi="Times New Roman"/>
        </w:rPr>
        <w:t>Income from business or income from investment is determined under the Income Tax Act, 2058.</w:t>
      </w:r>
    </w:p>
    <w:p>
      <w:pPr>
        <w:pStyle w:val="ListBullet"/>
        <w:spacing w:after="80" w:line="259" w:lineRule="auto"/>
      </w:pPr>
      <w:r>
        <w:rPr>
          <w:rFonts w:ascii="Times New Roman" w:hAnsi="Times New Roman"/>
        </w:rPr>
        <w:t>Income computed for Nepal’s income year under the Income Tax Act, 2058 is called attributable income in relation to the controlled foreign entity.</w:t>
      </w:r>
    </w:p>
    <w:p>
      <w:pPr>
        <w:spacing w:after="80" w:line="259" w:lineRule="auto"/>
      </w:pPr>
      <w:r>
        <w:rPr>
          <w:rFonts w:ascii="Times New Roman" w:hAnsi="Times New Roman"/>
          <w:b w:val="0"/>
          <w:i w:val="0"/>
        </w:rPr>
        <w:t>The explanation to Section 69 defines attributable income as follows:</w:t>
      </w:r>
    </w:p>
    <w:p>
      <w:pPr>
        <w:spacing w:after="80" w:line="259" w:lineRule="auto"/>
      </w:pPr>
      <w:r>
        <w:rPr>
          <w:rFonts w:ascii="Times New Roman" w:hAnsi="Times New Roman"/>
          <w:b/>
          <w:i w:val="0"/>
        </w:rPr>
        <w:t>"Attributable income" means the taxable income of a controlled foreign entity computed for an income year as if that entity were a resident entity.</w:t>
      </w:r>
    </w:p>
    <w:p>
      <w:pPr>
        <w:spacing w:after="80" w:line="259" w:lineRule="auto"/>
      </w:pPr>
      <w:r>
        <w:rPr>
          <w:rFonts w:ascii="Times New Roman" w:hAnsi="Times New Roman"/>
          <w:b/>
          <w:i w:val="0"/>
        </w:rPr>
        <w:t>Example 14.3.6:</w:t>
      </w:r>
    </w:p>
    <w:p>
      <w:pPr>
        <w:spacing w:after="80" w:line="259" w:lineRule="auto"/>
      </w:pPr>
      <w:r>
        <w:rPr>
          <w:rFonts w:ascii="Times New Roman" w:hAnsi="Times New Roman"/>
          <w:b w:val="0"/>
          <w:i w:val="0"/>
        </w:rPr>
        <w:t>Assume that Sagarmatha Ltd. is registered in Nepal and owns 70 percent of Mount Fuji Company Pvt. Ltd. situated in Japan. Mount Fuji Company Pvt. Ltd. situated in Japan is a controlled foreign entity of Sagarmatha Ltd. In income year 2080/81, Mount Fuji Company earns business income of Rs. 10,000,000 from its business. In this situation, the taxable income of Mount Fuji Company Pvt. Ltd., computed for Nepal’s income year under the Income Tax Act, 2058, is the attributable income of that entity. The income of Sagarmatha Ltd. from that entity is the proportionate amount of the attributable income of Mount Fuji Company Pvt. Ltd. according to its shareholding. Therefore, 70 percent of the attributable income of Mount Fuji Company Pvt. Ltd., i.e. Rs. 7,000,000, is the Japan-source income of Sagarmatha Company.</w:t>
      </w:r>
    </w:p>
    <w:p>
      <w:pPr>
        <w:spacing w:after="80" w:line="259" w:lineRule="auto"/>
      </w:pPr>
      <w:r>
        <w:rPr>
          <w:rFonts w:ascii="Times New Roman" w:hAnsi="Times New Roman"/>
          <w:b w:val="0"/>
          <w:i w:val="0"/>
        </w:rPr>
        <w:t>The Act computes income from an interest in a controlled foreign entity differently from income received from other foreign entities. The resident person must include in income the amount proportionate to its interest or shares in the controlled foreign entity. Even where the controlled foreign entity does not distribute dividends to its beneficiaries, it is deemed to have distributed dividends and the amount attributable to the resident person’s rights in that entity must be included in the resident person’s income. Since a resident person has decisive control over a controlled foreign entity, this special rule prevents deferment of tax liability by excluding income of such entity from Nepalese income.</w:t>
      </w:r>
    </w:p>
    <w:p>
      <w:pPr>
        <w:spacing w:after="80" w:line="259" w:lineRule="auto"/>
      </w:pPr>
      <w:r>
        <w:rPr>
          <w:rFonts w:ascii="Times New Roman" w:hAnsi="Times New Roman"/>
          <w:b/>
          <w:i w:val="0"/>
        </w:rPr>
        <w:t>69(1) Where an entity is a controlled foreign entity at the end of an income year, the entity shall be deemed to have distributed its attributable income for that year as dividends to its beneficiaries in proportion to: (a) their rights in that income if dividends were distributed; or (b) where those rights are not definite, in such manner as the Department considers appropriate in the circumstances.</w:t>
      </w:r>
    </w:p>
    <w:p>
      <w:pPr>
        <w:spacing w:after="80" w:line="259" w:lineRule="auto"/>
      </w:pPr>
      <w:r>
        <w:rPr>
          <w:rFonts w:ascii="Times New Roman" w:hAnsi="Times New Roman"/>
          <w:b/>
          <w:i w:val="0"/>
        </w:rPr>
        <w:t>Example 14.3.7:</w:t>
      </w:r>
    </w:p>
    <w:p>
      <w:pPr>
        <w:spacing w:after="80" w:line="259" w:lineRule="auto"/>
      </w:pPr>
      <w:r>
        <w:rPr>
          <w:rFonts w:ascii="Times New Roman" w:hAnsi="Times New Roman"/>
          <w:b w:val="0"/>
          <w:i w:val="0"/>
        </w:rPr>
        <w:t>Assume that Sagarmatha Ltd., a company registered in Nepal, has direct control over Mount Fuji Company Pvt. Ltd. situated in Japan. Likewise, Kanchanjungha Pvt. Ltd. is indirectly controlled by the Nepali company Sagarmatha Ltd. In income year 2080/81, computed under the Income Tax Act, 2058, Mount Fuji Company has income of Rs. 10,000,000. Kanchanjungha Pvt. Ltd. also has income of Rs. 10,000,000 in that year. Since Mount Fuji Company and Kanchanjungha Pvt. Ltd. are controlled entities of Sagarmatha Ltd. Nepal, their income for income year 2080/81 is attributable income of Sagarmatha Nepal and Sagarmatha Nepal is deemed to have received dividend distribution from the controlled foreign entities as follows:</w:t>
      </w:r>
    </w:p>
    <w:p>
      <w:pPr>
        <w:pStyle w:val="ListNumber"/>
        <w:spacing w:after="80" w:line="259" w:lineRule="auto"/>
      </w:pPr>
      <w:r>
        <w:rPr>
          <w:rFonts w:ascii="Times New Roman" w:hAnsi="Times New Roman"/>
        </w:rPr>
        <w:t>Since Sagarmatha holds 70 percent of the shares of Mount Fuji Company, attributable income proportionate to share ownership is Rs. 7,000,000.</w:t>
      </w:r>
    </w:p>
    <w:p>
      <w:pPr>
        <w:pStyle w:val="ListNumber"/>
        <w:spacing w:after="80" w:line="259" w:lineRule="auto"/>
      </w:pPr>
      <w:r>
        <w:rPr>
          <w:rFonts w:ascii="Times New Roman" w:hAnsi="Times New Roman"/>
        </w:rPr>
        <w:t>Since Mount Fuji Company holds 80 percent of the shares of Kanchanjungha Pvt. Ltd., Sagarmatha Company has only an effective 56 percent proportion, and the proportionate amount is Rs. 5,600,000.</w:t>
      </w:r>
    </w:p>
    <w:p>
      <w:pPr>
        <w:pStyle w:val="ListNumber"/>
        <w:spacing w:after="80" w:line="259" w:lineRule="auto"/>
      </w:pPr>
      <w:r>
        <w:rPr>
          <w:rFonts w:ascii="Times New Roman" w:hAnsi="Times New Roman"/>
        </w:rPr>
        <w:t>Sagarmatha Ltd., Nepal, has Japanese-source income of Rs. 12,600,000 in total, consisting of Rs. 7,000,000 from Mount Fuji Company Pvt. Ltd. and Rs. 5,600,000 from Kanchanjungha Pvt. Ltd., based on its direct and indirect share ownership in the controlled foreign entities.</w:t>
      </w:r>
    </w:p>
    <w:p>
      <w:pPr>
        <w:spacing w:after="80" w:line="259" w:lineRule="auto"/>
      </w:pPr>
      <w:r>
        <w:rPr>
          <w:rFonts w:ascii="Times New Roman" w:hAnsi="Times New Roman"/>
          <w:b w:val="0"/>
          <w:i w:val="0"/>
        </w:rPr>
        <w:t>Accordingly, Sagarmatha Ltd. must include Rs. 12,600,000 in its income return for income year 2080/81 as income received from controlled foreign entities.</w:t>
      </w:r>
    </w:p>
    <w:p>
      <w:pPr>
        <w:spacing w:after="80" w:line="259" w:lineRule="auto"/>
      </w:pPr>
      <w:r>
        <w:rPr>
          <w:rFonts w:ascii="Times New Roman" w:hAnsi="Times New Roman"/>
          <w:b w:val="0"/>
          <w:i w:val="0"/>
        </w:rPr>
        <w:t>For controlled foreign entities, Nepal’s Income Tax Act provides that a resident person must include in income the amount proportionate to the person’s interest. The non-resident controlled foreign entity is not required actually to pay such amount as a dividend. Whether the controlled foreign entity distributes dividends, and how much it distributes, is within the discretion of that company based on its financial and commercial circumstances. Since the resident person has already included in income, in the same year, the amount receivable according to its rights in the attributable income of the controlled foreign entity, the amount later paid as dividend by the controlled foreign entity is not again included in the resident person’s income.</w:t>
      </w:r>
    </w:p>
    <w:p>
      <w:pPr>
        <w:spacing w:after="80" w:line="259" w:lineRule="auto"/>
      </w:pPr>
      <w:r>
        <w:rPr>
          <w:rFonts w:ascii="Times New Roman" w:hAnsi="Times New Roman"/>
          <w:b/>
          <w:i w:val="0"/>
        </w:rPr>
        <w:t>69(2) Dividends distributed by an entity that is a controlled foreign entity at the end of an income year, other than amounts deemed distributed under subsection (1), shall not be taxed in that income year.</w:t>
      </w:r>
    </w:p>
    <w:p>
      <w:pPr>
        <w:spacing w:after="80" w:line="259" w:lineRule="auto"/>
      </w:pPr>
      <w:r>
        <w:rPr>
          <w:rFonts w:ascii="Times New Roman" w:hAnsi="Times New Roman"/>
          <w:b/>
          <w:i w:val="0"/>
        </w:rPr>
        <w:t>Example 14.3.8:</w:t>
      </w:r>
    </w:p>
    <w:p>
      <w:pPr>
        <w:spacing w:after="80" w:line="259" w:lineRule="auto"/>
      </w:pPr>
      <w:r>
        <w:rPr>
          <w:rFonts w:ascii="Times New Roman" w:hAnsi="Times New Roman"/>
          <w:b w:val="0"/>
          <w:i w:val="0"/>
        </w:rPr>
        <w:t>Assume that Sagarmatha Ltd., a resident company of Nepal, owns 70 percent of Mount Fuji Company Pvt. Ltd. registered in Japan. On that basis, Mount Fuji Company Pvt. Ltd. is a controlled foreign entity. Out of attributable income of Rs. 10,000,000 for income year 2079/80, Mount Fuji Company Pvt. Ltd. distributes Rs. 5,000,000 as dividend to its beneficiaries in income year 2080/81. Sagarmatha Nepal Ltd. receives Rs. 3,500,000 according to its share ownership. Since Sagarmatha Ltd. had already included the amount attributable to its interest in the controlled foreign entity in its income return for income year 2079/80 and paid tax on it, the dividend received in income year 2080/81 from the controlled foreign entity is not required to be included in income again.</w:t>
      </w:r>
    </w:p>
    <w:p>
      <w:pPr>
        <w:spacing w:after="80" w:line="259" w:lineRule="auto"/>
      </w:pPr>
      <w:r>
        <w:rPr>
          <w:rFonts w:ascii="Times New Roman" w:hAnsi="Times New Roman"/>
          <w:b w:val="0"/>
          <w:i w:val="0"/>
        </w:rPr>
        <w:t>Under Section 69, the resident person must show in income the amount proportionate to its attributable income in a controlled foreign entity. However, a dividend distributed by an indirectly controlled entity may be received by the entity controlling it, and that amount could otherwise be counted again while computing the attributable income of the controlling entity. To eliminate this duplication, Section 69(3) provides as follows:</w:t>
      </w:r>
    </w:p>
    <w:p>
      <w:pPr>
        <w:spacing w:after="80" w:line="259" w:lineRule="auto"/>
      </w:pPr>
      <w:r>
        <w:rPr>
          <w:rFonts w:ascii="Times New Roman" w:hAnsi="Times New Roman"/>
          <w:b/>
          <w:i w:val="0"/>
        </w:rPr>
        <w:t>69(3) In relation to dividends deemed to be distributed under subsection (1) by a controlled foreign entity to beneficiaries associated with that entity at the time of distribution, such dividends shall be deemed to have: (a) the same character and source as the attributable income of that entity; and (b) been distributed proportionately from each character and source of the attributable income of that entity.</w:t>
      </w:r>
    </w:p>
    <w:p>
      <w:pPr>
        <w:spacing w:after="80" w:line="259" w:lineRule="auto"/>
      </w:pPr>
      <w:r>
        <w:rPr>
          <w:rFonts w:ascii="Times New Roman" w:hAnsi="Times New Roman"/>
          <w:b w:val="0"/>
          <w:i w:val="0"/>
        </w:rPr>
        <w:t>In Example 14.3.7 above, the proportionate amount of attributable income of Kanchanjungha Company (Rs. 5,600,000) has already been included in taxable income and tax has been paid. In the year in which Kanchanjungha Company distributes dividends, Rs. 6,000,000 is received by the other controlled foreign entity, Mount Fuji Company, which controls it. In determining the attributable income of Mount Fuji Company for the year in which the dividend is received, that dividend is not included. This ensures that double taxation does not occur.</w:t>
      </w:r>
    </w:p>
    <w:p>
      <w:pPr>
        <w:spacing w:after="80" w:line="259" w:lineRule="auto"/>
      </w:pPr>
      <w:r>
        <w:rPr>
          <w:rFonts w:ascii="Times New Roman" w:hAnsi="Times New Roman"/>
          <w:b w:val="0"/>
          <w:i w:val="0"/>
        </w:rPr>
        <w:t>The beneficiary includes in its income, in the year in which the income is earned, the amount proportionate to its ownership or interest in the attributable income of the controlled foreign entity. Since subsection (1) treats the beneficiary’s proportionate amount of attributable income as a dividend distribution and includes it in income, the controlled foreign entity need not actually pay a dividend for that purpose. A controlled foreign entity may distribute the dividend in a year after the year in which the income was earned, or a dividend from an earlier year may be distributed in the current year. Corporate income tax may have been paid in the country in which the income was earned under that country’s tax law, and tax may also have been imposed on the dividend under the law of the country where the controlled foreign entity is situated. The corporate tax paid by the entity should be credited when the corporate income is taxed, and the tax imposed on dividend should be allowed to the beneficiary proportionately to the deemed dividend received.</w:t>
      </w:r>
    </w:p>
    <w:p>
      <w:pPr>
        <w:spacing w:after="80" w:line="259" w:lineRule="auto"/>
      </w:pPr>
      <w:r>
        <w:rPr>
          <w:rFonts w:ascii="Times New Roman" w:hAnsi="Times New Roman"/>
          <w:b/>
          <w:i w:val="0"/>
        </w:rPr>
        <w:t>69(4) In relation to the amount deemed distributed under subsection (3), any tax paid by a controlled foreign entity, including tax deemed paid under subsection (5) or Section 52(5), shall be allocated to the beneficiaries associated with that entity.</w:t>
      </w:r>
    </w:p>
    <w:p>
      <w:pPr>
        <w:spacing w:after="80" w:line="259" w:lineRule="auto"/>
      </w:pPr>
      <w:r>
        <w:rPr>
          <w:rFonts w:ascii="Times New Roman" w:hAnsi="Times New Roman"/>
          <w:b/>
          <w:i w:val="0"/>
        </w:rPr>
        <w:t>69(5) At the time of allocation, tax allocated under subsection (4) shall be treated as paid by the beneficiary, and the beneficiary may obtain a tax credit facility for such tax as provided in Section 71.</w:t>
      </w:r>
    </w:p>
    <w:p>
      <w:pPr>
        <w:spacing w:after="80" w:line="259" w:lineRule="auto"/>
      </w:pPr>
      <w:r>
        <w:rPr>
          <w:rFonts w:ascii="Times New Roman" w:hAnsi="Times New Roman"/>
          <w:b w:val="0"/>
          <w:i w:val="0"/>
        </w:rPr>
        <w:t>These provisions allow controlling residents of a controlled foreign entity to obtain a credit for the relevant tax. The rule is illustrated below.</w:t>
      </w:r>
    </w:p>
    <w:p>
      <w:pPr>
        <w:spacing w:after="80" w:line="259" w:lineRule="auto"/>
      </w:pPr>
      <w:r>
        <w:rPr>
          <w:rFonts w:ascii="Times New Roman" w:hAnsi="Times New Roman"/>
          <w:b/>
          <w:i w:val="0"/>
        </w:rPr>
        <w:t>Example 14.3.9:</w:t>
      </w:r>
    </w:p>
    <w:p>
      <w:pPr>
        <w:spacing w:after="80" w:line="259" w:lineRule="auto"/>
      </w:pPr>
      <w:r>
        <w:rPr>
          <w:rFonts w:ascii="Times New Roman" w:hAnsi="Times New Roman"/>
          <w:b w:val="0"/>
          <w:i w:val="0"/>
        </w:rPr>
        <w:t>Assume that Sagarmatha Ltd., a resident company of Nepal, owns 70 percent of Mount Fuji Company Pvt. Ltd. registered in Japan. On that basis, Mount Fuji Company Pvt. Ltd. is a controlled foreign entity. Mount Fuji Company distributes Rs. 3,500,000 as dividend to Sagarmatha Nepal in income year 2080/81. The company has attributable income of Rs. 10,000,000 and paid corporate tax of Rs. 2,900,000 in that year. Since Mount Fuji Company Pvt. Ltd. is situated in Japan and the Japanese income tax law requires 10 percent withholding on dividend payments, the tax withheld on the distributed dividend and the proportionate amount of corporate tax are treated as amounts eligible for credit under Section 71.</w:t>
      </w:r>
    </w:p>
    <w:p>
      <w:pPr>
        <w:spacing w:after="80" w:line="259" w:lineRule="auto"/>
      </w:pPr>
      <w:r>
        <w:rPr>
          <w:rFonts w:ascii="Times New Roman" w:hAnsi="Times New Roman"/>
          <w:b w:val="0"/>
          <w:i w:val="0"/>
        </w:rPr>
        <w:t>Where a resident person has already included in income its proportionate amount of attributable income of a controlled foreign entity, income exists for income-tax purposes even if payment has not yet been received. Conversely, actual dividends distributed by a directly controlled company are not taxed again. Because income that has not yet been received is taxed on one side and income actually received later is not taxed on the other side, a temporary tax difference may arise in such companies. To remove this difference, Section 69(6) and (7) provide as follows:</w:t>
      </w:r>
    </w:p>
    <w:p>
      <w:pPr>
        <w:spacing w:after="80" w:line="259" w:lineRule="auto"/>
      </w:pPr>
      <w:r>
        <w:rPr>
          <w:rFonts w:ascii="Times New Roman" w:hAnsi="Times New Roman"/>
          <w:b/>
          <w:i w:val="0"/>
        </w:rPr>
        <w:t>69(6) At the time of distribution, the amount deemed to be distributed to a beneficiary under subsection (1) shall be included as an outgoing in relation to any asset or liability constituting the recipient beneficiary’s interest in the distributing entity.</w:t>
      </w:r>
    </w:p>
    <w:p>
      <w:pPr>
        <w:spacing w:after="80" w:line="259" w:lineRule="auto"/>
      </w:pPr>
      <w:r>
        <w:rPr>
          <w:rFonts w:ascii="Times New Roman" w:hAnsi="Times New Roman"/>
          <w:b/>
          <w:i w:val="0"/>
        </w:rPr>
        <w:t>69(7) At the time of distribution, a dividend distributed to a beneficiary that is exempt from tax under subsection (2) shall be included as an incoming in relation to any asset or liability constituting the recipient beneficiary’s interest in the distributing entity.</w:t>
      </w:r>
    </w:p>
    <w:p>
      <w:pPr>
        <w:spacing w:after="80" w:line="259" w:lineRule="auto"/>
      </w:pPr>
      <w:r>
        <w:rPr>
          <w:rFonts w:ascii="Times New Roman" w:hAnsi="Times New Roman"/>
          <w:b/>
          <w:i w:val="0"/>
        </w:rPr>
        <w:t>Example 14.3.10:</w:t>
      </w:r>
    </w:p>
    <w:p>
      <w:pPr>
        <w:spacing w:after="80" w:line="259" w:lineRule="auto"/>
      </w:pPr>
      <w:r>
        <w:rPr>
          <w:rFonts w:ascii="Times New Roman" w:hAnsi="Times New Roman"/>
          <w:b w:val="0"/>
          <w:i w:val="0"/>
        </w:rPr>
        <w:t>Assume, as in Example 14.3.7 above, that the amount included in the income of Sagarmatha Ltd., a Nepali company, in respect of attributable income of its directly controlled foreign entity Mount Fuji Pvt. Ltd. for income year 2080/81 is Rs. 7,000,000 under Section 69(1), and the proportionate amount included from its indirectly controlled foreign entity Kanchanjungha Pvt. Ltd. is Rs. 4,200,000. The total amount of Rs. 11,200,000 is included in the income of Sagarmatha Ltd. This total amount of Rs. 11,200,000 must be included as an outgoing in relation to the interest held in Mount Fuji Pvt. Ltd.</w:t>
      </w:r>
    </w:p>
    <w:p>
      <w:pPr>
        <w:spacing w:after="80" w:line="259" w:lineRule="auto"/>
      </w:pPr>
      <w:r>
        <w:rPr>
          <w:rFonts w:ascii="Times New Roman" w:hAnsi="Times New Roman"/>
          <w:b/>
          <w:i w:val="0"/>
        </w:rPr>
        <w:t>Example 14.3.11:</w:t>
      </w:r>
    </w:p>
    <w:p>
      <w:pPr>
        <w:spacing w:after="80" w:line="259" w:lineRule="auto"/>
      </w:pPr>
      <w:r>
        <w:rPr>
          <w:rFonts w:ascii="Times New Roman" w:hAnsi="Times New Roman"/>
          <w:b w:val="0"/>
          <w:i w:val="0"/>
        </w:rPr>
        <w:t>Assume that, in Example 14.3.7 above, Sagarmatha Ltd. receives Rs. 3,500,000 as dividend from the controlled foreign entity Mount Fuji Pvt. Ltd. in income year 2080/81. As described above, Sagarmatha Ltd. must include the amount of Rs. 3,500,000, received under subsection (2), as an incoming of the asset representing its interest in the relevant controlled foreign entity.</w:t>
      </w:r>
    </w:p>
    <w:p>
      <w:pPr>
        <w:spacing w:after="80" w:line="259" w:lineRule="auto"/>
      </w:pPr>
      <w:r>
        <w:rPr>
          <w:rFonts w:ascii="Times New Roman" w:hAnsi="Times New Roman"/>
          <w:b/>
          <w:i w:val="0"/>
        </w:rPr>
        <w:t>69(8) For the purposes of this Act, foreign income tax paid, or foreign income tax deemed to have been paid by a controlled foreign entity under subsection (5) or Section 52(5), shall be treated as tax paid or deemed paid by that entity under this Act.</w:t>
      </w:r>
    </w:p>
    <w:p>
      <w:pPr>
        <w:spacing w:after="80" w:line="259" w:lineRule="auto"/>
      </w:pPr>
      <w:r>
        <w:rPr>
          <w:rFonts w:ascii="Times New Roman" w:hAnsi="Times New Roman"/>
          <w:b w:val="0"/>
          <w:i w:val="0"/>
        </w:rPr>
        <w:t>For purposes of the Act, foreign income tax paid under subsection (5), whether paid by the beneficiary or by the entity for the entity, is treated as tax paid by the entity. For purposes of this section, foreign income tax includes income tax imposed by the country in which the controlled foreign entity is situated and withholding tax deducted on payment.</w:t>
      </w:r>
    </w:p>
    <w:p>
      <w:pPr>
        <w:pStyle w:val="Heading2"/>
        <w:keepNext/>
        <w:spacing w:after="80" w:line="259" w:lineRule="auto" w:before="160"/>
      </w:pPr>
      <w:r>
        <w:rPr>
          <w:rFonts w:ascii="Times New Roman" w:hAnsi="Times New Roman"/>
          <w:b w:val="0"/>
          <w:i w:val="0"/>
        </w:rPr>
        <w:t>14.4 Tax on Non-Residents Providing Shipping, Air Transport or Telecommunication Services in Nepal</w:t>
      </w:r>
    </w:p>
    <w:p>
      <w:pPr>
        <w:pStyle w:val="Heading3"/>
        <w:keepNext/>
        <w:spacing w:after="80" w:line="259" w:lineRule="auto" w:before="160"/>
      </w:pPr>
      <w:r>
        <w:rPr>
          <w:rFonts w:ascii="Times New Roman" w:hAnsi="Times New Roman"/>
          <w:b w:val="0"/>
          <w:i w:val="0"/>
        </w:rPr>
        <w:t>14.4.1 Water Transport and Air Transport Services</w:t>
      </w:r>
    </w:p>
    <w:p>
      <w:pPr>
        <w:spacing w:after="80" w:line="259" w:lineRule="auto"/>
      </w:pPr>
      <w:r>
        <w:rPr>
          <w:rFonts w:ascii="Times New Roman" w:hAnsi="Times New Roman"/>
          <w:b w:val="0"/>
          <w:i w:val="0"/>
        </w:rPr>
        <w:t>Section 67(6)(chha) provides that payments received by a non-resident person from operating shipping, charter service or air transport in Nepal have a source in Nepal. Section 70 deals with the amount to be included in the income of such non-resident person, the tax rate applicable to it and expenses that may not be deducted. The Act contains special provisions for non-resident persons earning income from operating shipping, charter service or air transport.</w:t>
      </w:r>
    </w:p>
    <w:p>
      <w:pPr>
        <w:spacing w:after="80" w:line="259" w:lineRule="auto"/>
      </w:pPr>
      <w:r>
        <w:rPr>
          <w:rFonts w:ascii="Times New Roman" w:hAnsi="Times New Roman"/>
          <w:b w:val="0"/>
          <w:i w:val="0"/>
        </w:rPr>
        <w:t>For purposes of this section, "non-resident person" means a resident entity that is within a group of associated entities whose head office is outside Nepal. Therefore, even if an office is established in Nepal or an authorised sales agent is appointed for operating shipping, charter or air services, that person is treated as a non-resident person and not as a permanent establishment in Nepal for purposes of this section.</w:t>
      </w:r>
    </w:p>
    <w:p>
      <w:pPr>
        <w:spacing w:after="80" w:line="259" w:lineRule="auto"/>
      </w:pPr>
      <w:r>
        <w:rPr>
          <w:rFonts w:ascii="Times New Roman" w:hAnsi="Times New Roman"/>
          <w:b/>
          <w:i w:val="0"/>
        </w:rPr>
        <w:t>70(1) The taxable income for an income year of a non-resident person carrying on shipping operations, charter service operations or air transport operations shall include amounts received from the following activities, except amounts received from transhipment: (a) carriage of passengers departing from Nepal; or (b) carriage of mail, livestock or goods dispatched from Nepal.</w:t>
      </w:r>
    </w:p>
    <w:p>
      <w:pPr>
        <w:spacing w:after="80" w:line="259" w:lineRule="auto"/>
      </w:pPr>
      <w:r>
        <w:rPr>
          <w:rFonts w:ascii="Times New Roman" w:hAnsi="Times New Roman"/>
          <w:b w:val="0"/>
          <w:i w:val="0"/>
        </w:rPr>
        <w:t>Where a passenger uses a Nepal airport as transit, or travels by one airline to a Nepal airport and departs to the destination by the same or another airline, the amount paid by such passenger is not included in the Nepal-source income of the air-service operator for purposes of this section. Similarly, in relation to cargo, if goods are carried from a place in another country to a Nepal airport and then from Nepal to another destination, income received for that carriage is not included in the Nepal income of the person operating air transport. Only amounts received for carriage of passengers where Nepal is the initial point of departure and payments received for carriage of goods dispatched from Nepal are included in income for purposes of this section. The same principle applies to shipping and charter services.</w:t>
      </w:r>
    </w:p>
    <w:p>
      <w:pPr>
        <w:spacing w:after="80" w:line="259" w:lineRule="auto"/>
      </w:pPr>
      <w:r>
        <w:rPr>
          <w:rFonts w:ascii="Times New Roman" w:hAnsi="Times New Roman"/>
          <w:b/>
          <w:i w:val="0"/>
        </w:rPr>
        <w:t>Example 14.4.1:</w:t>
      </w:r>
    </w:p>
    <w:p>
      <w:pPr>
        <w:spacing w:after="80" w:line="259" w:lineRule="auto"/>
      </w:pPr>
      <w:r>
        <w:rPr>
          <w:rFonts w:ascii="Times New Roman" w:hAnsi="Times New Roman"/>
          <w:b w:val="0"/>
          <w:i w:val="0"/>
        </w:rPr>
        <w:t>Assume that Sols Airways, registered in Saudi Arabia, operates air services between Kathmandu and Riyadh, Saudi Arabia. It operates a branch in Kathmandu to manage air transport. In Shrawan 2080, the airline has the following income from air services and other activities:</w:t>
      </w:r>
    </w:p>
    <w:tbl>
      <w:tblPr>
        <w:tblStyle w:val="TableGrid"/>
        <w:tblW w:type="auto" w:w="0"/>
        <w:jc w:val="center"/>
        <w:tblLook w:firstColumn="1" w:firstRow="1" w:lastColumn="0" w:lastRow="0" w:noHBand="0" w:noVBand="1" w:val="04A0"/>
      </w:tblPr>
      <w:tblGrid>
        <w:gridCol w:w="3456"/>
        <w:gridCol w:w="3456"/>
        <w:gridCol w:w="3456"/>
      </w:tblGrid>
      <w:tr>
        <w:trPr>
          <w:tblHeader w:val="true"/>
        </w:trPr>
        <w:tc>
          <w:tcPr>
            <w:tcW w:type="dxa" w:w="648"/>
            <w:vAlign w:val="center"/>
            <w:tcBorders>
              <w:top w:sz="4" w:val="single" w:color="BFBFBF"/>
              <w:left w:sz="4" w:val="single" w:color="BFBFBF"/>
              <w:bottom w:sz="4" w:val="single" w:color="BFBFBF"/>
              <w:right w:sz="4" w:val="single" w:color="BFBFBF"/>
            </w:tcBorders>
            <w:shd w:fill="D9EAF7"/>
          </w:tcPr>
          <w:p>
            <w:pPr>
              <w:spacing w:after="0"/>
            </w:pPr>
            <w:r>
              <w:rPr>
                <w:rFonts w:ascii="Times New Roman" w:hAnsi="Times New Roman"/>
                <w:b/>
                <w:sz w:val="17"/>
              </w:rPr>
              <w:t>No.</w:t>
            </w:r>
          </w:p>
        </w:tc>
        <w:tc>
          <w:tcPr>
            <w:tcW w:type="dxa" w:w="7056"/>
            <w:vAlign w:val="center"/>
            <w:tcBorders>
              <w:top w:sz="4" w:val="single" w:color="BFBFBF"/>
              <w:left w:sz="4" w:val="single" w:color="BFBFBF"/>
              <w:bottom w:sz="4" w:val="single" w:color="BFBFBF"/>
              <w:right w:sz="4" w:val="single" w:color="BFBFBF"/>
            </w:tcBorders>
            <w:shd w:fill="D9EAF7"/>
          </w:tcPr>
          <w:p>
            <w:pPr>
              <w:spacing w:after="0"/>
            </w:pPr>
            <w:r>
              <w:rPr>
                <w:rFonts w:ascii="Times New Roman" w:hAnsi="Times New Roman"/>
                <w:b/>
                <w:sz w:val="17"/>
              </w:rPr>
              <w:t>Particulars</w:t>
            </w:r>
          </w:p>
        </w:tc>
        <w:tc>
          <w:tcPr>
            <w:tcW w:type="dxa" w:w="1944"/>
            <w:vAlign w:val="center"/>
            <w:tcBorders>
              <w:top w:sz="4" w:val="single" w:color="BFBFBF"/>
              <w:left w:sz="4" w:val="single" w:color="BFBFBF"/>
              <w:bottom w:sz="4" w:val="single" w:color="BFBFBF"/>
              <w:right w:sz="4" w:val="single" w:color="BFBFBF"/>
            </w:tcBorders>
            <w:shd w:fill="D9EAF7"/>
          </w:tcPr>
          <w:p>
            <w:pPr>
              <w:spacing w:after="0"/>
            </w:pPr>
            <w:r>
              <w:rPr>
                <w:rFonts w:ascii="Times New Roman" w:hAnsi="Times New Roman"/>
                <w:b/>
                <w:sz w:val="17"/>
              </w:rPr>
              <w:t>Amount (Rs.)</w:t>
            </w:r>
          </w:p>
        </w:tc>
      </w:tr>
      <w:tr>
        <w:tc>
          <w:tcPr>
            <w:tcW w:type="dxa" w:w="648"/>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1</w:t>
            </w:r>
          </w:p>
        </w:tc>
        <w:tc>
          <w:tcPr>
            <w:tcW w:type="dxa" w:w="7056"/>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Amount received for passengers departing from Kathmandu</w:t>
            </w:r>
          </w:p>
        </w:tc>
        <w:tc>
          <w:tcPr>
            <w:tcW w:type="dxa" w:w="1944"/>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10,000,000</w:t>
            </w:r>
          </w:p>
        </w:tc>
      </w:tr>
      <w:tr>
        <w:tc>
          <w:tcPr>
            <w:tcW w:type="dxa" w:w="648"/>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2</w:t>
            </w:r>
          </w:p>
        </w:tc>
        <w:tc>
          <w:tcPr>
            <w:tcW w:type="dxa" w:w="7056"/>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Amount received for goods carried with Kathmandu as the first point</w:t>
            </w:r>
          </w:p>
        </w:tc>
        <w:tc>
          <w:tcPr>
            <w:tcW w:type="dxa" w:w="1944"/>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5,000,000</w:t>
            </w:r>
          </w:p>
        </w:tc>
      </w:tr>
      <w:tr>
        <w:tc>
          <w:tcPr>
            <w:tcW w:type="dxa" w:w="648"/>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3</w:t>
            </w:r>
          </w:p>
        </w:tc>
        <w:tc>
          <w:tcPr>
            <w:tcW w:type="dxa" w:w="7056"/>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Amount received from passengers transiting Kathmandu from Bhutan and Lhasa</w:t>
            </w:r>
          </w:p>
        </w:tc>
        <w:tc>
          <w:tcPr>
            <w:tcW w:type="dxa" w:w="1944"/>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5,000,000</w:t>
            </w:r>
          </w:p>
        </w:tc>
      </w:tr>
      <w:tr>
        <w:tc>
          <w:tcPr>
            <w:tcW w:type="dxa" w:w="648"/>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4</w:t>
            </w:r>
          </w:p>
        </w:tc>
        <w:tc>
          <w:tcPr>
            <w:tcW w:type="dxa" w:w="7056"/>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Freight received for goods carried from Bhutan and transiting through Kathmandu</w:t>
            </w:r>
          </w:p>
        </w:tc>
        <w:tc>
          <w:tcPr>
            <w:tcW w:type="dxa" w:w="1944"/>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5,000,000</w:t>
            </w:r>
          </w:p>
        </w:tc>
      </w:tr>
      <w:tr>
        <w:tc>
          <w:tcPr>
            <w:tcW w:type="dxa" w:w="648"/>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5</w:t>
            </w:r>
          </w:p>
        </w:tc>
        <w:tc>
          <w:tcPr>
            <w:tcW w:type="dxa" w:w="7056"/>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Amount received from restaurant operated at Kathmandu airport for air-passenger convenience</w:t>
            </w:r>
          </w:p>
        </w:tc>
        <w:tc>
          <w:tcPr>
            <w:tcW w:type="dxa" w:w="1944"/>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2,500,000</w:t>
            </w:r>
          </w:p>
        </w:tc>
      </w:tr>
      <w:tr>
        <w:tc>
          <w:tcPr>
            <w:tcW w:type="dxa" w:w="648"/>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6</w:t>
            </w:r>
          </w:p>
        </w:tc>
        <w:tc>
          <w:tcPr>
            <w:tcW w:type="dxa" w:w="7056"/>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Amount received for providing ground services for operation of other airlines</w:t>
            </w:r>
          </w:p>
        </w:tc>
        <w:tc>
          <w:tcPr>
            <w:tcW w:type="dxa" w:w="1944"/>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2,500,000</w:t>
            </w:r>
          </w:p>
        </w:tc>
      </w:tr>
      <w:tr>
        <w:tc>
          <w:tcPr>
            <w:tcW w:type="dxa" w:w="648"/>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r>
          </w:p>
        </w:tc>
        <w:tc>
          <w:tcPr>
            <w:tcW w:type="dxa" w:w="7056"/>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Total income</w:t>
            </w:r>
          </w:p>
        </w:tc>
        <w:tc>
          <w:tcPr>
            <w:tcW w:type="dxa" w:w="1944"/>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30,000,000</w:t>
            </w:r>
          </w:p>
        </w:tc>
      </w:tr>
    </w:tbl>
    <w:p>
      <w:pPr>
        <w:spacing w:after="80" w:line="259" w:lineRule="auto"/>
      </w:pPr>
      <w:r>
        <w:rPr>
          <w:rFonts w:ascii="Times New Roman" w:hAnsi="Times New Roman"/>
          <w:b w:val="0"/>
          <w:i w:val="0"/>
        </w:rPr>
        <w:t>For purposes of Section 70(1), the amount to be included in the income of Sols Airways for Shrawan is as follows:</w:t>
      </w:r>
    </w:p>
    <w:tbl>
      <w:tblPr>
        <w:tblStyle w:val="TableGrid"/>
        <w:tblW w:type="auto" w:w="0"/>
        <w:jc w:val="center"/>
        <w:tblLook w:firstColumn="1" w:firstRow="1" w:lastColumn="0" w:lastRow="0" w:noHBand="0" w:noVBand="1" w:val="04A0"/>
      </w:tblPr>
      <w:tblGrid>
        <w:gridCol w:w="3456"/>
        <w:gridCol w:w="3456"/>
        <w:gridCol w:w="3456"/>
      </w:tblGrid>
      <w:tr>
        <w:trPr>
          <w:tblHeader w:val="true"/>
        </w:trPr>
        <w:tc>
          <w:tcPr>
            <w:tcW w:type="dxa" w:w="648"/>
            <w:vAlign w:val="center"/>
            <w:tcBorders>
              <w:top w:sz="4" w:val="single" w:color="BFBFBF"/>
              <w:left w:sz="4" w:val="single" w:color="BFBFBF"/>
              <w:bottom w:sz="4" w:val="single" w:color="BFBFBF"/>
              <w:right w:sz="4" w:val="single" w:color="BFBFBF"/>
            </w:tcBorders>
            <w:shd w:fill="D9EAF7"/>
          </w:tcPr>
          <w:p>
            <w:pPr>
              <w:spacing w:after="0"/>
            </w:pPr>
            <w:r>
              <w:rPr>
                <w:rFonts w:ascii="Times New Roman" w:hAnsi="Times New Roman"/>
                <w:b/>
                <w:sz w:val="17"/>
              </w:rPr>
              <w:t>No.</w:t>
            </w:r>
          </w:p>
        </w:tc>
        <w:tc>
          <w:tcPr>
            <w:tcW w:type="dxa" w:w="7056"/>
            <w:vAlign w:val="center"/>
            <w:tcBorders>
              <w:top w:sz="4" w:val="single" w:color="BFBFBF"/>
              <w:left w:sz="4" w:val="single" w:color="BFBFBF"/>
              <w:bottom w:sz="4" w:val="single" w:color="BFBFBF"/>
              <w:right w:sz="4" w:val="single" w:color="BFBFBF"/>
            </w:tcBorders>
            <w:shd w:fill="D9EAF7"/>
          </w:tcPr>
          <w:p>
            <w:pPr>
              <w:spacing w:after="0"/>
            </w:pPr>
            <w:r>
              <w:rPr>
                <w:rFonts w:ascii="Times New Roman" w:hAnsi="Times New Roman"/>
                <w:b/>
                <w:sz w:val="17"/>
              </w:rPr>
              <w:t>Particulars</w:t>
            </w:r>
          </w:p>
        </w:tc>
        <w:tc>
          <w:tcPr>
            <w:tcW w:type="dxa" w:w="1944"/>
            <w:vAlign w:val="center"/>
            <w:tcBorders>
              <w:top w:sz="4" w:val="single" w:color="BFBFBF"/>
              <w:left w:sz="4" w:val="single" w:color="BFBFBF"/>
              <w:bottom w:sz="4" w:val="single" w:color="BFBFBF"/>
              <w:right w:sz="4" w:val="single" w:color="BFBFBF"/>
            </w:tcBorders>
            <w:shd w:fill="D9EAF7"/>
          </w:tcPr>
          <w:p>
            <w:pPr>
              <w:spacing w:after="0"/>
            </w:pPr>
            <w:r>
              <w:rPr>
                <w:rFonts w:ascii="Times New Roman" w:hAnsi="Times New Roman"/>
                <w:b/>
                <w:sz w:val="17"/>
              </w:rPr>
              <w:t>Amount (Rs.)</w:t>
            </w:r>
          </w:p>
        </w:tc>
      </w:tr>
      <w:tr>
        <w:tc>
          <w:tcPr>
            <w:tcW w:type="dxa" w:w="648"/>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1</w:t>
            </w:r>
          </w:p>
        </w:tc>
        <w:tc>
          <w:tcPr>
            <w:tcW w:type="dxa" w:w="7056"/>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Income received for carriage of passengers departing from Kathmandu</w:t>
            </w:r>
          </w:p>
        </w:tc>
        <w:tc>
          <w:tcPr>
            <w:tcW w:type="dxa" w:w="1944"/>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10,000,000</w:t>
            </w:r>
          </w:p>
        </w:tc>
      </w:tr>
      <w:tr>
        <w:tc>
          <w:tcPr>
            <w:tcW w:type="dxa" w:w="648"/>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2</w:t>
            </w:r>
          </w:p>
        </w:tc>
        <w:tc>
          <w:tcPr>
            <w:tcW w:type="dxa" w:w="7056"/>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Amount received for carriage of goods where Kathmandu is the first point</w:t>
            </w:r>
          </w:p>
        </w:tc>
        <w:tc>
          <w:tcPr>
            <w:tcW w:type="dxa" w:w="1944"/>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5,000,000</w:t>
            </w:r>
          </w:p>
        </w:tc>
      </w:tr>
      <w:tr>
        <w:tc>
          <w:tcPr>
            <w:tcW w:type="dxa" w:w="648"/>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r>
          </w:p>
        </w:tc>
        <w:tc>
          <w:tcPr>
            <w:tcW w:type="dxa" w:w="7056"/>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Total amount includible under Section 70(1)</w:t>
            </w:r>
          </w:p>
        </w:tc>
        <w:tc>
          <w:tcPr>
            <w:tcW w:type="dxa" w:w="1944"/>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15,000,000</w:t>
            </w:r>
          </w:p>
        </w:tc>
      </w:tr>
    </w:tbl>
    <w:p>
      <w:pPr>
        <w:spacing w:after="80" w:line="259" w:lineRule="auto"/>
      </w:pPr>
      <w:r>
        <w:rPr>
          <w:rFonts w:ascii="Times New Roman" w:hAnsi="Times New Roman"/>
          <w:b w:val="0"/>
          <w:i w:val="0"/>
        </w:rPr>
        <w:t>The includible amount above is treated as taxable income of the airline for purposes of Section 70(1). Under Section 70(3), expenses related to computing that amount are not deductible in computing such taxable income. Tax at 5 percent applies to the taxable income under Schedule 1, Section 2(7). The amounts received from passengers transiting through Kathmandu from Bhutan and Lhasa, and the freight received for goods carried from Bhutan and transiting through Kathmandu, are not included in income under this section. The restaurant income and income from providing ground services to other airlines are treated as ordinary business income and taxed at the rate of 25 percent after computing the income of that business.</w:t>
      </w:r>
    </w:p>
    <w:p>
      <w:pPr>
        <w:pStyle w:val="Heading3"/>
        <w:keepNext/>
        <w:spacing w:after="80" w:line="259" w:lineRule="auto" w:before="160"/>
      </w:pPr>
      <w:r>
        <w:rPr>
          <w:rFonts w:ascii="Times New Roman" w:hAnsi="Times New Roman"/>
          <w:b w:val="0"/>
          <w:i w:val="0"/>
        </w:rPr>
        <w:t>14.4.2 Communication Business by Cable, Radio, Optical Fibre or Satellite</w:t>
      </w:r>
    </w:p>
    <w:p>
      <w:pPr>
        <w:spacing w:after="80" w:line="259" w:lineRule="auto"/>
      </w:pPr>
      <w:r>
        <w:rPr>
          <w:rFonts w:ascii="Times New Roman" w:hAnsi="Times New Roman"/>
          <w:b w:val="0"/>
          <w:i w:val="0"/>
        </w:rPr>
        <w:t>Section 67(6)(ja) provides that payments received by a non-resident person from transmitting messages or information through cable, radio, optical fibre or satellite communication business in Nepal, whether or not the message or information originates in Nepal, have a source in Nepal if the transmission is made through equipment established in Nepal. Section 70 deals with the amount to be included in the income of such non-resident person, the applicable rate of tax and expenses that may not be deducted. For purposes of this section, "non-resident person" means a resident entity within a group of associated entities whose head office is outside Nepal.</w:t>
      </w:r>
    </w:p>
    <w:p>
      <w:pPr>
        <w:spacing w:after="80" w:line="259" w:lineRule="auto"/>
      </w:pPr>
      <w:r>
        <w:rPr>
          <w:rFonts w:ascii="Times New Roman" w:hAnsi="Times New Roman"/>
          <w:b/>
          <w:i w:val="0"/>
        </w:rPr>
        <w:t>70(2) The taxable income for an income year of a non-resident person carrying on the business of cable, radio, optical fibre or satellite communication shall include amounts received from the transmission, through equipment established in Nepal, of messages or information whether or not originating in Nepal.</w:t>
      </w:r>
    </w:p>
    <w:p>
      <w:pPr>
        <w:spacing w:after="80" w:line="259" w:lineRule="auto"/>
      </w:pPr>
      <w:r>
        <w:rPr>
          <w:rFonts w:ascii="Times New Roman" w:hAnsi="Times New Roman"/>
          <w:b w:val="0"/>
          <w:i w:val="0"/>
        </w:rPr>
        <w:t>This is a special provision for a non-resident person carrying on a communication business by cable, radio, optical fibre or satellite. Where a message or information, whether originating in Nepal or not, is transmitted through equipment established in Nepal, the income received for that transmission must be included.</w:t>
      </w:r>
    </w:p>
    <w:p>
      <w:pPr>
        <w:spacing w:after="80" w:line="259" w:lineRule="auto"/>
      </w:pPr>
      <w:r>
        <w:rPr>
          <w:rFonts w:ascii="Times New Roman" w:hAnsi="Times New Roman"/>
          <w:b/>
          <w:i w:val="0"/>
        </w:rPr>
        <w:t>Example 14.4.2:</w:t>
      </w:r>
    </w:p>
    <w:p>
      <w:pPr>
        <w:spacing w:after="80" w:line="259" w:lineRule="auto"/>
      </w:pPr>
      <w:r>
        <w:rPr>
          <w:rFonts w:ascii="Times New Roman" w:hAnsi="Times New Roman"/>
          <w:b w:val="0"/>
          <w:i w:val="0"/>
        </w:rPr>
        <w:t>Assume that Super Star TV Network is a non-resident person. It establishes equipment in Kathmandu so that all programmes broadcast by it can be transmitted to viewers in Nepal. Through that equipment, it transmits its programmes to TV cable operators in Nepal and receives a fixed fee from them. Super Star TV Network must include the amount received from the TV cable operators in its income for purposes of this section. The included income is taxable income of Super Star TV Network for purposes of Section 70(2), and under Section 70(3), expenses related to computing that amount are not deductible in computing taxable income. Tax at 5 percent applies to such taxable income under Schedule 1, Section 2(7).</w:t>
      </w:r>
    </w:p>
    <w:p>
      <w:pPr>
        <w:spacing w:after="80" w:line="259" w:lineRule="auto"/>
      </w:pPr>
      <w:r>
        <w:rPr>
          <w:rFonts w:ascii="Times New Roman" w:hAnsi="Times New Roman"/>
          <w:b/>
          <w:i w:val="0"/>
        </w:rPr>
        <w:t>Example 14.4.3:</w:t>
      </w:r>
    </w:p>
    <w:p>
      <w:pPr>
        <w:spacing w:after="80" w:line="259" w:lineRule="auto"/>
      </w:pPr>
      <w:r>
        <w:rPr>
          <w:rFonts w:ascii="Times New Roman" w:hAnsi="Times New Roman"/>
          <w:b w:val="0"/>
          <w:i w:val="0"/>
        </w:rPr>
        <w:t>Assume that HSBC Nepal Bank Limited, registered in Nepal, is a resident bank within the HSBC banking network. The bank installs a device in its office to transmit information among banks in its network. Information flows from that device to all banks in the HSBC network. Since the device is installed in Nepal, tax applies in Nepal under Section 70(2) on the amount received, or deemed to be received, by the HSBC group.</w:t>
      </w:r>
    </w:p>
    <w:p>
      <w:pPr>
        <w:pStyle w:val="Heading3"/>
        <w:keepNext/>
        <w:spacing w:after="80" w:line="259" w:lineRule="auto" w:before="160"/>
      </w:pPr>
      <w:r>
        <w:rPr>
          <w:rFonts w:ascii="Times New Roman" w:hAnsi="Times New Roman"/>
          <w:b w:val="0"/>
          <w:i w:val="0"/>
        </w:rPr>
        <w:t>14.4.3 Applicable Rate of Tax</w:t>
      </w:r>
    </w:p>
    <w:p>
      <w:pPr>
        <w:spacing w:after="80" w:line="259" w:lineRule="auto"/>
      </w:pPr>
      <w:r>
        <w:rPr>
          <w:rFonts w:ascii="Times New Roman" w:hAnsi="Times New Roman"/>
          <w:b w:val="0"/>
          <w:i w:val="0"/>
        </w:rPr>
        <w:t>Section 70(3) provides for the rate of tax on income received by a non-resident person from operating shipping, charter service or air transport in Nepal, and on income includible under subsection (1) and (2) for persons carrying on a communication business through cable, radio, optical fibre or satellite in Nepal:</w:t>
      </w:r>
    </w:p>
    <w:p>
      <w:pPr>
        <w:spacing w:after="80" w:line="259" w:lineRule="auto"/>
      </w:pPr>
      <w:r>
        <w:rPr>
          <w:rFonts w:ascii="Times New Roman" w:hAnsi="Times New Roman"/>
          <w:b/>
          <w:i w:val="0"/>
        </w:rPr>
        <w:t>70(3) Amounts included in the taxable income of a non-resident person under subsection (1) or (2) shall be taxed at the rate specified in Schedule 1, Section 2(7). However: (a) such amounts shall not be taken into account in calculating the tax payable in relation to any remaining taxable income of that person; (b) expenses related to the calculation of such amounts shall not be deducted in calculating the remaining taxable income; and (c) the person shall not be entitled to any tax credit against tax payable under this section in respect of such amounts.</w:t>
      </w:r>
    </w:p>
    <w:p>
      <w:pPr>
        <w:spacing w:after="80" w:line="259" w:lineRule="auto"/>
      </w:pPr>
      <w:r>
        <w:rPr>
          <w:rFonts w:ascii="Times New Roman" w:hAnsi="Times New Roman"/>
          <w:b w:val="0"/>
          <w:i w:val="0"/>
        </w:rPr>
        <w:t>Schedule 1, Section 2(7) provides that tax at 5 percent applies to the taxable income of a non-resident person in relation to income referred to in Section 70. However, in the case of a non-resident person providing shipping, air transport or telecommunication services that do not depart from Nepal to another foreign country, tax applies at the rate of 2 percent.</w:t>
      </w:r>
    </w:p>
    <w:p>
      <w:pPr>
        <w:spacing w:after="80" w:line="259" w:lineRule="auto"/>
      </w:pPr>
      <w:r>
        <w:rPr>
          <w:rFonts w:ascii="Times New Roman" w:hAnsi="Times New Roman"/>
          <w:b w:val="0"/>
          <w:i w:val="0"/>
        </w:rPr>
        <w:t>The Act thus prescribes a separate tax rate for income derived by a non-resident person from operating shipping, charter service, air transport service and communication services by cable, radio, optical fibre or satellite in Nepal. For income included under subsections (1) and (2), tax applies at 5 percent under Schedule 1, Section 2(7). Because expenses connected with earning that income are not deductible, the gross amount itself is taxable. If such person has other income besides the income included under subsections (1) and (2), the other income is not included in the computation under subsection (1) or (2) and is computed as ordinary business income. Expenses incurred to derive income under subsection (1) or (2) cannot be deducted against other income. Similarly, no tax credit is available against tax payable under this section.</w:t>
      </w:r>
    </w:p>
    <w:p>
      <w:pPr>
        <w:spacing w:after="80" w:line="259" w:lineRule="auto"/>
      </w:pPr>
      <w:r>
        <w:rPr>
          <w:rFonts w:ascii="Times New Roman" w:hAnsi="Times New Roman"/>
          <w:b/>
          <w:i w:val="0"/>
        </w:rPr>
        <w:t>Example 14.4.4:</w:t>
      </w:r>
    </w:p>
    <w:p>
      <w:pPr>
        <w:spacing w:after="80" w:line="259" w:lineRule="auto"/>
      </w:pPr>
      <w:r>
        <w:rPr>
          <w:rFonts w:ascii="Times New Roman" w:hAnsi="Times New Roman"/>
          <w:b w:val="0"/>
          <w:i w:val="0"/>
        </w:rPr>
        <w:t>Assume that Sols Airways operates air services between Kathmandu and Riyadh, Saudi Arabia, and operates a branch in Kathmandu to manage air transport. In Shrawan 2080, the airline has the following income from air services and other activities:</w:t>
      </w:r>
    </w:p>
    <w:tbl>
      <w:tblPr>
        <w:tblStyle w:val="TableGrid"/>
        <w:tblW w:type="auto" w:w="0"/>
        <w:jc w:val="center"/>
        <w:tblLook w:firstColumn="1" w:firstRow="1" w:lastColumn="0" w:lastRow="0" w:noHBand="0" w:noVBand="1" w:val="04A0"/>
      </w:tblPr>
      <w:tblGrid>
        <w:gridCol w:w="3456"/>
        <w:gridCol w:w="3456"/>
        <w:gridCol w:w="3456"/>
      </w:tblGrid>
      <w:tr>
        <w:trPr>
          <w:tblHeader w:val="true"/>
        </w:trPr>
        <w:tc>
          <w:tcPr>
            <w:tcW w:type="dxa" w:w="648"/>
            <w:vAlign w:val="center"/>
            <w:tcBorders>
              <w:top w:sz="4" w:val="single" w:color="BFBFBF"/>
              <w:left w:sz="4" w:val="single" w:color="BFBFBF"/>
              <w:bottom w:sz="4" w:val="single" w:color="BFBFBF"/>
              <w:right w:sz="4" w:val="single" w:color="BFBFBF"/>
            </w:tcBorders>
            <w:shd w:fill="D9EAF7"/>
          </w:tcPr>
          <w:p>
            <w:pPr>
              <w:spacing w:after="0"/>
            </w:pPr>
            <w:r>
              <w:rPr>
                <w:rFonts w:ascii="Times New Roman" w:hAnsi="Times New Roman"/>
                <w:b/>
                <w:sz w:val="17"/>
              </w:rPr>
              <w:t>No.</w:t>
            </w:r>
          </w:p>
        </w:tc>
        <w:tc>
          <w:tcPr>
            <w:tcW w:type="dxa" w:w="7056"/>
            <w:vAlign w:val="center"/>
            <w:tcBorders>
              <w:top w:sz="4" w:val="single" w:color="BFBFBF"/>
              <w:left w:sz="4" w:val="single" w:color="BFBFBF"/>
              <w:bottom w:sz="4" w:val="single" w:color="BFBFBF"/>
              <w:right w:sz="4" w:val="single" w:color="BFBFBF"/>
            </w:tcBorders>
            <w:shd w:fill="D9EAF7"/>
          </w:tcPr>
          <w:p>
            <w:pPr>
              <w:spacing w:after="0"/>
            </w:pPr>
            <w:r>
              <w:rPr>
                <w:rFonts w:ascii="Times New Roman" w:hAnsi="Times New Roman"/>
                <w:b/>
                <w:sz w:val="17"/>
              </w:rPr>
              <w:t>Particulars</w:t>
            </w:r>
          </w:p>
        </w:tc>
        <w:tc>
          <w:tcPr>
            <w:tcW w:type="dxa" w:w="1944"/>
            <w:vAlign w:val="center"/>
            <w:tcBorders>
              <w:top w:sz="4" w:val="single" w:color="BFBFBF"/>
              <w:left w:sz="4" w:val="single" w:color="BFBFBF"/>
              <w:bottom w:sz="4" w:val="single" w:color="BFBFBF"/>
              <w:right w:sz="4" w:val="single" w:color="BFBFBF"/>
            </w:tcBorders>
            <w:shd w:fill="D9EAF7"/>
          </w:tcPr>
          <w:p>
            <w:pPr>
              <w:spacing w:after="0"/>
            </w:pPr>
            <w:r>
              <w:rPr>
                <w:rFonts w:ascii="Times New Roman" w:hAnsi="Times New Roman"/>
                <w:b/>
                <w:sz w:val="17"/>
              </w:rPr>
              <w:t>Amount (Rs.)</w:t>
            </w:r>
          </w:p>
        </w:tc>
      </w:tr>
      <w:tr>
        <w:tc>
          <w:tcPr>
            <w:tcW w:type="dxa" w:w="648"/>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1</w:t>
            </w:r>
          </w:p>
        </w:tc>
        <w:tc>
          <w:tcPr>
            <w:tcW w:type="dxa" w:w="7056"/>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Amount received for passengers departing from Kathmandu</w:t>
            </w:r>
          </w:p>
        </w:tc>
        <w:tc>
          <w:tcPr>
            <w:tcW w:type="dxa" w:w="1944"/>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10,000,000</w:t>
            </w:r>
          </w:p>
        </w:tc>
      </w:tr>
      <w:tr>
        <w:tc>
          <w:tcPr>
            <w:tcW w:type="dxa" w:w="648"/>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2</w:t>
            </w:r>
          </w:p>
        </w:tc>
        <w:tc>
          <w:tcPr>
            <w:tcW w:type="dxa" w:w="7056"/>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Amount received for goods carried with Kathmandu as the first point</w:t>
            </w:r>
          </w:p>
        </w:tc>
        <w:tc>
          <w:tcPr>
            <w:tcW w:type="dxa" w:w="1944"/>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5,000,000</w:t>
            </w:r>
          </w:p>
        </w:tc>
      </w:tr>
      <w:tr>
        <w:tc>
          <w:tcPr>
            <w:tcW w:type="dxa" w:w="648"/>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3</w:t>
            </w:r>
          </w:p>
        </w:tc>
        <w:tc>
          <w:tcPr>
            <w:tcW w:type="dxa" w:w="7056"/>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Amount received from passengers transiting Kathmandu from Bhutan and Lhasa</w:t>
            </w:r>
          </w:p>
        </w:tc>
        <w:tc>
          <w:tcPr>
            <w:tcW w:type="dxa" w:w="1944"/>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5,000,000</w:t>
            </w:r>
          </w:p>
        </w:tc>
      </w:tr>
      <w:tr>
        <w:tc>
          <w:tcPr>
            <w:tcW w:type="dxa" w:w="648"/>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4</w:t>
            </w:r>
          </w:p>
        </w:tc>
        <w:tc>
          <w:tcPr>
            <w:tcW w:type="dxa" w:w="7056"/>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Freight received for goods transported from Bhutan to Kathmandu and from Kathmandu onward</w:t>
            </w:r>
          </w:p>
        </w:tc>
        <w:tc>
          <w:tcPr>
            <w:tcW w:type="dxa" w:w="1944"/>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5,000,000</w:t>
            </w:r>
          </w:p>
        </w:tc>
      </w:tr>
      <w:tr>
        <w:tc>
          <w:tcPr>
            <w:tcW w:type="dxa" w:w="648"/>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5</w:t>
            </w:r>
          </w:p>
        </w:tc>
        <w:tc>
          <w:tcPr>
            <w:tcW w:type="dxa" w:w="7056"/>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Amount received from restaurant operated at Kathmandu airport for air-passenger convenience</w:t>
            </w:r>
          </w:p>
        </w:tc>
        <w:tc>
          <w:tcPr>
            <w:tcW w:type="dxa" w:w="1944"/>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2,500,000</w:t>
            </w:r>
          </w:p>
        </w:tc>
      </w:tr>
      <w:tr>
        <w:tc>
          <w:tcPr>
            <w:tcW w:type="dxa" w:w="648"/>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6</w:t>
            </w:r>
          </w:p>
        </w:tc>
        <w:tc>
          <w:tcPr>
            <w:tcW w:type="dxa" w:w="7056"/>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Amount received for providing ground services in the operation of other airlines</w:t>
            </w:r>
          </w:p>
        </w:tc>
        <w:tc>
          <w:tcPr>
            <w:tcW w:type="dxa" w:w="1944"/>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2,500,000</w:t>
            </w:r>
          </w:p>
        </w:tc>
      </w:tr>
      <w:tr>
        <w:tc>
          <w:tcPr>
            <w:tcW w:type="dxa" w:w="648"/>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r>
          </w:p>
        </w:tc>
        <w:tc>
          <w:tcPr>
            <w:tcW w:type="dxa" w:w="7056"/>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Total income</w:t>
            </w:r>
          </w:p>
        </w:tc>
        <w:tc>
          <w:tcPr>
            <w:tcW w:type="dxa" w:w="1944"/>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30,000,000</w:t>
            </w:r>
          </w:p>
        </w:tc>
      </w:tr>
    </w:tbl>
    <w:p>
      <w:pPr>
        <w:spacing w:after="80" w:line="259" w:lineRule="auto"/>
      </w:pPr>
      <w:r>
        <w:rPr>
          <w:rFonts w:ascii="Times New Roman" w:hAnsi="Times New Roman"/>
          <w:b w:val="0"/>
          <w:i w:val="0"/>
        </w:rPr>
        <w:t>Sols Airways incurs the following expenses to derive the above income:</w:t>
      </w:r>
    </w:p>
    <w:tbl>
      <w:tblPr>
        <w:tblStyle w:val="TableGrid"/>
        <w:tblW w:type="auto" w:w="0"/>
        <w:jc w:val="center"/>
        <w:tblLook w:firstColumn="1" w:firstRow="1" w:lastColumn="0" w:lastRow="0" w:noHBand="0" w:noVBand="1" w:val="04A0"/>
      </w:tblPr>
      <w:tblGrid>
        <w:gridCol w:w="3456"/>
        <w:gridCol w:w="3456"/>
        <w:gridCol w:w="3456"/>
      </w:tblGrid>
      <w:tr>
        <w:trPr>
          <w:tblHeader w:val="true"/>
        </w:trPr>
        <w:tc>
          <w:tcPr>
            <w:tcW w:type="dxa" w:w="648"/>
            <w:vAlign w:val="center"/>
            <w:tcBorders>
              <w:top w:sz="4" w:val="single" w:color="BFBFBF"/>
              <w:left w:sz="4" w:val="single" w:color="BFBFBF"/>
              <w:bottom w:sz="4" w:val="single" w:color="BFBFBF"/>
              <w:right w:sz="4" w:val="single" w:color="BFBFBF"/>
            </w:tcBorders>
            <w:shd w:fill="D9EAF7"/>
          </w:tcPr>
          <w:p>
            <w:pPr>
              <w:spacing w:after="0"/>
            </w:pPr>
            <w:r>
              <w:rPr>
                <w:rFonts w:ascii="Times New Roman" w:hAnsi="Times New Roman"/>
                <w:b/>
                <w:sz w:val="17"/>
              </w:rPr>
              <w:t>No.</w:t>
            </w:r>
          </w:p>
        </w:tc>
        <w:tc>
          <w:tcPr>
            <w:tcW w:type="dxa" w:w="7056"/>
            <w:vAlign w:val="center"/>
            <w:tcBorders>
              <w:top w:sz="4" w:val="single" w:color="BFBFBF"/>
              <w:left w:sz="4" w:val="single" w:color="BFBFBF"/>
              <w:bottom w:sz="4" w:val="single" w:color="BFBFBF"/>
              <w:right w:sz="4" w:val="single" w:color="BFBFBF"/>
            </w:tcBorders>
            <w:shd w:fill="D9EAF7"/>
          </w:tcPr>
          <w:p>
            <w:pPr>
              <w:spacing w:after="0"/>
            </w:pPr>
            <w:r>
              <w:rPr>
                <w:rFonts w:ascii="Times New Roman" w:hAnsi="Times New Roman"/>
                <w:b/>
                <w:sz w:val="17"/>
              </w:rPr>
              <w:t>Particulars</w:t>
            </w:r>
          </w:p>
        </w:tc>
        <w:tc>
          <w:tcPr>
            <w:tcW w:type="dxa" w:w="1944"/>
            <w:vAlign w:val="center"/>
            <w:tcBorders>
              <w:top w:sz="4" w:val="single" w:color="BFBFBF"/>
              <w:left w:sz="4" w:val="single" w:color="BFBFBF"/>
              <w:bottom w:sz="4" w:val="single" w:color="BFBFBF"/>
              <w:right w:sz="4" w:val="single" w:color="BFBFBF"/>
            </w:tcBorders>
            <w:shd w:fill="D9EAF7"/>
          </w:tcPr>
          <w:p>
            <w:pPr>
              <w:spacing w:after="0"/>
            </w:pPr>
            <w:r>
              <w:rPr>
                <w:rFonts w:ascii="Times New Roman" w:hAnsi="Times New Roman"/>
                <w:b/>
                <w:sz w:val="17"/>
              </w:rPr>
              <w:t>Amount (Rs.)</w:t>
            </w:r>
          </w:p>
        </w:tc>
      </w:tr>
      <w:tr>
        <w:tc>
          <w:tcPr>
            <w:tcW w:type="dxa" w:w="648"/>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7</w:t>
            </w:r>
          </w:p>
        </w:tc>
        <w:tc>
          <w:tcPr>
            <w:tcW w:type="dxa" w:w="7056"/>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Expenses relating to air tickets</w:t>
            </w:r>
          </w:p>
        </w:tc>
        <w:tc>
          <w:tcPr>
            <w:tcW w:type="dxa" w:w="1944"/>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5,000,000</w:t>
            </w:r>
          </w:p>
        </w:tc>
      </w:tr>
      <w:tr>
        <w:tc>
          <w:tcPr>
            <w:tcW w:type="dxa" w:w="648"/>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8</w:t>
            </w:r>
          </w:p>
        </w:tc>
        <w:tc>
          <w:tcPr>
            <w:tcW w:type="dxa" w:w="7056"/>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Hotel and meal expenses of crew</w:t>
            </w:r>
          </w:p>
        </w:tc>
        <w:tc>
          <w:tcPr>
            <w:tcW w:type="dxa" w:w="1944"/>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5,000,000</w:t>
            </w:r>
          </w:p>
        </w:tc>
      </w:tr>
      <w:tr>
        <w:tc>
          <w:tcPr>
            <w:tcW w:type="dxa" w:w="648"/>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9</w:t>
            </w:r>
          </w:p>
        </w:tc>
        <w:tc>
          <w:tcPr>
            <w:tcW w:type="dxa" w:w="7056"/>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Expenses incurred in operating ground services</w:t>
            </w:r>
          </w:p>
        </w:tc>
        <w:tc>
          <w:tcPr>
            <w:tcW w:type="dxa" w:w="1944"/>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3,000,000</w:t>
            </w:r>
          </w:p>
        </w:tc>
      </w:tr>
      <w:tr>
        <w:tc>
          <w:tcPr>
            <w:tcW w:type="dxa" w:w="648"/>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10</w:t>
            </w:r>
          </w:p>
        </w:tc>
        <w:tc>
          <w:tcPr>
            <w:tcW w:type="dxa" w:w="7056"/>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Expenses incurred in operating restaurant</w:t>
            </w:r>
          </w:p>
        </w:tc>
        <w:tc>
          <w:tcPr>
            <w:tcW w:type="dxa" w:w="1944"/>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2,000,000</w:t>
            </w:r>
          </w:p>
        </w:tc>
      </w:tr>
      <w:tr>
        <w:tc>
          <w:tcPr>
            <w:tcW w:type="dxa" w:w="648"/>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11</w:t>
            </w:r>
          </w:p>
        </w:tc>
        <w:tc>
          <w:tcPr>
            <w:tcW w:type="dxa" w:w="7056"/>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Expenses relating to passengers arriving from Bhutan and Lhasa</w:t>
            </w:r>
          </w:p>
        </w:tc>
        <w:tc>
          <w:tcPr>
            <w:tcW w:type="dxa" w:w="1944"/>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5,000,000</w:t>
            </w:r>
          </w:p>
        </w:tc>
      </w:tr>
      <w:tr>
        <w:tc>
          <w:tcPr>
            <w:tcW w:type="dxa" w:w="648"/>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12</w:t>
            </w:r>
          </w:p>
        </w:tc>
        <w:tc>
          <w:tcPr>
            <w:tcW w:type="dxa" w:w="7056"/>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Expenses incurred for onward carriage of goods transported from Bhutan</w:t>
            </w:r>
          </w:p>
        </w:tc>
        <w:tc>
          <w:tcPr>
            <w:tcW w:type="dxa" w:w="1944"/>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5,000,000</w:t>
            </w:r>
          </w:p>
        </w:tc>
      </w:tr>
      <w:tr>
        <w:tc>
          <w:tcPr>
            <w:tcW w:type="dxa" w:w="648"/>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r>
          </w:p>
        </w:tc>
        <w:tc>
          <w:tcPr>
            <w:tcW w:type="dxa" w:w="7056"/>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Total expenses</w:t>
            </w:r>
          </w:p>
        </w:tc>
        <w:tc>
          <w:tcPr>
            <w:tcW w:type="dxa" w:w="1944"/>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25,000,000</w:t>
            </w:r>
          </w:p>
        </w:tc>
      </w:tr>
    </w:tbl>
    <w:p>
      <w:pPr>
        <w:spacing w:after="80" w:line="259" w:lineRule="auto"/>
      </w:pPr>
      <w:r>
        <w:rPr>
          <w:rFonts w:ascii="Times New Roman" w:hAnsi="Times New Roman"/>
          <w:b w:val="0"/>
          <w:i w:val="0"/>
        </w:rPr>
        <w:t>Note: In that income year Sols Airways handled ground management for 100 of its own flights and 100 flights of other airlines, i.e. 200 flights in total.</w:t>
      </w:r>
    </w:p>
    <w:p>
      <w:pPr>
        <w:spacing w:after="80" w:line="259" w:lineRule="auto"/>
      </w:pPr>
      <w:r>
        <w:rPr>
          <w:rFonts w:ascii="Times New Roman" w:hAnsi="Times New Roman"/>
          <w:b w:val="0"/>
          <w:i w:val="0"/>
        </w:rPr>
        <w:t>For purposes of Section 70, the includible income, other income and deductible expenses of the non-resident person are as follows:</w:t>
      </w:r>
    </w:p>
    <w:p>
      <w:pPr>
        <w:pStyle w:val="ListNumber"/>
        <w:spacing w:after="80" w:line="259" w:lineRule="auto"/>
      </w:pPr>
      <w:r>
        <w:rPr>
          <w:rFonts w:ascii="Times New Roman" w:hAnsi="Times New Roman"/>
        </w:rPr>
        <w:t>For Section 70 purposes, only the income in items 1 and 2 amounting to Rs. 15,000,000 is included for Shrawan. Tax of Rs. 750,000 applies at 5 percent under Schedule 1, Section 2(7).</w:t>
      </w:r>
    </w:p>
    <w:p>
      <w:pPr>
        <w:pStyle w:val="ListNumber"/>
        <w:spacing w:after="80" w:line="259" w:lineRule="auto"/>
      </w:pPr>
      <w:r>
        <w:rPr>
          <w:rFonts w:ascii="Times New Roman" w:hAnsi="Times New Roman"/>
        </w:rPr>
        <w:t>Income in items 3 and 4 amounting to Rs. 10,000,000 is not Nepal-source income for this purpose and is not taxable under the Income Tax Act, 2058.</w:t>
      </w:r>
    </w:p>
    <w:p>
      <w:pPr>
        <w:pStyle w:val="ListNumber"/>
        <w:spacing w:after="80" w:line="259" w:lineRule="auto"/>
      </w:pPr>
      <w:r>
        <w:rPr>
          <w:rFonts w:ascii="Times New Roman" w:hAnsi="Times New Roman"/>
        </w:rPr>
        <w:t>Income in items 5 and 6 is not income under Section 70. It is ordinary business income and taxable income computed therefrom is taxed at the rate applicable to an entity.</w:t>
      </w:r>
    </w:p>
    <w:p>
      <w:pPr>
        <w:pStyle w:val="ListNumber"/>
        <w:spacing w:after="80" w:line="259" w:lineRule="auto"/>
      </w:pPr>
      <w:r>
        <w:rPr>
          <w:rFonts w:ascii="Times New Roman" w:hAnsi="Times New Roman"/>
        </w:rPr>
        <w:t>In computing income under items 5 and 6, expenses incurred to derive that income are deductible.</w:t>
      </w:r>
    </w:p>
    <w:p>
      <w:pPr>
        <w:pStyle w:val="ListNumber"/>
        <w:spacing w:after="80" w:line="259" w:lineRule="auto"/>
      </w:pPr>
      <w:r>
        <w:rPr>
          <w:rFonts w:ascii="Times New Roman" w:hAnsi="Times New Roman"/>
        </w:rPr>
        <w:t>Expenses in items 7, 8 and the portion of item 9 relating to ground handling of its own air services are expenses incurred for purposes of Section 70, but no expense is deductible from income under Section 70.</w:t>
      </w:r>
    </w:p>
    <w:p>
      <w:pPr>
        <w:pStyle w:val="ListNumber"/>
        <w:spacing w:after="80" w:line="259" w:lineRule="auto"/>
      </w:pPr>
      <w:r>
        <w:rPr>
          <w:rFonts w:ascii="Times New Roman" w:hAnsi="Times New Roman"/>
        </w:rPr>
        <w:t>Expenses in items 11 and 12 are incurred for income not taxable in Nepal and are not deductible.</w:t>
      </w:r>
    </w:p>
    <w:p>
      <w:pPr>
        <w:pStyle w:val="ListNumber"/>
        <w:spacing w:after="80" w:line="259" w:lineRule="auto"/>
      </w:pPr>
      <w:r>
        <w:rPr>
          <w:rFonts w:ascii="Times New Roman" w:hAnsi="Times New Roman"/>
        </w:rPr>
        <w:t>For income in items 5 and 6, deductible expenses are one-half of ground-service expenses, Rs. 1,500,000, and restaurant operating expenses, Rs. 2,000,000, totalling Rs. 3,500,000.</w:t>
      </w:r>
    </w:p>
    <w:p>
      <w:pPr>
        <w:pStyle w:val="ListNumber"/>
        <w:spacing w:after="80" w:line="259" w:lineRule="auto"/>
      </w:pPr>
      <w:r>
        <w:rPr>
          <w:rFonts w:ascii="Times New Roman" w:hAnsi="Times New Roman"/>
        </w:rPr>
        <w:t>Income in items 5 and 6 totals Rs. 5,000,000. After deducting expenses of Rs. 3,500,000 under item 7 above, the balance of Rs. 1,500,000 is subject to corporate tax at 25 percent.</w:t>
      </w:r>
    </w:p>
    <w:p>
      <w:pPr>
        <w:spacing w:after="80" w:line="259" w:lineRule="auto"/>
      </w:pPr>
      <w:r>
        <w:rPr>
          <w:rFonts w:ascii="Times New Roman" w:hAnsi="Times New Roman"/>
          <w:b/>
          <w:i w:val="0"/>
        </w:rPr>
        <w:t>Example 14.4.5:</w:t>
      </w:r>
    </w:p>
    <w:p>
      <w:pPr>
        <w:spacing w:after="80" w:line="259" w:lineRule="auto"/>
      </w:pPr>
      <w:r>
        <w:rPr>
          <w:rFonts w:ascii="Times New Roman" w:hAnsi="Times New Roman"/>
          <w:b w:val="0"/>
          <w:i w:val="0"/>
        </w:rPr>
        <w:t>Assume that Alpha Airways, registered in Malaysia, does not operate flight services in Nepal. However, through a sales agent, it sells tickets and provides services worth Rs. 50,000,000 during the income year to passengers departing from Bangkok to other countries. In this situation, under Section 70 and Schedule 1, Section 2(7), tax of Rs. 1,000,000, being 2 percent of Rs. 50,000,000, applies under the proviso to Schedule 1, Section 2(7), because services are provided to passengers departing from Bangkok.</w:t>
      </w:r>
    </w:p>
    <w:p>
      <w:pPr>
        <w:pStyle w:val="Heading2"/>
        <w:keepNext/>
        <w:spacing w:after="80" w:line="259" w:lineRule="auto" w:before="160"/>
      </w:pPr>
      <w:r>
        <w:rPr>
          <w:rFonts w:ascii="Times New Roman" w:hAnsi="Times New Roman"/>
          <w:b w:val="0"/>
          <w:i w:val="0"/>
        </w:rPr>
        <w:t>14.5 Foreign Tax Adjustment</w:t>
      </w:r>
    </w:p>
    <w:p>
      <w:pPr>
        <w:pStyle w:val="Heading3"/>
        <w:keepNext/>
        <w:spacing w:after="80" w:line="259" w:lineRule="auto" w:before="160"/>
      </w:pPr>
      <w:r>
        <w:rPr>
          <w:rFonts w:ascii="Times New Roman" w:hAnsi="Times New Roman"/>
          <w:b w:val="0"/>
          <w:i w:val="0"/>
        </w:rPr>
        <w:t>14.5.1 Provision Allowing Foreign Tax Adjustment</w:t>
      </w:r>
    </w:p>
    <w:p>
      <w:pPr>
        <w:spacing w:after="80" w:line="259" w:lineRule="auto"/>
      </w:pPr>
      <w:r>
        <w:rPr>
          <w:rFonts w:ascii="Times New Roman" w:hAnsi="Times New Roman"/>
          <w:b w:val="0"/>
          <w:i w:val="0"/>
        </w:rPr>
        <w:t>The Act provides that wherever a resident person of Nepal derives income anywhere in the world, such income must be included in Nepalese income and income tax must be paid. Where a resident person derives income outside Nepal from business, employment, investment or casual gains, the person may have paid tax under the income tax law of the country where the income was derived. Since the income derived anywhere by a resident person must be included in Nepalese income and tax must be paid in Nepal, and since tax may already have been paid on foreign income in the foreign country, double taxation may arise. To avoid double taxation on the same income, Section 71 of the Act provides a foreign tax adjustment facility.</w:t>
      </w:r>
    </w:p>
    <w:p>
      <w:pPr>
        <w:spacing w:after="80" w:line="259" w:lineRule="auto"/>
      </w:pPr>
      <w:r>
        <w:rPr>
          <w:rFonts w:ascii="Times New Roman" w:hAnsi="Times New Roman"/>
          <w:b/>
          <w:i w:val="0"/>
        </w:rPr>
        <w:t>71(1) A resident person may claim, in an income year, a credit for any foreign income tax paid by that person, to the extent that such tax was paid in respect of the person’s assessable foreign income for that income year.</w:t>
      </w:r>
    </w:p>
    <w:p>
      <w:pPr>
        <w:spacing w:after="80" w:line="259" w:lineRule="auto"/>
      </w:pPr>
      <w:r>
        <w:rPr>
          <w:rFonts w:ascii="Times New Roman" w:hAnsi="Times New Roman"/>
          <w:b w:val="0"/>
          <w:i w:val="0"/>
        </w:rPr>
        <w:t>This provision allows a resident person to claim a tax credit to the extent of the tax paid on the person’s assessable foreign income. To claim foreign tax adjustment, the person must have paid tax in the foreign country.</w:t>
      </w:r>
    </w:p>
    <w:p>
      <w:pPr>
        <w:spacing w:after="80" w:line="259" w:lineRule="auto"/>
      </w:pPr>
      <w:r>
        <w:rPr>
          <w:rFonts w:ascii="Times New Roman" w:hAnsi="Times New Roman"/>
          <w:b/>
          <w:i w:val="0"/>
        </w:rPr>
        <w:t>Example 14.5.1:</w:t>
      </w:r>
    </w:p>
    <w:p>
      <w:pPr>
        <w:spacing w:after="80" w:line="259" w:lineRule="auto"/>
      </w:pPr>
      <w:r>
        <w:rPr>
          <w:rFonts w:ascii="Times New Roman" w:hAnsi="Times New Roman"/>
          <w:b w:val="0"/>
          <w:i w:val="0"/>
        </w:rPr>
        <w:t>Assume that Ms. Rameshwari Sharma is employed in Nepal and derives income from employment. She works in Shubh Laxmi Bank in Nepal in income year 2080/81. From Magh to Chaitra 2080 she takes three months’ leave from her bank and works at May Bank in Malaysia. She earns income of Rs. 300,000 for three months of work at that bank. Under Malaysian income tax law, Rs. 60,000 is deposited as income tax on that Rs. 300,000 income. In this situation, while filing her income return in Nepal by including the Rs. 300,000 income earned in Malaysia, Ms. Rameshwari Sharma may claim credit under Section 71 for the tax paid in Malaysia.</w:t>
      </w:r>
    </w:p>
    <w:p>
      <w:pPr>
        <w:pStyle w:val="Heading3"/>
        <w:keepNext/>
        <w:spacing w:after="80" w:line="259" w:lineRule="auto" w:before="160"/>
      </w:pPr>
      <w:r>
        <w:rPr>
          <w:rFonts w:ascii="Times New Roman" w:hAnsi="Times New Roman"/>
          <w:b w:val="0"/>
          <w:i w:val="0"/>
        </w:rPr>
        <w:t>14.5.2 Procedure for Foreign Tax Adjustment</w:t>
      </w:r>
    </w:p>
    <w:p>
      <w:pPr>
        <w:spacing w:after="80" w:line="259" w:lineRule="auto"/>
      </w:pPr>
      <w:r>
        <w:rPr>
          <w:rFonts w:ascii="Times New Roman" w:hAnsi="Times New Roman"/>
          <w:b w:val="0"/>
          <w:i w:val="0"/>
        </w:rPr>
        <w:t>Section 71(2), (3) and (4) provide the procedure for foreign tax adjustment as follows:</w:t>
      </w:r>
    </w:p>
    <w:p>
      <w:pPr>
        <w:spacing w:after="80" w:line="259" w:lineRule="auto"/>
      </w:pPr>
      <w:r>
        <w:rPr>
          <w:rFonts w:ascii="Times New Roman" w:hAnsi="Times New Roman"/>
          <w:b/>
          <w:i w:val="0"/>
        </w:rPr>
        <w:t>71(2) In calculating foreign tax adjustment claimed under subsection (1): (a) separate calculations shall be made for assessable foreign income from the source in each country; and (b) for each calculation, no credit shall be allowed at a rate of foreign tax on assessable foreign income higher than Nepal’s average rate of tax for that person for that year.</w:t>
      </w:r>
    </w:p>
    <w:p>
      <w:pPr>
        <w:spacing w:after="80" w:line="259" w:lineRule="auto"/>
      </w:pPr>
      <w:r>
        <w:rPr>
          <w:rFonts w:ascii="Times New Roman" w:hAnsi="Times New Roman"/>
          <w:b w:val="0"/>
          <w:i w:val="0"/>
        </w:rPr>
        <w:t>When claiming credit for foreign tax paid on income earned abroad, if the tax paid abroad is higher than Nepal’s average rate of tax, the Income Tax Act of Nepal does not permit credit for the amount exceeding Nepal’s average rate. The credit facility is intended to relieve double taxation where a person includes foreign income in Nepal and pays Nepalese tax, but it is controlled so that a person cannot credit more foreign tax than the tax payable in Nepal on that income.</w:t>
      </w:r>
    </w:p>
    <w:p>
      <w:pPr>
        <w:spacing w:after="80" w:line="259" w:lineRule="auto"/>
      </w:pPr>
      <w:r>
        <w:rPr>
          <w:rFonts w:ascii="Times New Roman" w:hAnsi="Times New Roman"/>
          <w:b w:val="0"/>
          <w:i w:val="0"/>
        </w:rPr>
        <w:t>If a resident person has foreign income in more than one country and has paid tax in those countries, the foreign tax adjustment must be claimed separately country by country. Foreign income from several countries and foreign tax paid in those countries cannot be claimed as a single aggregate credit.</w:t>
      </w:r>
    </w:p>
    <w:p>
      <w:pPr>
        <w:spacing w:after="80" w:line="259" w:lineRule="auto"/>
      </w:pPr>
      <w:r>
        <w:rPr>
          <w:rFonts w:ascii="Times New Roman" w:hAnsi="Times New Roman"/>
          <w:b w:val="0"/>
          <w:i w:val="0"/>
        </w:rPr>
        <w:t>For this purpose, Section 71 explains "assessable foreign income" and "Nepal’s average rate of tax" as follows:</w:t>
      </w:r>
    </w:p>
    <w:p>
      <w:pPr>
        <w:spacing w:after="80" w:line="259" w:lineRule="auto"/>
      </w:pPr>
      <w:r>
        <w:rPr>
          <w:rFonts w:ascii="Times New Roman" w:hAnsi="Times New Roman"/>
          <w:b w:val="0"/>
          <w:i w:val="0"/>
        </w:rPr>
        <w:t>(a) "Assessable foreign income" means income included in the assessable income of a resident person for an income year from employment, business or investment, which is: (1) income from a foreign source; or (2) income of a non-resident person, from whatever source, deemed to be distributed to that resident person under Section 69.</w:t>
      </w:r>
    </w:p>
    <w:p>
      <w:pPr>
        <w:spacing w:after="80" w:line="259" w:lineRule="auto"/>
      </w:pPr>
      <w:r>
        <w:rPr>
          <w:rFonts w:ascii="Times New Roman" w:hAnsi="Times New Roman"/>
          <w:b w:val="0"/>
          <w:i w:val="0"/>
        </w:rPr>
        <w:t>(b) "Nepal’s average rate of tax" means the rate obtained by dividing the amount of tax payable by the person referred to in Section 3(a), before claiming any foreign tax adjustment for an income year, by the taxable income of that person for that income year and multiplying the result by one hundred.</w:t>
      </w:r>
    </w:p>
    <w:p>
      <w:pPr>
        <w:spacing w:after="80" w:line="259" w:lineRule="auto"/>
      </w:pPr>
      <w:r>
        <w:rPr>
          <w:rFonts w:ascii="Times New Roman" w:hAnsi="Times New Roman"/>
          <w:b w:val="0"/>
          <w:i w:val="0"/>
        </w:rPr>
        <w:t>Nepal’s average rate of tax may be expressed as:</w:t>
      </w:r>
    </w:p>
    <w:p>
      <w:pPr>
        <w:spacing w:after="80" w:line="259" w:lineRule="auto"/>
      </w:pPr>
      <w:r>
        <w:rPr>
          <w:rFonts w:ascii="Times New Roman" w:hAnsi="Times New Roman"/>
          <w:b/>
          <w:i w:val="0"/>
        </w:rPr>
        <w:t>Average tax rate = (Total tax payable before foreign tax adjustment / Taxable income) x 100%</w:t>
      </w:r>
    </w:p>
    <w:p>
      <w:pPr>
        <w:spacing w:after="80" w:line="259" w:lineRule="auto"/>
      </w:pPr>
      <w:r>
        <w:rPr>
          <w:rFonts w:ascii="Times New Roman" w:hAnsi="Times New Roman"/>
          <w:b/>
          <w:i w:val="0"/>
        </w:rPr>
        <w:t>Example 14.5.2:</w:t>
      </w:r>
    </w:p>
    <w:p>
      <w:pPr>
        <w:spacing w:after="80" w:line="259" w:lineRule="auto"/>
      </w:pPr>
      <w:r>
        <w:rPr>
          <w:rFonts w:ascii="Times New Roman" w:hAnsi="Times New Roman"/>
          <w:b w:val="0"/>
          <w:i w:val="0"/>
        </w:rPr>
        <w:t>In Example 14.5.1 above, Ms. Rameshwari Sharma receives remuneration of Rs. 800,000 from Shubh Laxmi Bank in Nepal in income year 2080/81. Of that amount, Shubh Laxmi Bank deposits Rs. 200,000 in an approved retirement fund on her behalf. From Magh to Chaitra 2080, she takes three months’ leave and works at May Bank in Malaysia, earning Rs. 300,000. Tax of Rs. 60,000 is paid in Malaysia on that income. If she declares herself as a single person for tax purposes, the amount she may claim as foreign tax adjustment while paying tax under her income return is calculated as follows:</w:t>
      </w:r>
    </w:p>
    <w:tbl>
      <w:tblPr>
        <w:tblStyle w:val="TableGrid"/>
        <w:tblW w:type="auto" w:w="0"/>
        <w:jc w:val="center"/>
        <w:tblLook w:firstColumn="1" w:firstRow="1" w:lastColumn="0" w:lastRow="0" w:noHBand="0" w:noVBand="1" w:val="04A0"/>
      </w:tblPr>
      <w:tblGrid>
        <w:gridCol w:w="3456"/>
        <w:gridCol w:w="3456"/>
        <w:gridCol w:w="3456"/>
      </w:tblGrid>
      <w:tr>
        <w:trPr>
          <w:tblHeader w:val="true"/>
        </w:trPr>
        <w:tc>
          <w:tcPr>
            <w:tcW w:type="dxa" w:w="6048"/>
            <w:vAlign w:val="center"/>
            <w:tcBorders>
              <w:top w:sz="4" w:val="single" w:color="BFBFBF"/>
              <w:left w:sz="4" w:val="single" w:color="BFBFBF"/>
              <w:bottom w:sz="4" w:val="single" w:color="BFBFBF"/>
              <w:right w:sz="4" w:val="single" w:color="BFBFBF"/>
            </w:tcBorders>
            <w:shd w:fill="D9EAF7"/>
          </w:tcPr>
          <w:p>
            <w:pPr>
              <w:spacing w:after="0"/>
            </w:pPr>
            <w:r>
              <w:rPr>
                <w:rFonts w:ascii="Times New Roman" w:hAnsi="Times New Roman"/>
                <w:b/>
                <w:sz w:val="17"/>
              </w:rPr>
              <w:t>Particulars</w:t>
            </w:r>
          </w:p>
        </w:tc>
        <w:tc>
          <w:tcPr>
            <w:tcW w:type="dxa" w:w="1800"/>
            <w:vAlign w:val="center"/>
            <w:tcBorders>
              <w:top w:sz="4" w:val="single" w:color="BFBFBF"/>
              <w:left w:sz="4" w:val="single" w:color="BFBFBF"/>
              <w:bottom w:sz="4" w:val="single" w:color="BFBFBF"/>
              <w:right w:sz="4" w:val="single" w:color="BFBFBF"/>
            </w:tcBorders>
            <w:shd w:fill="D9EAF7"/>
          </w:tcPr>
          <w:p>
            <w:pPr>
              <w:spacing w:after="0"/>
            </w:pPr>
            <w:r>
              <w:rPr>
                <w:rFonts w:ascii="Times New Roman" w:hAnsi="Times New Roman"/>
                <w:b/>
                <w:sz w:val="17"/>
              </w:rPr>
              <w:t>Amount (Rs.)</w:t>
            </w:r>
          </w:p>
        </w:tc>
        <w:tc>
          <w:tcPr>
            <w:tcW w:type="dxa" w:w="1800"/>
            <w:vAlign w:val="center"/>
            <w:tcBorders>
              <w:top w:sz="4" w:val="single" w:color="BFBFBF"/>
              <w:left w:sz="4" w:val="single" w:color="BFBFBF"/>
              <w:bottom w:sz="4" w:val="single" w:color="BFBFBF"/>
              <w:right w:sz="4" w:val="single" w:color="BFBFBF"/>
            </w:tcBorders>
            <w:shd w:fill="D9EAF7"/>
          </w:tcPr>
          <w:p>
            <w:pPr>
              <w:spacing w:after="0"/>
            </w:pPr>
            <w:r>
              <w:rPr>
                <w:rFonts w:ascii="Times New Roman" w:hAnsi="Times New Roman"/>
                <w:b/>
                <w:sz w:val="17"/>
              </w:rPr>
              <w:t>Amount (Rs.)</w:t>
            </w:r>
          </w:p>
        </w:tc>
      </w:tr>
      <w:tr>
        <w:tc>
          <w:tcPr>
            <w:tcW w:type="dxa" w:w="6048"/>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Employment income from Nepal</w:t>
            </w:r>
          </w:p>
        </w:tc>
        <w:tc>
          <w:tcPr>
            <w:tcW w:type="dxa" w:w="1800"/>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r>
          </w:p>
        </w:tc>
        <w:tc>
          <w:tcPr>
            <w:tcW w:type="dxa" w:w="1800"/>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800,000</w:t>
            </w:r>
          </w:p>
        </w:tc>
      </w:tr>
      <w:tr>
        <w:tc>
          <w:tcPr>
            <w:tcW w:type="dxa" w:w="6048"/>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Employment income from Malaysia</w:t>
            </w:r>
          </w:p>
        </w:tc>
        <w:tc>
          <w:tcPr>
            <w:tcW w:type="dxa" w:w="1800"/>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r>
          </w:p>
        </w:tc>
        <w:tc>
          <w:tcPr>
            <w:tcW w:type="dxa" w:w="1800"/>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300,000</w:t>
            </w:r>
          </w:p>
        </w:tc>
      </w:tr>
      <w:tr>
        <w:tc>
          <w:tcPr>
            <w:tcW w:type="dxa" w:w="6048"/>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Assessable income (A)</w:t>
            </w:r>
          </w:p>
        </w:tc>
        <w:tc>
          <w:tcPr>
            <w:tcW w:type="dxa" w:w="1800"/>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r>
          </w:p>
        </w:tc>
        <w:tc>
          <w:tcPr>
            <w:tcW w:type="dxa" w:w="1800"/>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1,100,000</w:t>
            </w:r>
          </w:p>
        </w:tc>
      </w:tr>
      <w:tr>
        <w:tc>
          <w:tcPr>
            <w:tcW w:type="dxa" w:w="6048"/>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Less: Approved retirement contribution (B)</w:t>
            </w:r>
          </w:p>
        </w:tc>
        <w:tc>
          <w:tcPr>
            <w:tcW w:type="dxa" w:w="1800"/>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(200,000)</w:t>
            </w:r>
          </w:p>
        </w:tc>
        <w:tc>
          <w:tcPr>
            <w:tcW w:type="dxa" w:w="1800"/>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r>
          </w:p>
        </w:tc>
      </w:tr>
      <w:tr>
        <w:tc>
          <w:tcPr>
            <w:tcW w:type="dxa" w:w="6048"/>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Actual contribution</w:t>
            </w:r>
          </w:p>
        </w:tc>
        <w:tc>
          <w:tcPr>
            <w:tcW w:type="dxa" w:w="1800"/>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200,000</w:t>
            </w:r>
          </w:p>
        </w:tc>
        <w:tc>
          <w:tcPr>
            <w:tcW w:type="dxa" w:w="1800"/>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r>
          </w:p>
        </w:tc>
      </w:tr>
      <w:tr>
        <w:tc>
          <w:tcPr>
            <w:tcW w:type="dxa" w:w="6048"/>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One-third of assessable income</w:t>
            </w:r>
          </w:p>
        </w:tc>
        <w:tc>
          <w:tcPr>
            <w:tcW w:type="dxa" w:w="1800"/>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300,000</w:t>
            </w:r>
          </w:p>
        </w:tc>
        <w:tc>
          <w:tcPr>
            <w:tcW w:type="dxa" w:w="1800"/>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r>
          </w:p>
        </w:tc>
      </w:tr>
      <w:tr>
        <w:tc>
          <w:tcPr>
            <w:tcW w:type="dxa" w:w="6048"/>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Maximum limit</w:t>
            </w:r>
          </w:p>
        </w:tc>
        <w:tc>
          <w:tcPr>
            <w:tcW w:type="dxa" w:w="1800"/>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300,000</w:t>
            </w:r>
          </w:p>
        </w:tc>
        <w:tc>
          <w:tcPr>
            <w:tcW w:type="dxa" w:w="1800"/>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r>
          </w:p>
        </w:tc>
      </w:tr>
      <w:tr>
        <w:tc>
          <w:tcPr>
            <w:tcW w:type="dxa" w:w="6048"/>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Donation expense (C)</w:t>
            </w:r>
          </w:p>
        </w:tc>
        <w:tc>
          <w:tcPr>
            <w:tcW w:type="dxa" w:w="1800"/>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r>
          </w:p>
        </w:tc>
        <w:tc>
          <w:tcPr>
            <w:tcW w:type="dxa" w:w="1800"/>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0</w:t>
            </w:r>
          </w:p>
        </w:tc>
      </w:tr>
      <w:tr>
        <w:tc>
          <w:tcPr>
            <w:tcW w:type="dxa" w:w="6048"/>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Taxable income (A-B-C)</w:t>
            </w:r>
          </w:p>
        </w:tc>
        <w:tc>
          <w:tcPr>
            <w:tcW w:type="dxa" w:w="1800"/>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r>
          </w:p>
        </w:tc>
        <w:tc>
          <w:tcPr>
            <w:tcW w:type="dxa" w:w="1800"/>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900,000</w:t>
            </w:r>
          </w:p>
        </w:tc>
      </w:tr>
      <w:tr>
        <w:tc>
          <w:tcPr>
            <w:tcW w:type="dxa" w:w="6048"/>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Tax calculation</w:t>
            </w:r>
          </w:p>
        </w:tc>
        <w:tc>
          <w:tcPr>
            <w:tcW w:type="dxa" w:w="1800"/>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r>
          </w:p>
        </w:tc>
        <w:tc>
          <w:tcPr>
            <w:tcW w:type="dxa" w:w="1800"/>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r>
          </w:p>
        </w:tc>
      </w:tr>
      <w:tr>
        <w:tc>
          <w:tcPr>
            <w:tcW w:type="dxa" w:w="6048"/>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Up to Rs. 500,000 @ 1%</w:t>
            </w:r>
          </w:p>
        </w:tc>
        <w:tc>
          <w:tcPr>
            <w:tcW w:type="dxa" w:w="1800"/>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5,000</w:t>
            </w:r>
          </w:p>
        </w:tc>
        <w:tc>
          <w:tcPr>
            <w:tcW w:type="dxa" w:w="1800"/>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r>
          </w:p>
        </w:tc>
      </w:tr>
      <w:tr>
        <w:tc>
          <w:tcPr>
            <w:tcW w:type="dxa" w:w="6048"/>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On Rs. 200,000 @ 10%</w:t>
            </w:r>
          </w:p>
        </w:tc>
        <w:tc>
          <w:tcPr>
            <w:tcW w:type="dxa" w:w="1800"/>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20,000</w:t>
            </w:r>
          </w:p>
        </w:tc>
        <w:tc>
          <w:tcPr>
            <w:tcW w:type="dxa" w:w="1800"/>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r>
          </w:p>
        </w:tc>
      </w:tr>
      <w:tr>
        <w:tc>
          <w:tcPr>
            <w:tcW w:type="dxa" w:w="6048"/>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On Rs. 200,000 @ 20%</w:t>
            </w:r>
          </w:p>
        </w:tc>
        <w:tc>
          <w:tcPr>
            <w:tcW w:type="dxa" w:w="1800"/>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40,000</w:t>
            </w:r>
          </w:p>
        </w:tc>
        <w:tc>
          <w:tcPr>
            <w:tcW w:type="dxa" w:w="1800"/>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r>
          </w:p>
        </w:tc>
      </w:tr>
      <w:tr>
        <w:tc>
          <w:tcPr>
            <w:tcW w:type="dxa" w:w="6048"/>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Total</w:t>
            </w:r>
          </w:p>
        </w:tc>
        <w:tc>
          <w:tcPr>
            <w:tcW w:type="dxa" w:w="1800"/>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r>
          </w:p>
        </w:tc>
        <w:tc>
          <w:tcPr>
            <w:tcW w:type="dxa" w:w="1800"/>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65,000</w:t>
            </w:r>
          </w:p>
        </w:tc>
      </w:tr>
      <w:tr>
        <w:tc>
          <w:tcPr>
            <w:tcW w:type="dxa" w:w="6048"/>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Less: rebate for woman under Schedule 1(1)(11), 10% of tax</w:t>
            </w:r>
          </w:p>
        </w:tc>
        <w:tc>
          <w:tcPr>
            <w:tcW w:type="dxa" w:w="1800"/>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6,500</w:t>
            </w:r>
          </w:p>
        </w:tc>
        <w:tc>
          <w:tcPr>
            <w:tcW w:type="dxa" w:w="1800"/>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r>
          </w:p>
        </w:tc>
      </w:tr>
      <w:tr>
        <w:tc>
          <w:tcPr>
            <w:tcW w:type="dxa" w:w="6048"/>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Medical tax credit</w:t>
            </w:r>
          </w:p>
        </w:tc>
        <w:tc>
          <w:tcPr>
            <w:tcW w:type="dxa" w:w="1800"/>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0</w:t>
            </w:r>
          </w:p>
        </w:tc>
        <w:tc>
          <w:tcPr>
            <w:tcW w:type="dxa" w:w="1800"/>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r>
          </w:p>
        </w:tc>
      </w:tr>
      <w:tr>
        <w:tc>
          <w:tcPr>
            <w:tcW w:type="dxa" w:w="6048"/>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Total tax before foreign tax adjustment</w:t>
            </w:r>
          </w:p>
        </w:tc>
        <w:tc>
          <w:tcPr>
            <w:tcW w:type="dxa" w:w="1800"/>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r>
          </w:p>
        </w:tc>
        <w:tc>
          <w:tcPr>
            <w:tcW w:type="dxa" w:w="1800"/>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58,500</w:t>
            </w:r>
          </w:p>
        </w:tc>
      </w:tr>
      <w:tr>
        <w:tc>
          <w:tcPr>
            <w:tcW w:type="dxa" w:w="6048"/>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Less: foreign tax adjustment</w:t>
            </w:r>
          </w:p>
        </w:tc>
        <w:tc>
          <w:tcPr>
            <w:tcW w:type="dxa" w:w="1800"/>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r>
          </w:p>
        </w:tc>
        <w:tc>
          <w:tcPr>
            <w:tcW w:type="dxa" w:w="1800"/>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19,500</w:t>
            </w:r>
          </w:p>
        </w:tc>
      </w:tr>
      <w:tr>
        <w:tc>
          <w:tcPr>
            <w:tcW w:type="dxa" w:w="6048"/>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Total tax liability</w:t>
            </w:r>
          </w:p>
        </w:tc>
        <w:tc>
          <w:tcPr>
            <w:tcW w:type="dxa" w:w="1800"/>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r>
          </w:p>
        </w:tc>
        <w:tc>
          <w:tcPr>
            <w:tcW w:type="dxa" w:w="1800"/>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39,000</w:t>
            </w:r>
          </w:p>
        </w:tc>
      </w:tr>
    </w:tbl>
    <w:p>
      <w:pPr>
        <w:spacing w:after="80" w:line="259" w:lineRule="auto"/>
      </w:pPr>
      <w:r>
        <w:rPr>
          <w:rFonts w:ascii="Times New Roman" w:hAnsi="Times New Roman"/>
          <w:b w:val="0"/>
          <w:i w:val="0"/>
        </w:rPr>
        <w:t>Foreign tax adjustment calculation:</w:t>
      </w:r>
    </w:p>
    <w:tbl>
      <w:tblPr>
        <w:tblStyle w:val="TableGrid"/>
        <w:tblW w:type="auto" w:w="0"/>
        <w:jc w:val="center"/>
        <w:tblLook w:firstColumn="1" w:firstRow="1" w:lastColumn="0" w:lastRow="0" w:noHBand="0" w:noVBand="1" w:val="04A0"/>
      </w:tblPr>
      <w:tblGrid>
        <w:gridCol w:w="5184"/>
        <w:gridCol w:w="5184"/>
      </w:tblGrid>
      <w:tr>
        <w:trPr>
          <w:tblHeader w:val="true"/>
        </w:trPr>
        <w:tc>
          <w:tcPr>
            <w:tcW w:type="dxa" w:w="6768"/>
            <w:vAlign w:val="center"/>
            <w:tcBorders>
              <w:top w:sz="4" w:val="single" w:color="BFBFBF"/>
              <w:left w:sz="4" w:val="single" w:color="BFBFBF"/>
              <w:bottom w:sz="4" w:val="single" w:color="BFBFBF"/>
              <w:right w:sz="4" w:val="single" w:color="BFBFBF"/>
            </w:tcBorders>
            <w:shd w:fill="D9EAF7"/>
          </w:tcPr>
          <w:p>
            <w:pPr>
              <w:spacing w:after="0"/>
            </w:pPr>
            <w:r>
              <w:rPr>
                <w:rFonts w:ascii="Times New Roman" w:hAnsi="Times New Roman"/>
                <w:b/>
                <w:sz w:val="17"/>
              </w:rPr>
              <w:t>Particulars</w:t>
            </w:r>
          </w:p>
        </w:tc>
        <w:tc>
          <w:tcPr>
            <w:tcW w:type="dxa" w:w="2880"/>
            <w:vAlign w:val="center"/>
            <w:tcBorders>
              <w:top w:sz="4" w:val="single" w:color="BFBFBF"/>
              <w:left w:sz="4" w:val="single" w:color="BFBFBF"/>
              <w:bottom w:sz="4" w:val="single" w:color="BFBFBF"/>
              <w:right w:sz="4" w:val="single" w:color="BFBFBF"/>
            </w:tcBorders>
            <w:shd w:fill="D9EAF7"/>
          </w:tcPr>
          <w:p>
            <w:pPr>
              <w:spacing w:after="0"/>
            </w:pPr>
            <w:r>
              <w:rPr>
                <w:rFonts w:ascii="Times New Roman" w:hAnsi="Times New Roman"/>
                <w:b/>
                <w:sz w:val="17"/>
              </w:rPr>
              <w:t>Amount</w:t>
            </w:r>
          </w:p>
        </w:tc>
      </w:tr>
      <w:tr>
        <w:tc>
          <w:tcPr>
            <w:tcW w:type="dxa" w:w="6768"/>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Average tax rate = total tax before foreign tax adjustment / taxable income x 100%</w:t>
            </w:r>
          </w:p>
        </w:tc>
        <w:tc>
          <w:tcPr>
            <w:tcW w:type="dxa" w:w="2880"/>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6.5%</w:t>
            </w:r>
          </w:p>
        </w:tc>
      </w:tr>
      <w:tr>
        <w:tc>
          <w:tcPr>
            <w:tcW w:type="dxa" w:w="6768"/>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Foreign income</w:t>
            </w:r>
          </w:p>
        </w:tc>
        <w:tc>
          <w:tcPr>
            <w:tcW w:type="dxa" w:w="2880"/>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Rs. 300,000</w:t>
            </w:r>
          </w:p>
        </w:tc>
      </w:tr>
      <w:tr>
        <w:tc>
          <w:tcPr>
            <w:tcW w:type="dxa" w:w="6768"/>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Tax paid abroad</w:t>
            </w:r>
          </w:p>
        </w:tc>
        <w:tc>
          <w:tcPr>
            <w:tcW w:type="dxa" w:w="2880"/>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Rs. 60,000</w:t>
            </w:r>
          </w:p>
        </w:tc>
      </w:tr>
      <w:tr>
        <w:tc>
          <w:tcPr>
            <w:tcW w:type="dxa" w:w="6768"/>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Claimable tax at 6.5%</w:t>
            </w:r>
          </w:p>
        </w:tc>
        <w:tc>
          <w:tcPr>
            <w:tcW w:type="dxa" w:w="2880"/>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Rs. 19,500</w:t>
            </w:r>
          </w:p>
        </w:tc>
      </w:tr>
    </w:tbl>
    <w:p>
      <w:pPr>
        <w:spacing w:after="80" w:line="259" w:lineRule="auto"/>
      </w:pPr>
      <w:r>
        <w:rPr>
          <w:rFonts w:ascii="Times New Roman" w:hAnsi="Times New Roman"/>
          <w:b w:val="0"/>
          <w:i w:val="0"/>
        </w:rPr>
        <w:t>Although Rs. 60,000 tax has been withheld on Ms. Rameshwari Sharma’s employment income earned in Malaysia, Nepal’s average rate of tax on her taxable income for income year 2080/81 is 6.5 percent. Therefore, only Rs. 19,500, being 6.5 percent of the Rs. 300,000 assessable income from employment in Malaysia, may be claimed as foreign tax adjustment.</w:t>
      </w:r>
    </w:p>
    <w:p>
      <w:pPr>
        <w:spacing w:after="80" w:line="259" w:lineRule="auto"/>
      </w:pPr>
      <w:r>
        <w:rPr>
          <w:rFonts w:ascii="Times New Roman" w:hAnsi="Times New Roman"/>
          <w:b/>
          <w:i w:val="0"/>
        </w:rPr>
        <w:t>71(3) Where, because of the limitation in subsection (2)(b), any foreign income tax paid in respect of assessable foreign income of a person is not allowed as a foreign tax adjustment under subsection (1), such tax may be: (a) carried forward to the following year; and (b) treated as paid in respect of the person’s assessable foreign income of a future income year having a source in the country in which such foreign income was derived.</w:t>
      </w:r>
    </w:p>
    <w:p>
      <w:pPr>
        <w:spacing w:after="80" w:line="259" w:lineRule="auto"/>
      </w:pPr>
      <w:r>
        <w:rPr>
          <w:rFonts w:ascii="Times New Roman" w:hAnsi="Times New Roman"/>
          <w:b w:val="0"/>
          <w:i w:val="0"/>
        </w:rPr>
        <w:t>A resident person may derive business, employment or investment income outside Nepal and may have paid tax in that country. Although such foreign tax may be creditable against the income tax payable in Nepal, part of the tax paid abroad may not be creditable because the foreign tax exceeds Nepal’s average rate of tax. The Act allows the amount of foreign tax adjustment that could not be credited in the year of payment to be carried forward. The amount carried forward is treated as tax paid in a later income year in respect of assessable foreign income from the same country in which the tax was paid.</w:t>
      </w:r>
    </w:p>
    <w:p>
      <w:pPr>
        <w:spacing w:after="80" w:line="259" w:lineRule="auto"/>
      </w:pPr>
      <w:r>
        <w:rPr>
          <w:rFonts w:ascii="Times New Roman" w:hAnsi="Times New Roman"/>
          <w:b/>
          <w:i w:val="0"/>
        </w:rPr>
        <w:t>Example 14.5.3:</w:t>
      </w:r>
    </w:p>
    <w:p>
      <w:pPr>
        <w:spacing w:after="80" w:line="259" w:lineRule="auto"/>
      </w:pPr>
      <w:r>
        <w:rPr>
          <w:rFonts w:ascii="Times New Roman" w:hAnsi="Times New Roman"/>
          <w:b w:val="0"/>
          <w:i w:val="0"/>
        </w:rPr>
        <w:t>In Example 14.5.2 above, out of the foreign tax of Rs. 60,000 paid by Ms. Rameshwari Sharma in income year 2080/81, Rs. 40,500 remains unadjusted against the income tax liability of that year. She may carry forward that amount for adjustment against tax on future foreign income from Malaysia.</w:t>
      </w:r>
    </w:p>
    <w:p>
      <w:pPr>
        <w:spacing w:after="80" w:line="259" w:lineRule="auto"/>
      </w:pPr>
      <w:r>
        <w:rPr>
          <w:rFonts w:ascii="Times New Roman" w:hAnsi="Times New Roman"/>
          <w:b/>
          <w:i w:val="0"/>
        </w:rPr>
        <w:t>Example 14.5.4:</w:t>
      </w:r>
    </w:p>
    <w:p>
      <w:pPr>
        <w:spacing w:after="80" w:line="259" w:lineRule="auto"/>
      </w:pPr>
      <w:r>
        <w:rPr>
          <w:rFonts w:ascii="Times New Roman" w:hAnsi="Times New Roman"/>
          <w:b w:val="0"/>
          <w:i w:val="0"/>
        </w:rPr>
        <w:t>Assume that Santosh Handicraft Enterprises produces and sells handicraft goods. It has sales outlets in Kathmandu and, for sale of its goods, in Kolkata, India, and Doha, Qatar. In income year 2080/81, the assessable income of its Nepal and foreign sales outlets is as follows. On the assessable income from those sales outlets, Santosh Handicraft Enterprises pays foreign tax as follows:</w:t>
      </w:r>
    </w:p>
    <w:p>
      <w:pPr>
        <w:pStyle w:val="ListNumber"/>
        <w:spacing w:after="80" w:line="259" w:lineRule="auto"/>
      </w:pPr>
      <w:r>
        <w:rPr>
          <w:rFonts w:ascii="Times New Roman" w:hAnsi="Times New Roman"/>
        </w:rPr>
        <w:t>On assessable income of Rs. 1,000,000 from the Kolkata sales outlet, tax of Rs. 300,000 is paid at the rate of 30 percent.</w:t>
      </w:r>
    </w:p>
    <w:p>
      <w:pPr>
        <w:pStyle w:val="ListNumber"/>
        <w:spacing w:after="80" w:line="259" w:lineRule="auto"/>
      </w:pPr>
      <w:r>
        <w:rPr>
          <w:rFonts w:ascii="Times New Roman" w:hAnsi="Times New Roman"/>
        </w:rPr>
        <w:t>On assessable income of Rs. 500,000 from the Doha sales outlet in Qatar, tax of Rs. 75,000 is paid at the rate of 15 percent.</w:t>
      </w:r>
    </w:p>
    <w:p>
      <w:pPr>
        <w:spacing w:after="80" w:line="259" w:lineRule="auto"/>
      </w:pPr>
      <w:r>
        <w:rPr>
          <w:rFonts w:ascii="Times New Roman" w:hAnsi="Times New Roman"/>
          <w:b w:val="0"/>
          <w:i w:val="0"/>
        </w:rPr>
        <w:t>If Santosh Handicraft Enterprises is a natural person and elects couple status for that income year, the tax payable in Nepal on Nepalese and foreign income for income year 2080/81 is as follows:</w:t>
      </w:r>
    </w:p>
    <w:tbl>
      <w:tblPr>
        <w:tblStyle w:val="TableGrid"/>
        <w:tblW w:type="auto" w:w="0"/>
        <w:jc w:val="center"/>
        <w:tblLook w:firstColumn="1" w:firstRow="1" w:lastColumn="0" w:lastRow="0" w:noHBand="0" w:noVBand="1" w:val="04A0"/>
      </w:tblPr>
      <w:tblGrid>
        <w:gridCol w:w="3456"/>
        <w:gridCol w:w="3456"/>
        <w:gridCol w:w="3456"/>
      </w:tblGrid>
      <w:tr>
        <w:trPr>
          <w:tblHeader w:val="true"/>
        </w:trPr>
        <w:tc>
          <w:tcPr>
            <w:tcW w:type="dxa" w:w="6048"/>
            <w:vAlign w:val="center"/>
            <w:tcBorders>
              <w:top w:sz="4" w:val="single" w:color="BFBFBF"/>
              <w:left w:sz="4" w:val="single" w:color="BFBFBF"/>
              <w:bottom w:sz="4" w:val="single" w:color="BFBFBF"/>
              <w:right w:sz="4" w:val="single" w:color="BFBFBF"/>
            </w:tcBorders>
            <w:shd w:fill="D9EAF7"/>
          </w:tcPr>
          <w:p>
            <w:pPr>
              <w:spacing w:after="0"/>
            </w:pPr>
            <w:r>
              <w:rPr>
                <w:rFonts w:ascii="Times New Roman" w:hAnsi="Times New Roman"/>
                <w:b/>
                <w:sz w:val="17"/>
              </w:rPr>
              <w:t>Particulars</w:t>
            </w:r>
          </w:p>
        </w:tc>
        <w:tc>
          <w:tcPr>
            <w:tcW w:type="dxa" w:w="1800"/>
            <w:vAlign w:val="center"/>
            <w:tcBorders>
              <w:top w:sz="4" w:val="single" w:color="BFBFBF"/>
              <w:left w:sz="4" w:val="single" w:color="BFBFBF"/>
              <w:bottom w:sz="4" w:val="single" w:color="BFBFBF"/>
              <w:right w:sz="4" w:val="single" w:color="BFBFBF"/>
            </w:tcBorders>
            <w:shd w:fill="D9EAF7"/>
          </w:tcPr>
          <w:p>
            <w:pPr>
              <w:spacing w:after="0"/>
            </w:pPr>
            <w:r>
              <w:rPr>
                <w:rFonts w:ascii="Times New Roman" w:hAnsi="Times New Roman"/>
                <w:b/>
                <w:sz w:val="17"/>
              </w:rPr>
              <w:t>Amount (Rs.)</w:t>
            </w:r>
          </w:p>
        </w:tc>
        <w:tc>
          <w:tcPr>
            <w:tcW w:type="dxa" w:w="1800"/>
            <w:vAlign w:val="center"/>
            <w:tcBorders>
              <w:top w:sz="4" w:val="single" w:color="BFBFBF"/>
              <w:left w:sz="4" w:val="single" w:color="BFBFBF"/>
              <w:bottom w:sz="4" w:val="single" w:color="BFBFBF"/>
              <w:right w:sz="4" w:val="single" w:color="BFBFBF"/>
            </w:tcBorders>
            <w:shd w:fill="D9EAF7"/>
          </w:tcPr>
          <w:p>
            <w:pPr>
              <w:spacing w:after="0"/>
            </w:pPr>
            <w:r>
              <w:rPr>
                <w:rFonts w:ascii="Times New Roman" w:hAnsi="Times New Roman"/>
                <w:b/>
                <w:sz w:val="17"/>
              </w:rPr>
              <w:t>Amount (Rs.)</w:t>
            </w:r>
          </w:p>
        </w:tc>
      </w:tr>
      <w:tr>
        <w:tc>
          <w:tcPr>
            <w:tcW w:type="dxa" w:w="6048"/>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Kathmandu sales outlet</w:t>
            </w:r>
          </w:p>
        </w:tc>
        <w:tc>
          <w:tcPr>
            <w:tcW w:type="dxa" w:w="1800"/>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r>
          </w:p>
        </w:tc>
        <w:tc>
          <w:tcPr>
            <w:tcW w:type="dxa" w:w="1800"/>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500,000</w:t>
            </w:r>
          </w:p>
        </w:tc>
      </w:tr>
      <w:tr>
        <w:tc>
          <w:tcPr>
            <w:tcW w:type="dxa" w:w="6048"/>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Kolkata (India) sales outlet</w:t>
            </w:r>
          </w:p>
        </w:tc>
        <w:tc>
          <w:tcPr>
            <w:tcW w:type="dxa" w:w="1800"/>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r>
          </w:p>
        </w:tc>
        <w:tc>
          <w:tcPr>
            <w:tcW w:type="dxa" w:w="1800"/>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1,000,000</w:t>
            </w:r>
          </w:p>
        </w:tc>
      </w:tr>
      <w:tr>
        <w:tc>
          <w:tcPr>
            <w:tcW w:type="dxa" w:w="6048"/>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Doha (Qatar) sales outlet</w:t>
            </w:r>
          </w:p>
        </w:tc>
        <w:tc>
          <w:tcPr>
            <w:tcW w:type="dxa" w:w="1800"/>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r>
          </w:p>
        </w:tc>
        <w:tc>
          <w:tcPr>
            <w:tcW w:type="dxa" w:w="1800"/>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500,000</w:t>
            </w:r>
          </w:p>
        </w:tc>
      </w:tr>
      <w:tr>
        <w:tc>
          <w:tcPr>
            <w:tcW w:type="dxa" w:w="6048"/>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Assessable income (A)</w:t>
            </w:r>
          </w:p>
        </w:tc>
        <w:tc>
          <w:tcPr>
            <w:tcW w:type="dxa" w:w="1800"/>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r>
          </w:p>
        </w:tc>
        <w:tc>
          <w:tcPr>
            <w:tcW w:type="dxa" w:w="1800"/>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2,000,000</w:t>
            </w:r>
          </w:p>
        </w:tc>
      </w:tr>
      <w:tr>
        <w:tc>
          <w:tcPr>
            <w:tcW w:type="dxa" w:w="6048"/>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Exempt amounts</w:t>
            </w:r>
          </w:p>
        </w:tc>
        <w:tc>
          <w:tcPr>
            <w:tcW w:type="dxa" w:w="1800"/>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r>
          </w:p>
        </w:tc>
        <w:tc>
          <w:tcPr>
            <w:tcW w:type="dxa" w:w="1800"/>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r>
          </w:p>
        </w:tc>
      </w:tr>
      <w:tr>
        <w:tc>
          <w:tcPr>
            <w:tcW w:type="dxa" w:w="6048"/>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Allowable retirement contribution</w:t>
            </w:r>
          </w:p>
        </w:tc>
        <w:tc>
          <w:tcPr>
            <w:tcW w:type="dxa" w:w="1800"/>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w:t>
            </w:r>
          </w:p>
        </w:tc>
        <w:tc>
          <w:tcPr>
            <w:tcW w:type="dxa" w:w="1800"/>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r>
          </w:p>
        </w:tc>
      </w:tr>
      <w:tr>
        <w:tc>
          <w:tcPr>
            <w:tcW w:type="dxa" w:w="6048"/>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Donation expense (C)</w:t>
            </w:r>
          </w:p>
        </w:tc>
        <w:tc>
          <w:tcPr>
            <w:tcW w:type="dxa" w:w="1800"/>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r>
          </w:p>
        </w:tc>
        <w:tc>
          <w:tcPr>
            <w:tcW w:type="dxa" w:w="1800"/>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w:t>
            </w:r>
          </w:p>
        </w:tc>
      </w:tr>
      <w:tr>
        <w:tc>
          <w:tcPr>
            <w:tcW w:type="dxa" w:w="6048"/>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Taxable income (A-B-C)</w:t>
            </w:r>
          </w:p>
        </w:tc>
        <w:tc>
          <w:tcPr>
            <w:tcW w:type="dxa" w:w="1800"/>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r>
          </w:p>
        </w:tc>
        <w:tc>
          <w:tcPr>
            <w:tcW w:type="dxa" w:w="1800"/>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2,000,000</w:t>
            </w:r>
          </w:p>
        </w:tc>
      </w:tr>
      <w:tr>
        <w:tc>
          <w:tcPr>
            <w:tcW w:type="dxa" w:w="6048"/>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Tax calculation</w:t>
            </w:r>
          </w:p>
        </w:tc>
        <w:tc>
          <w:tcPr>
            <w:tcW w:type="dxa" w:w="1800"/>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r>
          </w:p>
        </w:tc>
        <w:tc>
          <w:tcPr>
            <w:tcW w:type="dxa" w:w="1800"/>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r>
          </w:p>
        </w:tc>
      </w:tr>
      <w:tr>
        <w:tc>
          <w:tcPr>
            <w:tcW w:type="dxa" w:w="6048"/>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Up to Rs. 600,000 @ 1%</w:t>
            </w:r>
          </w:p>
        </w:tc>
        <w:tc>
          <w:tcPr>
            <w:tcW w:type="dxa" w:w="1800"/>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0</w:t>
            </w:r>
          </w:p>
        </w:tc>
        <w:tc>
          <w:tcPr>
            <w:tcW w:type="dxa" w:w="1800"/>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r>
          </w:p>
        </w:tc>
      </w:tr>
      <w:tr>
        <w:tc>
          <w:tcPr>
            <w:tcW w:type="dxa" w:w="6048"/>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On Rs. 200,000 @ 10%</w:t>
            </w:r>
          </w:p>
        </w:tc>
        <w:tc>
          <w:tcPr>
            <w:tcW w:type="dxa" w:w="1800"/>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20,000</w:t>
            </w:r>
          </w:p>
        </w:tc>
        <w:tc>
          <w:tcPr>
            <w:tcW w:type="dxa" w:w="1800"/>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r>
          </w:p>
        </w:tc>
      </w:tr>
      <w:tr>
        <w:tc>
          <w:tcPr>
            <w:tcW w:type="dxa" w:w="6048"/>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On Rs. 300,000 @ 20%</w:t>
            </w:r>
          </w:p>
        </w:tc>
        <w:tc>
          <w:tcPr>
            <w:tcW w:type="dxa" w:w="1800"/>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60,000</w:t>
            </w:r>
          </w:p>
        </w:tc>
        <w:tc>
          <w:tcPr>
            <w:tcW w:type="dxa" w:w="1800"/>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r>
          </w:p>
        </w:tc>
      </w:tr>
      <w:tr>
        <w:tc>
          <w:tcPr>
            <w:tcW w:type="dxa" w:w="6048"/>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Remaining Rs. 900,000 @ 30%</w:t>
            </w:r>
          </w:p>
        </w:tc>
        <w:tc>
          <w:tcPr>
            <w:tcW w:type="dxa" w:w="1800"/>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270,000</w:t>
            </w:r>
          </w:p>
        </w:tc>
        <w:tc>
          <w:tcPr>
            <w:tcW w:type="dxa" w:w="1800"/>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r>
          </w:p>
        </w:tc>
      </w:tr>
      <w:tr>
        <w:tc>
          <w:tcPr>
            <w:tcW w:type="dxa" w:w="6048"/>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Total tax</w:t>
            </w:r>
          </w:p>
        </w:tc>
        <w:tc>
          <w:tcPr>
            <w:tcW w:type="dxa" w:w="1800"/>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r>
          </w:p>
        </w:tc>
        <w:tc>
          <w:tcPr>
            <w:tcW w:type="dxa" w:w="1800"/>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350,000</w:t>
            </w:r>
          </w:p>
        </w:tc>
      </w:tr>
      <w:tr>
        <w:tc>
          <w:tcPr>
            <w:tcW w:type="dxa" w:w="6048"/>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Less: foreign tax adjustment - India</w:t>
            </w:r>
          </w:p>
        </w:tc>
        <w:tc>
          <w:tcPr>
            <w:tcW w:type="dxa" w:w="1800"/>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(175,000)</w:t>
            </w:r>
          </w:p>
        </w:tc>
        <w:tc>
          <w:tcPr>
            <w:tcW w:type="dxa" w:w="1800"/>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r>
          </w:p>
        </w:tc>
      </w:tr>
      <w:tr>
        <w:tc>
          <w:tcPr>
            <w:tcW w:type="dxa" w:w="6048"/>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Less: foreign tax adjustment - Qatar</w:t>
            </w:r>
          </w:p>
        </w:tc>
        <w:tc>
          <w:tcPr>
            <w:tcW w:type="dxa" w:w="1800"/>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(75,000)</w:t>
            </w:r>
          </w:p>
        </w:tc>
        <w:tc>
          <w:tcPr>
            <w:tcW w:type="dxa" w:w="1800"/>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r>
          </w:p>
        </w:tc>
      </w:tr>
      <w:tr>
        <w:tc>
          <w:tcPr>
            <w:tcW w:type="dxa" w:w="6048"/>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Total tax liability</w:t>
            </w:r>
          </w:p>
        </w:tc>
        <w:tc>
          <w:tcPr>
            <w:tcW w:type="dxa" w:w="1800"/>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r>
          </w:p>
        </w:tc>
        <w:tc>
          <w:tcPr>
            <w:tcW w:type="dxa" w:w="1800"/>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100,000</w:t>
            </w:r>
          </w:p>
        </w:tc>
      </w:tr>
    </w:tbl>
    <w:p>
      <w:pPr>
        <w:spacing w:after="80" w:line="259" w:lineRule="auto"/>
      </w:pPr>
      <w:r>
        <w:rPr>
          <w:rFonts w:ascii="Times New Roman" w:hAnsi="Times New Roman"/>
          <w:b w:val="0"/>
          <w:i w:val="0"/>
        </w:rPr>
        <w:t>Calculation of the amount eligible for credit:</w:t>
      </w:r>
    </w:p>
    <w:tbl>
      <w:tblPr>
        <w:tblStyle w:val="TableGrid"/>
        <w:tblW w:type="auto" w:w="0"/>
        <w:jc w:val="center"/>
        <w:tblLook w:firstColumn="1" w:firstRow="1" w:lastColumn="0" w:lastRow="0" w:noHBand="0" w:noVBand="1" w:val="04A0"/>
      </w:tblPr>
      <w:tblGrid>
        <w:gridCol w:w="3456"/>
        <w:gridCol w:w="3456"/>
        <w:gridCol w:w="3456"/>
      </w:tblGrid>
      <w:tr>
        <w:trPr>
          <w:tblHeader w:val="true"/>
        </w:trPr>
        <w:tc>
          <w:tcPr>
            <w:tcW w:type="dxa" w:w="4608"/>
            <w:vAlign w:val="center"/>
            <w:tcBorders>
              <w:top w:sz="4" w:val="single" w:color="BFBFBF"/>
              <w:left w:sz="4" w:val="single" w:color="BFBFBF"/>
              <w:bottom w:sz="4" w:val="single" w:color="BFBFBF"/>
              <w:right w:sz="4" w:val="single" w:color="BFBFBF"/>
            </w:tcBorders>
            <w:shd w:fill="D9EAF7"/>
          </w:tcPr>
          <w:p>
            <w:pPr>
              <w:spacing w:after="0"/>
            </w:pPr>
            <w:r>
              <w:rPr>
                <w:rFonts w:ascii="Times New Roman" w:hAnsi="Times New Roman"/>
                <w:b/>
                <w:sz w:val="17"/>
              </w:rPr>
              <w:t>Particulars</w:t>
            </w:r>
          </w:p>
        </w:tc>
        <w:tc>
          <w:tcPr>
            <w:tcW w:type="dxa" w:w="2016"/>
            <w:vAlign w:val="center"/>
            <w:tcBorders>
              <w:top w:sz="4" w:val="single" w:color="BFBFBF"/>
              <w:left w:sz="4" w:val="single" w:color="BFBFBF"/>
              <w:bottom w:sz="4" w:val="single" w:color="BFBFBF"/>
              <w:right w:sz="4" w:val="single" w:color="BFBFBF"/>
            </w:tcBorders>
            <w:shd w:fill="D9EAF7"/>
          </w:tcPr>
          <w:p>
            <w:pPr>
              <w:spacing w:after="0"/>
            </w:pPr>
            <w:r>
              <w:rPr>
                <w:rFonts w:ascii="Times New Roman" w:hAnsi="Times New Roman"/>
                <w:b/>
                <w:sz w:val="17"/>
              </w:rPr>
              <w:t>India</w:t>
            </w:r>
          </w:p>
        </w:tc>
        <w:tc>
          <w:tcPr>
            <w:tcW w:type="dxa" w:w="2016"/>
            <w:vAlign w:val="center"/>
            <w:tcBorders>
              <w:top w:sz="4" w:val="single" w:color="BFBFBF"/>
              <w:left w:sz="4" w:val="single" w:color="BFBFBF"/>
              <w:bottom w:sz="4" w:val="single" w:color="BFBFBF"/>
              <w:right w:sz="4" w:val="single" w:color="BFBFBF"/>
            </w:tcBorders>
            <w:shd w:fill="D9EAF7"/>
          </w:tcPr>
          <w:p>
            <w:pPr>
              <w:spacing w:after="0"/>
            </w:pPr>
            <w:r>
              <w:rPr>
                <w:rFonts w:ascii="Times New Roman" w:hAnsi="Times New Roman"/>
                <w:b/>
                <w:sz w:val="17"/>
              </w:rPr>
              <w:t>Qatar</w:t>
            </w:r>
          </w:p>
        </w:tc>
      </w:tr>
      <w:tr>
        <w:tc>
          <w:tcPr>
            <w:tcW w:type="dxa" w:w="4608"/>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Taxable income / assessable foreign income</w:t>
            </w:r>
          </w:p>
        </w:tc>
        <w:tc>
          <w:tcPr>
            <w:tcW w:type="dxa" w:w="2016"/>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1,000,000</w:t>
            </w:r>
          </w:p>
        </w:tc>
        <w:tc>
          <w:tcPr>
            <w:tcW w:type="dxa" w:w="2016"/>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500,000</w:t>
            </w:r>
          </w:p>
        </w:tc>
      </w:tr>
      <w:tr>
        <w:tc>
          <w:tcPr>
            <w:tcW w:type="dxa" w:w="4608"/>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Amount at average rate (17.5%)</w:t>
            </w:r>
          </w:p>
        </w:tc>
        <w:tc>
          <w:tcPr>
            <w:tcW w:type="dxa" w:w="2016"/>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175,000</w:t>
            </w:r>
          </w:p>
        </w:tc>
        <w:tc>
          <w:tcPr>
            <w:tcW w:type="dxa" w:w="2016"/>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85,000</w:t>
            </w:r>
          </w:p>
        </w:tc>
      </w:tr>
      <w:tr>
        <w:tc>
          <w:tcPr>
            <w:tcW w:type="dxa" w:w="4608"/>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Tax paid in that country, including brought-forward balance</w:t>
            </w:r>
          </w:p>
        </w:tc>
        <w:tc>
          <w:tcPr>
            <w:tcW w:type="dxa" w:w="2016"/>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300,000</w:t>
            </w:r>
          </w:p>
        </w:tc>
        <w:tc>
          <w:tcPr>
            <w:tcW w:type="dxa" w:w="2016"/>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75,000</w:t>
            </w:r>
          </w:p>
        </w:tc>
      </w:tr>
      <w:tr>
        <w:tc>
          <w:tcPr>
            <w:tcW w:type="dxa" w:w="4608"/>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Claimable tax</w:t>
            </w:r>
          </w:p>
        </w:tc>
        <w:tc>
          <w:tcPr>
            <w:tcW w:type="dxa" w:w="2016"/>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175,000</w:t>
            </w:r>
          </w:p>
        </w:tc>
        <w:tc>
          <w:tcPr>
            <w:tcW w:type="dxa" w:w="2016"/>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75,000</w:t>
            </w:r>
          </w:p>
        </w:tc>
      </w:tr>
      <w:tr>
        <w:tc>
          <w:tcPr>
            <w:tcW w:type="dxa" w:w="4608"/>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Amount that may be claimed in following year</w:t>
            </w:r>
          </w:p>
        </w:tc>
        <w:tc>
          <w:tcPr>
            <w:tcW w:type="dxa" w:w="2016"/>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125,000</w:t>
            </w:r>
          </w:p>
        </w:tc>
        <w:tc>
          <w:tcPr>
            <w:tcW w:type="dxa" w:w="2016"/>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w:t>
            </w:r>
          </w:p>
        </w:tc>
      </w:tr>
    </w:tbl>
    <w:p>
      <w:pPr>
        <w:spacing w:after="80" w:line="259" w:lineRule="auto"/>
      </w:pPr>
      <w:r>
        <w:rPr>
          <w:rFonts w:ascii="Times New Roman" w:hAnsi="Times New Roman"/>
          <w:b w:val="0"/>
          <w:i w:val="0"/>
        </w:rPr>
        <w:t>Santosh Handicraft Enterprises has total assessable income including foreign income of Rs. 2,000,000 and tax liability of Rs. 350,000 before foreign tax adjustment. Therefore, Nepal’s average rate of tax is 17.5 percent. It paid Rs. 75,000 foreign tax in Qatar at 15 percent on income of the Doha sales outlet. Since the tax paid in Qatar is lower than the amount computed at Nepal’s average tax rate, the whole foreign tax paid in Qatar is allowable as credit. It paid Rs. 300,000 tax on assessable income of Rs. 1,000,000 from the Kolkata sales outlet in India. Since Nepal’s average tax rate for income year 2080/81 is 17.5 percent, only Rs. 175,000 may be claimed as foreign tax adjustment for the Kolkata income. The uncredited amount of Rs. 125,000 paid in India may be carried forward. The carried-forward amount will be treated as tax paid in respect of future assessable income from the Kolkata sales outlet in India in the following income year. Such amount may be carried forward until adjusted.</w:t>
      </w:r>
    </w:p>
    <w:p>
      <w:pPr>
        <w:spacing w:after="80" w:line="259" w:lineRule="auto"/>
      </w:pPr>
      <w:r>
        <w:rPr>
          <w:rFonts w:ascii="Times New Roman" w:hAnsi="Times New Roman"/>
          <w:b/>
          <w:i w:val="0"/>
        </w:rPr>
        <w:t>71(4) Notwithstanding anything contained in subsection (1), for any income year a person may forgo the claim for foreign tax adjustment available for that year and may instead claim as an expense the amount of foreign income tax in respect of which such credit facility is available.</w:t>
      </w:r>
    </w:p>
    <w:p>
      <w:pPr>
        <w:spacing w:after="80" w:line="259" w:lineRule="auto"/>
      </w:pPr>
      <w:r>
        <w:rPr>
          <w:rFonts w:ascii="Times New Roman" w:hAnsi="Times New Roman"/>
          <w:b w:val="0"/>
          <w:i w:val="0"/>
        </w:rPr>
        <w:t>The Act provides that where a resident person has foreign income and has paid income tax in the foreign country on that income, the person may claim a foreign tax adjustment within the limit of Nepal’s average tax rate. However, where a resident person has paid tax abroad on foreign income in an income year, instead of crediting that tax against the tax payable in Nepal after including the foreign income in Nepalese income, the person may claim as an expense an amount equal to the foreign tax paid. This is the foreign tax expense method. In such a case, the tax paid is treated as a deductible expense.</w:t>
      </w:r>
    </w:p>
    <w:p>
      <w:pPr>
        <w:spacing w:after="80" w:line="259" w:lineRule="auto"/>
      </w:pPr>
      <w:r>
        <w:rPr>
          <w:rFonts w:ascii="Times New Roman" w:hAnsi="Times New Roman"/>
          <w:b/>
          <w:i w:val="0"/>
        </w:rPr>
        <w:t>Example 14.5.5:</w:t>
      </w:r>
    </w:p>
    <w:p>
      <w:pPr>
        <w:spacing w:after="80" w:line="259" w:lineRule="auto"/>
      </w:pPr>
      <w:r>
        <w:rPr>
          <w:rFonts w:ascii="Times New Roman" w:hAnsi="Times New Roman"/>
          <w:b w:val="0"/>
          <w:i w:val="0"/>
        </w:rPr>
        <w:t>Assume that Vishwarup Carpet Pvt. Ltd. carries on carpet manufacturing business in Nepal. To sell its carpets in the world market, it opens a sales outlet in Frankfurt, Germany in income year 2079/80 and derives assessable income of Rs. 1,000,000 from that sales outlet. Under German income tax law, tax of Rs. 350,000 is paid on the assessable income of the Frankfurt sales outlet. The company also derives assessable income of Rs. 1,000,000 from its Nepal business. In this situation, it may determine its tax liability as follows:</w:t>
      </w:r>
    </w:p>
    <w:tbl>
      <w:tblPr>
        <w:tblStyle w:val="TableGrid"/>
        <w:tblW w:type="auto" w:w="0"/>
        <w:jc w:val="center"/>
        <w:tblLook w:firstColumn="1" w:firstRow="1" w:lastColumn="0" w:lastRow="0" w:noHBand="0" w:noVBand="1" w:val="04A0"/>
      </w:tblPr>
      <w:tblGrid>
        <w:gridCol w:w="3456"/>
        <w:gridCol w:w="3456"/>
        <w:gridCol w:w="3456"/>
      </w:tblGrid>
      <w:tr>
        <w:trPr>
          <w:tblHeader w:val="true"/>
        </w:trPr>
        <w:tc>
          <w:tcPr>
            <w:tcW w:type="dxa" w:w="5472"/>
            <w:vAlign w:val="center"/>
            <w:tcBorders>
              <w:top w:sz="4" w:val="single" w:color="BFBFBF"/>
              <w:left w:sz="4" w:val="single" w:color="BFBFBF"/>
              <w:bottom w:sz="4" w:val="single" w:color="BFBFBF"/>
              <w:right w:sz="4" w:val="single" w:color="BFBFBF"/>
            </w:tcBorders>
            <w:shd w:fill="D9EAF7"/>
          </w:tcPr>
          <w:p>
            <w:pPr>
              <w:spacing w:after="0"/>
            </w:pPr>
            <w:r>
              <w:rPr>
                <w:rFonts w:ascii="Times New Roman" w:hAnsi="Times New Roman"/>
                <w:b/>
                <w:sz w:val="17"/>
              </w:rPr>
              <w:t>Particulars</w:t>
            </w:r>
          </w:p>
        </w:tc>
        <w:tc>
          <w:tcPr>
            <w:tcW w:type="dxa" w:w="2088"/>
            <w:vAlign w:val="center"/>
            <w:tcBorders>
              <w:top w:sz="4" w:val="single" w:color="BFBFBF"/>
              <w:left w:sz="4" w:val="single" w:color="BFBFBF"/>
              <w:bottom w:sz="4" w:val="single" w:color="BFBFBF"/>
              <w:right w:sz="4" w:val="single" w:color="BFBFBF"/>
            </w:tcBorders>
            <w:shd w:fill="D9EAF7"/>
          </w:tcPr>
          <w:p>
            <w:pPr>
              <w:spacing w:after="0"/>
            </w:pPr>
            <w:r>
              <w:rPr>
                <w:rFonts w:ascii="Times New Roman" w:hAnsi="Times New Roman"/>
                <w:b/>
                <w:sz w:val="17"/>
              </w:rPr>
              <w:t>Nepal business</w:t>
            </w:r>
          </w:p>
        </w:tc>
        <w:tc>
          <w:tcPr>
            <w:tcW w:type="dxa" w:w="2088"/>
            <w:vAlign w:val="center"/>
            <w:tcBorders>
              <w:top w:sz="4" w:val="single" w:color="BFBFBF"/>
              <w:left w:sz="4" w:val="single" w:color="BFBFBF"/>
              <w:bottom w:sz="4" w:val="single" w:color="BFBFBF"/>
              <w:right w:sz="4" w:val="single" w:color="BFBFBF"/>
            </w:tcBorders>
            <w:shd w:fill="D9EAF7"/>
          </w:tcPr>
          <w:p>
            <w:pPr>
              <w:spacing w:after="0"/>
            </w:pPr>
            <w:r>
              <w:rPr>
                <w:rFonts w:ascii="Times New Roman" w:hAnsi="Times New Roman"/>
                <w:b/>
                <w:sz w:val="17"/>
              </w:rPr>
              <w:t>Germany business</w:t>
            </w:r>
          </w:p>
        </w:tc>
      </w:tr>
      <w:tr>
        <w:tc>
          <w:tcPr>
            <w:tcW w:type="dxa" w:w="5472"/>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Assessable income</w:t>
            </w:r>
          </w:p>
        </w:tc>
        <w:tc>
          <w:tcPr>
            <w:tcW w:type="dxa" w:w="2088"/>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1,000,000</w:t>
            </w:r>
          </w:p>
        </w:tc>
        <w:tc>
          <w:tcPr>
            <w:tcW w:type="dxa" w:w="2088"/>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1,000,000</w:t>
            </w:r>
          </w:p>
        </w:tc>
      </w:tr>
      <w:tr>
        <w:tc>
          <w:tcPr>
            <w:tcW w:type="dxa" w:w="5472"/>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Less: tax paid in Germany</w:t>
            </w:r>
          </w:p>
        </w:tc>
        <w:tc>
          <w:tcPr>
            <w:tcW w:type="dxa" w:w="2088"/>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r>
          </w:p>
        </w:tc>
        <w:tc>
          <w:tcPr>
            <w:tcW w:type="dxa" w:w="2088"/>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(350,000)</w:t>
            </w:r>
          </w:p>
        </w:tc>
      </w:tr>
      <w:tr>
        <w:tc>
          <w:tcPr>
            <w:tcW w:type="dxa" w:w="5472"/>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Total taxable income</w:t>
            </w:r>
          </w:p>
        </w:tc>
        <w:tc>
          <w:tcPr>
            <w:tcW w:type="dxa" w:w="2088"/>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1,000,000</w:t>
            </w:r>
          </w:p>
        </w:tc>
        <w:tc>
          <w:tcPr>
            <w:tcW w:type="dxa" w:w="2088"/>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650,000</w:t>
            </w:r>
          </w:p>
        </w:tc>
      </w:tr>
      <w:tr>
        <w:tc>
          <w:tcPr>
            <w:tcW w:type="dxa" w:w="5472"/>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Tax payable (20% on Nepal income and 25% on Germany income)</w:t>
            </w:r>
          </w:p>
        </w:tc>
        <w:tc>
          <w:tcPr>
            <w:tcW w:type="dxa" w:w="2088"/>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200,000</w:t>
            </w:r>
          </w:p>
        </w:tc>
        <w:tc>
          <w:tcPr>
            <w:tcW w:type="dxa" w:w="2088"/>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162,500</w:t>
            </w:r>
          </w:p>
        </w:tc>
      </w:tr>
      <w:tr>
        <w:tc>
          <w:tcPr>
            <w:tcW w:type="dxa" w:w="5472"/>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Total tax to be deposited</w:t>
            </w:r>
          </w:p>
        </w:tc>
        <w:tc>
          <w:tcPr>
            <w:tcW w:type="dxa" w:w="2088"/>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r>
          </w:p>
        </w:tc>
        <w:tc>
          <w:tcPr>
            <w:tcW w:type="dxa" w:w="2088"/>
            <w:vAlign w:val="center"/>
            <w:tcBorders>
              <w:top w:sz="4" w:val="single" w:color="BFBFBF"/>
              <w:left w:sz="4" w:val="single" w:color="BFBFBF"/>
              <w:bottom w:sz="4" w:val="single" w:color="BFBFBF"/>
              <w:right w:sz="4" w:val="single" w:color="BFBFBF"/>
            </w:tcBorders>
          </w:tcPr>
          <w:p>
            <w:pPr>
              <w:spacing w:after="0"/>
            </w:pPr>
            <w:r>
              <w:rPr>
                <w:rFonts w:ascii="Times New Roman" w:hAnsi="Times New Roman"/>
                <w:sz w:val="17"/>
              </w:rPr>
              <w:t>362,500</w:t>
            </w:r>
          </w:p>
        </w:tc>
      </w:tr>
    </w:tbl>
    <w:p>
      <w:pPr>
        <w:spacing w:after="80" w:line="259" w:lineRule="auto"/>
      </w:pPr>
      <w:r>
        <w:rPr>
          <w:rFonts w:ascii="Times New Roman" w:hAnsi="Times New Roman"/>
          <w:b w:val="0"/>
          <w:i w:val="0"/>
        </w:rPr>
        <w:t>In this example, the company must deposit tax in Nepal of Rs. 362,500, including Rs. 162,500 payable in respect of its Germany business after claiming the German tax as an expense.</w:t>
      </w:r>
    </w:p>
    <w:p>
      <w:r>
        <w:br w:type="page"/>
      </w:r>
    </w:p>
    <w:p>
      <w:pPr>
        <w:pStyle w:val="Title"/>
        <w:spacing w:after="80" w:line="259" w:lineRule="auto"/>
        <w:jc w:val="center"/>
      </w:pPr>
      <w:r>
        <w:rPr>
          <w:rFonts w:ascii="Times New Roman" w:hAnsi="Times New Roman"/>
          <w:b w:val="0"/>
          <w:i w:val="0"/>
        </w:rPr>
        <w:t>Income Tax Directive, 2066 (with Fifth Amendment, 2081)</w:t>
      </w:r>
    </w:p>
    <w:p>
      <w:pPr>
        <w:pStyle w:val="Title"/>
        <w:spacing w:after="80" w:line="259" w:lineRule="auto"/>
        <w:jc w:val="center"/>
      </w:pPr>
      <w:r>
        <w:rPr>
          <w:rFonts w:ascii="Times New Roman" w:hAnsi="Times New Roman"/>
          <w:b w:val="0"/>
          <w:i w:val="0"/>
        </w:rPr>
        <w:t>English Translation - Part 15</w:t>
      </w:r>
    </w:p>
    <w:p>
      <w:pPr>
        <w:pStyle w:val="Heading1"/>
        <w:spacing w:after="80" w:line="259" w:lineRule="auto"/>
        <w:jc w:val="center"/>
      </w:pPr>
      <w:r>
        <w:rPr>
          <w:rFonts w:ascii="Times New Roman" w:hAnsi="Times New Roman"/>
          <w:b w:val="0"/>
          <w:i w:val="0"/>
        </w:rPr>
        <w:t>Chapter 15: Provision relating to Avoidance of Double Taxation and Prevention of Fiscal Evasion</w:t>
      </w:r>
    </w:p>
    <w:p>
      <w:pPr>
        <w:spacing w:after="80" w:line="259" w:lineRule="auto"/>
        <w:jc w:val="center"/>
      </w:pPr>
      <w:r>
        <w:rPr>
          <w:rFonts w:ascii="Times New Roman" w:hAnsi="Times New Roman"/>
          <w:b w:val="0"/>
          <w:i w:val="0"/>
        </w:rPr>
        <w:t>Source pages: Directive pages 224-235</w:t>
      </w:r>
    </w:p>
    <w:p>
      <w:pPr>
        <w:spacing w:after="80" w:line="259" w:lineRule="auto"/>
      </w:pPr>
      <w:r>
        <w:rPr>
          <w:rFonts w:ascii="Times New Roman" w:hAnsi="Times New Roman"/>
          <w:b w:val="0"/>
          <w:i/>
        </w:rPr>
        <w:t>Note: This translation preserves the sequence, section numbering, examples, treaty terminology and tabular presentation of the Nepali directive as far as practicable in Word format. Statutory expressions have been aligned with the official English terminology of the Income Tax Act, 2002 (2058) where applicable.</w:t>
      </w:r>
    </w:p>
    <w:p>
      <w:pPr>
        <w:pStyle w:val="Heading1"/>
        <w:spacing w:after="80" w:line="259" w:lineRule="auto"/>
      </w:pPr>
      <w:r>
        <w:rPr>
          <w:rFonts w:ascii="Times New Roman" w:hAnsi="Times New Roman"/>
          <w:b w:val="0"/>
          <w:i w:val="0"/>
        </w:rPr>
        <w:t>Chapter 15</w:t>
      </w:r>
    </w:p>
    <w:p>
      <w:pPr>
        <w:pStyle w:val="Heading1"/>
        <w:spacing w:after="80" w:line="259" w:lineRule="auto"/>
      </w:pPr>
      <w:r>
        <w:rPr>
          <w:rFonts w:ascii="Times New Roman" w:hAnsi="Times New Roman"/>
          <w:b w:val="0"/>
          <w:i w:val="0"/>
        </w:rPr>
        <w:t>Provision relating to Avoidance of Double Taxation and Prevention of Fiscal Evasion</w:t>
      </w:r>
    </w:p>
    <w:p>
      <w:pPr>
        <w:pStyle w:val="Heading2"/>
        <w:spacing w:after="80" w:line="259" w:lineRule="auto"/>
      </w:pPr>
      <w:r>
        <w:rPr>
          <w:rFonts w:ascii="Times New Roman" w:hAnsi="Times New Roman"/>
          <w:b w:val="0"/>
          <w:i w:val="0"/>
        </w:rPr>
        <w:t>15.1 Introduction</w:t>
      </w:r>
    </w:p>
    <w:p>
      <w:pPr>
        <w:spacing w:after="80" w:line="259" w:lineRule="auto"/>
      </w:pPr>
      <w:r>
        <w:rPr>
          <w:rFonts w:ascii="Times New Roman" w:hAnsi="Times New Roman"/>
          <w:b w:val="0"/>
          <w:i w:val="0"/>
        </w:rPr>
        <w:t>The Income Tax Act, 2058 has empowered the Government of Nepal to enter into agreements with the government of another country for avoidance of double taxation and prevention of fiscal evasion. Because of trade between two countries, transfer of technology, and capital investment by a person of one country in another country, the income of a resident of one country may have a source in another country. As a result, tax may be imposed both in the country of residence and in the country where the source of such income is situated. In this manner, the same income of the same person may become subject to tax in two countries.</w:t>
      </w:r>
    </w:p>
    <w:p>
      <w:pPr>
        <w:spacing w:after="80" w:line="259" w:lineRule="auto"/>
      </w:pPr>
      <w:r>
        <w:rPr>
          <w:rFonts w:ascii="Times New Roman" w:hAnsi="Times New Roman"/>
          <w:b w:val="0"/>
          <w:i w:val="0"/>
        </w:rPr>
        <w:t>Agreements for avoidance of double taxation and prevention of fiscal evasion are entered into between countries to provide relief from such a situation. Section 73 of the Income Tax Act of Nepal has made provision for agreements on avoidance of double taxation and prevention of fiscal evasion, and also for agreements relating to mutual assistance in tax administration. In the context of international taxation, this chapter presents the provisions relating to relief from double taxation and the basis of such agreements.</w:t>
      </w:r>
    </w:p>
    <w:p>
      <w:pPr>
        <w:pStyle w:val="Heading2"/>
        <w:spacing w:after="80" w:line="259" w:lineRule="auto"/>
      </w:pPr>
      <w:r>
        <w:rPr>
          <w:rFonts w:ascii="Times New Roman" w:hAnsi="Times New Roman"/>
          <w:b w:val="0"/>
          <w:i w:val="0"/>
        </w:rPr>
        <w:t>15.2 International Agreement</w:t>
      </w:r>
    </w:p>
    <w:p>
      <w:pPr>
        <w:spacing w:after="80" w:line="259" w:lineRule="auto"/>
      </w:pPr>
      <w:r>
        <w:rPr>
          <w:rFonts w:ascii="Times New Roman" w:hAnsi="Times New Roman"/>
          <w:b w:val="0"/>
          <w:i w:val="0"/>
        </w:rPr>
        <w:t>Section 73 of the Act provides as follows in relation to international agreements and avoidance of double taxation:</w:t>
      </w:r>
    </w:p>
    <w:p>
      <w:pPr>
        <w:spacing w:after="80" w:line="259" w:lineRule="auto"/>
      </w:pPr>
      <w:r>
        <w:rPr>
          <w:rFonts w:ascii="Times New Roman" w:hAnsi="Times New Roman"/>
          <w:b/>
          <w:i w:val="0"/>
        </w:rPr>
        <w:t>73(1) Where any income of any person is taxable under this Act or under the prevailing law and tax is also leviable on the same income in a foreign country, the Government of Nepal may enter into an international agreement with the foreign government for avoiding such double taxation.</w:t>
      </w:r>
    </w:p>
    <w:p>
      <w:pPr>
        <w:spacing w:after="80" w:line="259" w:lineRule="auto"/>
      </w:pPr>
      <w:r>
        <w:rPr>
          <w:rFonts w:ascii="Times New Roman" w:hAnsi="Times New Roman"/>
          <w:b w:val="0"/>
          <w:i w:val="0"/>
        </w:rPr>
        <w:t>The source of a person's income may not be limited only to the country of residence. The person may have sources of income in a foreign country under various heads of income tax. Accordingly, tax may be levied in the country where the source of income is located under that country's income tax law. When the income earned and received in that country is brought to the home country, or when income earned in that country is included and income tax is paid in a country following the principle of taxing the worldwide income of a resident person, double taxation may arise on the same income.</w:t>
      </w:r>
    </w:p>
    <w:p>
      <w:pPr>
        <w:spacing w:after="80" w:line="259" w:lineRule="auto"/>
      </w:pPr>
      <w:r>
        <w:rPr>
          <w:rFonts w:ascii="Times New Roman" w:hAnsi="Times New Roman"/>
          <w:b w:val="0"/>
          <w:i w:val="0"/>
        </w:rPr>
        <w:t>Where a double taxation avoidance agreement has been concluded, the same income of the same person is not taxed in two countries to the extent provided by the agreement. This provision is also illustrated by the example below.</w:t>
      </w:r>
    </w:p>
    <w:p>
      <w:pPr>
        <w:spacing w:after="80" w:line="259" w:lineRule="auto"/>
      </w:pPr>
      <w:r>
        <w:rPr>
          <w:rFonts w:ascii="Times New Roman" w:hAnsi="Times New Roman"/>
          <w:b/>
          <w:i w:val="0"/>
        </w:rPr>
        <w:t>Example 15.2.1:</w:t>
      </w:r>
    </w:p>
    <w:p>
      <w:pPr>
        <w:spacing w:after="80" w:line="259" w:lineRule="auto"/>
      </w:pPr>
      <w:r>
        <w:rPr>
          <w:rFonts w:ascii="Times New Roman" w:hAnsi="Times New Roman"/>
          <w:b w:val="0"/>
          <w:i w:val="0"/>
        </w:rPr>
        <w:t>Assume that Dr. Nagendra Jha is a senior eye surgeon of Nepal. In income year 2080/81, he provided services for four months as an expert person at a hospital in Madras, India, and received Rs. 1,000,000 as service charges. Nepal and India have concluded a double taxation avoidance agreement, and that agreement provides that where a person providing surgery services as an expert person provides services in a non-resident country for less than 183 days, the income received by that person is not taxable in the source country. In this situation, Dr. Nagendra Jha is not required to pay income tax in India on the income received for eye surgery services performed in India.</w:t>
      </w:r>
    </w:p>
    <w:p>
      <w:pPr>
        <w:spacing w:after="80" w:line="259" w:lineRule="auto"/>
      </w:pPr>
      <w:r>
        <w:rPr>
          <w:rFonts w:ascii="Times New Roman" w:hAnsi="Times New Roman"/>
          <w:b w:val="0"/>
          <w:i w:val="0"/>
        </w:rPr>
        <w:t>If there had been no such double taxation avoidance agreement between the Government of Nepal and the Government of India, tax would have been payable in India on the income received in India, and the same income would also have been included and taxed in Nepal. Therefore, a situation of double taxation on the same income would arise.</w:t>
      </w:r>
    </w:p>
    <w:p>
      <w:pPr>
        <w:spacing w:after="80" w:line="259" w:lineRule="auto"/>
      </w:pPr>
      <w:r>
        <w:rPr>
          <w:rFonts w:ascii="Times New Roman" w:hAnsi="Times New Roman"/>
          <w:b/>
          <w:i w:val="0"/>
        </w:rPr>
        <w:t>73(2) This subsection shall apply where, pursuant to any international agreement entered into with Nepal, the competent authority of another country requests the Department to collect in Nepal an amount payable by a person who has tax arrears under the tax law of that other country.</w:t>
      </w:r>
    </w:p>
    <w:p>
      <w:pPr>
        <w:spacing w:after="80" w:line="259" w:lineRule="auto"/>
      </w:pPr>
      <w:r>
        <w:rPr>
          <w:rFonts w:ascii="Times New Roman" w:hAnsi="Times New Roman"/>
          <w:b w:val="0"/>
          <w:i w:val="0"/>
        </w:rPr>
        <w:t>To ensure that a person who has earned income in one country does not avoid the tax liability payable under the income tax law of the country where the income was earned by moving to another country, double taxation avoidance agreements between countries may include provisions relating to assistance in tax collection. Such provisions control the intention of escaping from one country to another to avoid tax liability. Provisions on this matter have started to be included as a separate article in various models of double taxation avoidance agreements. The latest version of the OECD Model includes Assistance in the Collection of Taxes as a separate article. The SAARC Model also includes such an article.</w:t>
      </w:r>
    </w:p>
    <w:p>
      <w:pPr>
        <w:spacing w:after="80" w:line="259" w:lineRule="auto"/>
      </w:pPr>
      <w:r>
        <w:rPr>
          <w:rFonts w:ascii="Times New Roman" w:hAnsi="Times New Roman"/>
          <w:b w:val="0"/>
          <w:i w:val="0"/>
        </w:rPr>
        <w:t>By including the above provision in Nepal's Income Tax Act, Nepal has given assurance to contracting states that it will assist in the collection of tax liabilities of those countries. Matters such as how tax is to be collected from a resident person who has a tax liability in another country, and for how long collection will be pursued, are specified in detail in the agreement concluded between the two countries. This provision is also illustrated by the example below.</w:t>
      </w:r>
    </w:p>
    <w:p>
      <w:pPr>
        <w:spacing w:after="80" w:line="259" w:lineRule="auto"/>
      </w:pPr>
      <w:r>
        <w:rPr>
          <w:rFonts w:ascii="Times New Roman" w:hAnsi="Times New Roman"/>
          <w:b/>
          <w:i w:val="0"/>
        </w:rPr>
        <w:t>Example 15.2.2:</w:t>
      </w:r>
    </w:p>
    <w:p>
      <w:pPr>
        <w:spacing w:after="80" w:line="259" w:lineRule="auto"/>
      </w:pPr>
      <w:r>
        <w:rPr>
          <w:rFonts w:ascii="Times New Roman" w:hAnsi="Times New Roman"/>
          <w:b w:val="0"/>
          <w:i w:val="0"/>
        </w:rPr>
        <w:t>Assume that a person named Amir Hussein operated a hotel business in India as a resident person of India in income year 2079/80. He was required to pay Rs. 1,000,000 as tax in India for operating that business. He did not deposit the tax in India and left the country. From income year 2080/81, he became a resident person of Nepal and stayed in Nepal. He also operated a business in Nepal as a resident person.</w:t>
      </w:r>
    </w:p>
    <w:p>
      <w:pPr>
        <w:spacing w:after="80" w:line="259" w:lineRule="auto"/>
      </w:pPr>
      <w:r>
        <w:rPr>
          <w:rFonts w:ascii="Times New Roman" w:hAnsi="Times New Roman"/>
          <w:b w:val="0"/>
          <w:i w:val="0"/>
        </w:rPr>
        <w:t>Since the agreement between the Government of Nepal and the Government of India on avoidance of double taxation and prevention of fiscal evasion includes an article on assistance in tax collection, if the competent authority of India writes to the Director General of the Inland Revenue Department of Nepal (the competent authority) requesting collection of the outstanding tax liability of Amir Hussein in India, the Director General of the Inland Revenue Department of Nepal must assist in tax collection subject to this section.</w:t>
      </w:r>
    </w:p>
    <w:p>
      <w:pPr>
        <w:spacing w:after="80" w:line="259" w:lineRule="auto"/>
      </w:pPr>
      <w:r>
        <w:rPr>
          <w:rFonts w:ascii="Times New Roman" w:hAnsi="Times New Roman"/>
          <w:b/>
          <w:i w:val="0"/>
        </w:rPr>
        <w:t>73(3) Where subsection (2) applies, the Department may, for the purpose of transmitting that amount to the competent authority, give written notice to the person having tax arrears and require such person to deposit such amount with the Department within the date specified in the notice.</w:t>
      </w:r>
    </w:p>
    <w:p>
      <w:pPr>
        <w:spacing w:after="80" w:line="259" w:lineRule="auto"/>
      </w:pPr>
      <w:r>
        <w:rPr>
          <w:rFonts w:ascii="Times New Roman" w:hAnsi="Times New Roman"/>
          <w:b w:val="0"/>
          <w:i w:val="0"/>
        </w:rPr>
        <w:t>Where the competent authority of a country with which Nepal has signed an agreement for avoidance of double taxation and prevention of fiscal evasion requests assistance in collection of tax, the Department must follow the collection procedure. In order to collect and transmit the tax from a resident person of Nepal who has tax liability in the contracting country, the Department must issue a written notice specifying the due date for depositing the amount. In Example 15.2.2 above, where the competent authority of India writes to the competent authority of Nepal to recover and transmit Amir Hussein's tax liability in India, the Inland Revenue Department must issue a notice to Amir Hussein specifying the tax amount payable by him in India and the date by which it must be deposited.</w:t>
      </w:r>
    </w:p>
    <w:p>
      <w:pPr>
        <w:spacing w:after="80" w:line="259" w:lineRule="auto"/>
      </w:pPr>
      <w:r>
        <w:rPr>
          <w:rFonts w:ascii="Times New Roman" w:hAnsi="Times New Roman"/>
          <w:b/>
          <w:i w:val="0"/>
        </w:rPr>
        <w:t>73(4) This subsection shall apply where an international agreement provides that Nepal must grant an exemption in respect of income or payment or must apply a reduced rate of tax to income or payment.</w:t>
      </w:r>
    </w:p>
    <w:p>
      <w:pPr>
        <w:spacing w:after="80" w:line="259" w:lineRule="auto"/>
      </w:pPr>
      <w:r>
        <w:rPr>
          <w:rFonts w:ascii="Times New Roman" w:hAnsi="Times New Roman"/>
          <w:b w:val="0"/>
          <w:i w:val="0"/>
        </w:rPr>
        <w:t>The income tax law of any country may prescribe tax rates according to the type of income. A double taxation avoidance agreement clearly specifies in different articles the tax applicable to income according to its type, or the country in which such income is to be taxed. In some cases, the rate prescribed in the income tax law of a country and the rate stated in the agreement may differ. The agreement may provide a rate lower than that stated in the Act, or may provide that an income of a person is exempt in the source country even though that income is taxable under the Act.</w:t>
      </w:r>
    </w:p>
    <w:p>
      <w:pPr>
        <w:spacing w:after="80" w:line="259" w:lineRule="auto"/>
      </w:pPr>
      <w:r>
        <w:rPr>
          <w:rFonts w:ascii="Times New Roman" w:hAnsi="Times New Roman"/>
          <w:b w:val="0"/>
          <w:i w:val="0"/>
        </w:rPr>
        <w:t>If the Act provides that tax is leviable or that tax is leviable at a higher rate, but the agreement provides that tax is not leviable or is leviable at a lower rate, then in relation to the country with which the double taxation avoidance agreement has been concluded, the provisions of the agreement must be followed. Through this subsection, Nepal's Income Tax Act assures the effectiveness of treaty provisions. This is illustrated by the following examples.</w:t>
      </w:r>
    </w:p>
    <w:p>
      <w:pPr>
        <w:spacing w:after="80" w:line="259" w:lineRule="auto"/>
      </w:pPr>
      <w:r>
        <w:rPr>
          <w:rFonts w:ascii="Times New Roman" w:hAnsi="Times New Roman"/>
          <w:b/>
          <w:i w:val="0"/>
        </w:rPr>
        <w:t>Example 15.2.3:</w:t>
      </w:r>
    </w:p>
    <w:p>
      <w:pPr>
        <w:spacing w:after="80" w:line="259" w:lineRule="auto"/>
      </w:pPr>
      <w:r>
        <w:rPr>
          <w:rFonts w:ascii="Times New Roman" w:hAnsi="Times New Roman"/>
          <w:b w:val="0"/>
          <w:i w:val="0"/>
        </w:rPr>
        <w:t>Assume that Dr. Lee of China earns Rs. 1,000,000 by teaching at Bhrikuti Medical College in Nepal. The double taxation avoidance agreement signed between the Government of Nepal and the Government of China provides that where a professor of one country teaches in the other country, the income received by that person from such teaching is not taxable in that other country for two years. Accordingly, in this situation, the provision of the treaty prevails over the provision of Nepal's Income Tax Act, and Dr. Lee is not required to pay tax in Nepal on the income received from Bhrikuti Medical College.</w:t>
      </w:r>
    </w:p>
    <w:p>
      <w:pPr>
        <w:spacing w:after="80" w:line="259" w:lineRule="auto"/>
      </w:pPr>
      <w:r>
        <w:rPr>
          <w:rFonts w:ascii="Times New Roman" w:hAnsi="Times New Roman"/>
          <w:b/>
          <w:i w:val="0"/>
        </w:rPr>
        <w:t>Example 15.2.4:</w:t>
      </w:r>
    </w:p>
    <w:p>
      <w:pPr>
        <w:spacing w:after="80" w:line="259" w:lineRule="auto"/>
      </w:pPr>
      <w:r>
        <w:rPr>
          <w:rFonts w:ascii="Times New Roman" w:hAnsi="Times New Roman"/>
          <w:b w:val="0"/>
          <w:i w:val="0"/>
        </w:rPr>
        <w:t>Assume that a double taxation avoidance agreement has been concluded between the Government of Nepal and the Government of Qatar. The agreement provides that interest income received by a resident person of one country from debt investment in the other country is taxable at 10 percent. Nepal's Income Tax Act requires withholding of tax at source at the rate of 15 percent on interest income received by a person other than a resident natural person, and in the case of a non-resident person, the tax withheld at 15 percent is treated as final withholding tax.</w:t>
      </w:r>
    </w:p>
    <w:p>
      <w:pPr>
        <w:spacing w:after="80" w:line="259" w:lineRule="auto"/>
      </w:pPr>
      <w:r>
        <w:rPr>
          <w:rFonts w:ascii="Times New Roman" w:hAnsi="Times New Roman"/>
          <w:b w:val="0"/>
          <w:i w:val="0"/>
        </w:rPr>
        <w:t>In income year 2080/81, Zakir Hussein, a resident person of Qatar, invests Rs. 10,000,000 in Nepal's Karnali Hydropower Company and receives Rs. 1,000,000 as interest income. Under Nepal's Income Tax Act, tax of Rs. 150,000 at the rate of 15 percent would be imposed on the interest received by Zakir Hussein. However, under the agreement with Qatar, tax is imposed at only Rs. 100,000, i.e. 10 percent. Since there is a double taxation avoidance agreement between Nepal and Qatar, only Rs. 100,000, being 10 percent at the treaty rate, is taxable on Zakir Hussein's interest income.</w:t>
      </w:r>
    </w:p>
    <w:p>
      <w:pPr>
        <w:spacing w:after="80" w:line="259" w:lineRule="auto"/>
      </w:pPr>
      <w:r>
        <w:rPr>
          <w:rFonts w:ascii="Times New Roman" w:hAnsi="Times New Roman"/>
          <w:b/>
          <w:i w:val="0"/>
        </w:rPr>
        <w:t>73(5) Where subsection (4) applies, exemption from tax or the benefit of reduced withholding shall not be available to any entity satisfying the following conditions:</w:t>
      </w:r>
    </w:p>
    <w:p>
      <w:pPr>
        <w:spacing w:after="80" w:line="259" w:lineRule="auto"/>
      </w:pPr>
      <w:r>
        <w:rPr>
          <w:rFonts w:ascii="Times New Roman" w:hAnsi="Times New Roman"/>
          <w:b w:val="0"/>
          <w:i w:val="0"/>
        </w:rPr>
        <w:t>(a) an entity that is considered to be a resident of the other contracting state for the purposes of that agreement; and</w:t>
      </w:r>
    </w:p>
    <w:p>
      <w:pPr>
        <w:spacing w:after="80" w:line="259" w:lineRule="auto"/>
      </w:pPr>
      <w:r>
        <w:rPr>
          <w:rFonts w:ascii="Times New Roman" w:hAnsi="Times New Roman"/>
          <w:b w:val="0"/>
          <w:i w:val="0"/>
        </w:rPr>
        <w:t>(b) fifty percent or more of the underlying ownership of the entity is held by natural persons or by entities in which no natural person has an interest, and such persons or entities are not residents of the other contracting state or of Nepal for the purposes of that agreement.</w:t>
      </w:r>
    </w:p>
    <w:p>
      <w:pPr>
        <w:spacing w:after="80" w:line="259" w:lineRule="auto"/>
      </w:pPr>
      <w:r>
        <w:rPr>
          <w:rFonts w:ascii="Times New Roman" w:hAnsi="Times New Roman"/>
          <w:b w:val="0"/>
          <w:i w:val="0"/>
        </w:rPr>
        <w:t>Subsection (4) provides that where an agreement has been concluded containing provisions that create a lower tax liability than Nepal's Act, the provision stated in the agreement is effective. However, subsection (5) provides that subsection (4) does not apply in relation to the persons specified in subsection (5). In order to obtain the benefit of tax exemption under an agreement, the person must be a resident of the contracting country or of Nepal.</w:t>
      </w:r>
    </w:p>
    <w:p>
      <w:pPr>
        <w:spacing w:after="80" w:line="259" w:lineRule="auto"/>
      </w:pPr>
      <w:r>
        <w:rPr>
          <w:rFonts w:ascii="Times New Roman" w:hAnsi="Times New Roman"/>
          <w:b w:val="0"/>
          <w:i w:val="0"/>
        </w:rPr>
        <w:t>For example, Nepal and Qatar have a double taxation avoidance agreement. To obtain the benefit under this section of the Act, at least 50 percent of the shareholders of a Qatari company must be resident persons under the tax law of Qatar or resident persons of Nepal. A Qatari company in which 60 percent of the shares are held by persons resident in a country other than Qatar or Nepal cannot obtain the tax concession under this section.</w:t>
      </w:r>
    </w:p>
    <w:p>
      <w:pPr>
        <w:spacing w:after="80" w:line="259" w:lineRule="auto"/>
      </w:pPr>
      <w:r>
        <w:rPr>
          <w:rFonts w:ascii="Times New Roman" w:hAnsi="Times New Roman"/>
          <w:b/>
          <w:i w:val="0"/>
        </w:rPr>
        <w:t>Explanation: For the purpose of this section, "international agreement" means any treaty or agreement entered into with a foreign government and applicable to Nepal that provides for:</w:t>
      </w:r>
    </w:p>
    <w:p>
      <w:pPr>
        <w:spacing w:after="80" w:line="259" w:lineRule="auto"/>
      </w:pPr>
      <w:r>
        <w:rPr>
          <w:rFonts w:ascii="Times New Roman" w:hAnsi="Times New Roman"/>
          <w:b w:val="0"/>
          <w:i w:val="0"/>
        </w:rPr>
        <w:t>(a) avoidance of double taxation and prevention of fiscal evasion; or</w:t>
      </w:r>
    </w:p>
    <w:p>
      <w:pPr>
        <w:spacing w:after="80" w:line="259" w:lineRule="auto"/>
      </w:pPr>
      <w:r>
        <w:rPr>
          <w:rFonts w:ascii="Times New Roman" w:hAnsi="Times New Roman"/>
          <w:b w:val="0"/>
          <w:i w:val="0"/>
        </w:rPr>
        <w:t>(b) mutual administrative assistance in the implementation of tax liabilities.</w:t>
      </w:r>
    </w:p>
    <w:p>
      <w:pPr>
        <w:spacing w:after="80" w:line="259" w:lineRule="auto"/>
      </w:pPr>
      <w:r>
        <w:rPr>
          <w:rFonts w:ascii="Times New Roman" w:hAnsi="Times New Roman"/>
          <w:b w:val="0"/>
          <w:i w:val="0"/>
        </w:rPr>
        <w:t>Agreements entered into with foreign countries in relation to income tax are mainly for avoidance of double taxation and prevention of fiscal evasion. However, in some cases, instead of a full-fledged agreement, countries may enter into agreements on limited subject matters. Since it may take a long time to include all types of income of persons or all articles of a model agreement, and since the economic activities between countries may require agreement only on limited subject matters, an agreement may be concluded by including only some articles.</w:t>
      </w:r>
    </w:p>
    <w:p>
      <w:pPr>
        <w:spacing w:after="80" w:line="259" w:lineRule="auto"/>
      </w:pPr>
      <w:r>
        <w:rPr>
          <w:rFonts w:ascii="Times New Roman" w:hAnsi="Times New Roman"/>
          <w:b w:val="0"/>
          <w:i w:val="0"/>
        </w:rPr>
        <w:t>An agreement may be concluded between two states only in relation to exchange of information. Similarly, in order to discourage the tendency of keeping tax liabilities in one country and residing in another country, countries may also conclude an agreement only for assistance in the collection of taxes.</w:t>
      </w:r>
    </w:p>
    <w:p>
      <w:pPr>
        <w:spacing w:after="80" w:line="259" w:lineRule="auto"/>
      </w:pPr>
      <w:r>
        <w:rPr>
          <w:rFonts w:ascii="Times New Roman" w:hAnsi="Times New Roman"/>
          <w:b w:val="0"/>
          <w:i w:val="0"/>
        </w:rPr>
        <w:t>Even in relation to avoidance of double taxation or prevention of fiscal evasion, agreements may be concluded only for limited sectors or income instead of all income of persons. In particular, agreements only in respect of the income of Shipping and Air Enterprises are found between many countries. Even where there is no trade, investment, technology transfer or service activity between countries, Shipping and Air Enterprises may operate; therefore, an agreement may be concluded by clarifying the various aspects of such activities.</w:t>
      </w:r>
    </w:p>
    <w:p>
      <w:pPr>
        <w:pStyle w:val="Heading2"/>
        <w:spacing w:after="80" w:line="259" w:lineRule="auto"/>
      </w:pPr>
      <w:r>
        <w:rPr>
          <w:rFonts w:ascii="Times New Roman" w:hAnsi="Times New Roman"/>
          <w:b w:val="0"/>
          <w:i w:val="0"/>
        </w:rPr>
        <w:t>15.3 Double Taxation Avoidance Agreement</w:t>
      </w:r>
    </w:p>
    <w:p>
      <w:pPr>
        <w:pStyle w:val="Heading3"/>
        <w:spacing w:after="80" w:line="259" w:lineRule="auto"/>
      </w:pPr>
      <w:r>
        <w:rPr>
          <w:rFonts w:ascii="Times New Roman" w:hAnsi="Times New Roman"/>
          <w:b w:val="0"/>
          <w:i w:val="0"/>
        </w:rPr>
        <w:t>15.3.1 Introduction to Double Taxation Avoidance Agreement</w:t>
      </w:r>
    </w:p>
    <w:p>
      <w:pPr>
        <w:spacing w:after="80" w:line="259" w:lineRule="auto"/>
      </w:pPr>
      <w:r>
        <w:rPr>
          <w:rFonts w:ascii="Times New Roman" w:hAnsi="Times New Roman"/>
          <w:b w:val="0"/>
          <w:i w:val="0"/>
        </w:rPr>
        <w:t>In the present world, no country can remain isolated in economic activities. Developing countries require foreign investment, modern technology and expert services for rapid economic development. Similarly, in developed countries, investment opportunities in their own countries may decline, while markets, raw materials and cheap labour are available in developing countries. Therefore, the flow of investment into developing countries has become common.</w:t>
      </w:r>
    </w:p>
    <w:p>
      <w:pPr>
        <w:spacing w:after="80" w:line="259" w:lineRule="auto"/>
      </w:pPr>
      <w:r>
        <w:rPr>
          <w:rFonts w:ascii="Times New Roman" w:hAnsi="Times New Roman"/>
          <w:b w:val="0"/>
          <w:i w:val="0"/>
        </w:rPr>
        <w:t>A resident person of one country earns income in another country by carrying on business, engaging in employment or service, making capital or debt investment, or transferring technology. Income so received is taxable under the income tax law of the country in which the income is received. On the other hand, the country of residence has the exclusive right of taxation over the income of a resident person, wherever that income is earned, and not merely over domestic income.</w:t>
      </w:r>
    </w:p>
    <w:p>
      <w:pPr>
        <w:spacing w:after="80" w:line="259" w:lineRule="auto"/>
      </w:pPr>
      <w:r>
        <w:rPr>
          <w:rFonts w:ascii="Times New Roman" w:hAnsi="Times New Roman"/>
          <w:b w:val="0"/>
          <w:i w:val="0"/>
        </w:rPr>
        <w:t>Nepal's Income Tax Act is mainly based on two tax bases. Nepal has the right to tax income earned by a resident of Nepal in any country. Likewise, where a non-resident has income having a source in Nepal, the Income Tax Act also gives Nepal the right to tax that income.</w:t>
      </w:r>
    </w:p>
    <w:p>
      <w:pPr>
        <w:spacing w:after="80" w:line="259" w:lineRule="auto"/>
      </w:pPr>
      <w:r>
        <w:rPr>
          <w:rFonts w:ascii="Times New Roman" w:hAnsi="Times New Roman"/>
          <w:b w:val="0"/>
          <w:i w:val="0"/>
        </w:rPr>
        <w:t>Since a resident person may be taxed in the country of residence and also in another country on earnings made there, the same income of a person may be subject to double taxation. Agreements for avoidance of double taxation are entered into between various countries to ensure that the same income of any person is not taxed in two countries and to provide for credit of tax paid in a non-resident country on income earned there. An agreement made between two countries to specify which country may tax which income of which person, at what rate tax applies, and how and to what extent tax paid in another country may be credited in the home country, is called a double taxation avoidance agreement.</w:t>
      </w:r>
    </w:p>
    <w:p>
      <w:pPr>
        <w:pStyle w:val="Heading3"/>
        <w:spacing w:after="80" w:line="259" w:lineRule="auto"/>
      </w:pPr>
      <w:r>
        <w:rPr>
          <w:rFonts w:ascii="Times New Roman" w:hAnsi="Times New Roman"/>
          <w:b w:val="0"/>
          <w:i w:val="0"/>
        </w:rPr>
        <w:t>15.3.2 Common Concepts relating to Double Taxation Avoidance Agreements</w:t>
      </w:r>
    </w:p>
    <w:p>
      <w:pPr>
        <w:spacing w:after="80" w:line="259" w:lineRule="auto"/>
      </w:pPr>
      <w:r>
        <w:rPr>
          <w:rFonts w:ascii="Times New Roman" w:hAnsi="Times New Roman"/>
          <w:b w:val="0"/>
          <w:i w:val="0"/>
        </w:rPr>
        <w:t>Double taxation avoidance agreements cover international transactions. The international tax aspect of any country may be both inbound and outbound. Although there are various concepts relating to double taxation avoidance agreements, certain concepts are generally common internationally. The main common concepts are as follows:</w:t>
      </w:r>
    </w:p>
    <w:p>
      <w:pPr>
        <w:pStyle w:val="ListBullet"/>
        <w:spacing w:after="40" w:line="252" w:lineRule="auto"/>
      </w:pPr>
      <w:r>
        <w:rPr>
          <w:rFonts w:ascii="Times New Roman" w:hAnsi="Times New Roman"/>
        </w:rPr>
        <w:t>Where income is earned in a country through trade, business, transaction or any other reason, the source country has the first right to impose tax on such income. If a resident person of one country actively earns income in another country by operating a branch, office or factory through effective management, the income so earned is taxable in the country where it is earned.</w:t>
      </w:r>
    </w:p>
    <w:p>
      <w:pPr>
        <w:pStyle w:val="ListBullet"/>
        <w:spacing w:after="40" w:line="252" w:lineRule="auto"/>
      </w:pPr>
      <w:r>
        <w:rPr>
          <w:rFonts w:ascii="Times New Roman" w:hAnsi="Times New Roman"/>
        </w:rPr>
        <w:t>A resident person of one country may earn income while remaining in the country of residence by making capital investment, debt investment or technology transfer in another country, without carrying on transactions in the other country through a permanent establishment. In such income obtained without the person being actively present in the other country in any form, limited-rate tax is levied in the source country.</w:t>
      </w:r>
    </w:p>
    <w:p>
      <w:pPr>
        <w:pStyle w:val="ListBullet"/>
        <w:spacing w:after="40" w:line="252" w:lineRule="auto"/>
      </w:pPr>
      <w:r>
        <w:rPr>
          <w:rFonts w:ascii="Times New Roman" w:hAnsi="Times New Roman"/>
        </w:rPr>
        <w:t>Where a resident person of one country earns income in another country, tax is levied at source in the country where the income is earned. After crediting the tax levied at source, the right to tax belongs to the country of residence.</w:t>
      </w:r>
    </w:p>
    <w:p>
      <w:pPr>
        <w:pStyle w:val="ListBullet"/>
        <w:spacing w:after="40" w:line="252" w:lineRule="auto"/>
      </w:pPr>
      <w:r>
        <w:rPr>
          <w:rFonts w:ascii="Times New Roman" w:hAnsi="Times New Roman"/>
        </w:rPr>
        <w:t>Where a resident person of one country earns income in another country, the tax paid in the source country must be credited. By crediting the tax paid in the source country in the country of residence, the same income of a person is not subjected to double taxation.</w:t>
      </w:r>
    </w:p>
    <w:p>
      <w:pPr>
        <w:spacing w:after="80" w:line="259" w:lineRule="auto"/>
      </w:pPr>
      <w:r>
        <w:rPr>
          <w:rFonts w:ascii="Times New Roman" w:hAnsi="Times New Roman"/>
          <w:b w:val="0"/>
          <w:i w:val="0"/>
        </w:rPr>
        <w:t>When a double taxation avoidance agreement is concluded, the allocation of taxing rights over income is determined through negotiation between the two countries. Although matters relating to other heads of income are settled by negotiation, contracting countries generally share the common understanding mentioned above.</w:t>
      </w:r>
    </w:p>
    <w:p>
      <w:pPr>
        <w:pStyle w:val="Heading3"/>
        <w:spacing w:after="80" w:line="259" w:lineRule="auto"/>
      </w:pPr>
      <w:r>
        <w:rPr>
          <w:rFonts w:ascii="Times New Roman" w:hAnsi="Times New Roman"/>
          <w:b w:val="0"/>
          <w:i w:val="0"/>
        </w:rPr>
        <w:t>15.3.3 Objectives of a Double Taxation Avoidance Agreement</w:t>
      </w:r>
    </w:p>
    <w:p>
      <w:pPr>
        <w:spacing w:after="80" w:line="259" w:lineRule="auto"/>
      </w:pPr>
      <w:r>
        <w:rPr>
          <w:rFonts w:ascii="Times New Roman" w:hAnsi="Times New Roman"/>
          <w:b w:val="0"/>
          <w:i w:val="0"/>
        </w:rPr>
        <w:t>Where a person earns income in any country, that income is taxable under the income tax law of that country. In the present world, the income of many persons may not be limited to a single country. Through international trade, business, investment and technology transfer, the presence of a person may extend to another country. International trade and investment support the economic development of countries. As both countries involved in international transactions develop economically, global economic development is supported as a whole. Double taxation avoidance agreements are concluded to facilitate transactions in any form between two countries and to provide an appropriate allocation of taxing rights between contracting states. The main objectives are as follows:</w:t>
      </w:r>
    </w:p>
    <w:p>
      <w:pPr>
        <w:spacing w:after="80" w:line="259" w:lineRule="auto"/>
      </w:pPr>
      <w:r>
        <w:rPr>
          <w:rFonts w:ascii="Times New Roman" w:hAnsi="Times New Roman"/>
          <w:b/>
          <w:i w:val="0"/>
        </w:rPr>
        <w:t>(1) To remove the situation of double taxation:</w:t>
      </w:r>
    </w:p>
    <w:p>
      <w:pPr>
        <w:spacing w:after="80" w:line="259" w:lineRule="auto"/>
      </w:pPr>
      <w:r>
        <w:rPr>
          <w:rFonts w:ascii="Times New Roman" w:hAnsi="Times New Roman"/>
          <w:b w:val="0"/>
          <w:i w:val="0"/>
        </w:rPr>
        <w:t>Generally, income earned by a person is taxed in the country where it is earned. Under the law of the residence country, the income of a resident person may be taxed in the country of residence irrespective of the country where the income is earned. A double taxation avoidance agreement is concluded between countries to remove the situation in which the same income of the same person is taxed in two countries. This is illustrated by the following example.</w:t>
      </w:r>
    </w:p>
    <w:p>
      <w:pPr>
        <w:spacing w:after="80" w:line="259" w:lineRule="auto"/>
      </w:pPr>
      <w:r>
        <w:rPr>
          <w:rFonts w:ascii="Times New Roman" w:hAnsi="Times New Roman"/>
          <w:b/>
          <w:i w:val="0"/>
        </w:rPr>
        <w:t>Example 15.3.1:</w:t>
      </w:r>
    </w:p>
    <w:p>
      <w:pPr>
        <w:spacing w:after="80" w:line="259" w:lineRule="auto"/>
      </w:pPr>
      <w:r>
        <w:rPr>
          <w:rFonts w:ascii="Times New Roman" w:hAnsi="Times New Roman"/>
          <w:b w:val="0"/>
          <w:i w:val="0"/>
        </w:rPr>
        <w:t>Assume that Mr. Peter is a resident person of the United Kingdom. During income year 2080/81, he earns income by working as a telephone operator at the residential embassy of Nepal situated in the United Kingdom. Although Mr. Peter is a resident of the United Kingdom, the amount received from the Government of Nepal for working as a telephone operator has a source in Nepal under Section 67(6)(jha) of the Act, and his income is taxable under Nepal's Income Tax Act.</w:t>
      </w:r>
    </w:p>
    <w:p>
      <w:pPr>
        <w:spacing w:after="80" w:line="259" w:lineRule="auto"/>
      </w:pPr>
      <w:r>
        <w:rPr>
          <w:rFonts w:ascii="Times New Roman" w:hAnsi="Times New Roman"/>
          <w:b w:val="0"/>
          <w:i w:val="0"/>
        </w:rPr>
        <w:t>If the income tax law of the United Kingdom provides that income received by its own resident person from government service of any country is taxable in the United Kingdom, then in this situation the income received by Mr. Peter will be taxed in both countries. However, if a double taxation avoidance agreement has been concluded between Nepal and the United Kingdom, the agreement itself will clearly specify the country in which income received from government service is taxable, and double taxation will be avoided.</w:t>
      </w:r>
    </w:p>
    <w:p>
      <w:pPr>
        <w:spacing w:after="80" w:line="259" w:lineRule="auto"/>
      </w:pPr>
      <w:r>
        <w:rPr>
          <w:rFonts w:ascii="Times New Roman" w:hAnsi="Times New Roman"/>
          <w:b/>
          <w:i w:val="0"/>
        </w:rPr>
        <w:t>(2) To reduce the tax burden:</w:t>
      </w:r>
    </w:p>
    <w:p>
      <w:pPr>
        <w:spacing w:after="80" w:line="259" w:lineRule="auto"/>
      </w:pPr>
      <w:r>
        <w:rPr>
          <w:rFonts w:ascii="Times New Roman" w:hAnsi="Times New Roman"/>
          <w:b w:val="0"/>
          <w:i w:val="0"/>
        </w:rPr>
        <w:t>Where a person earns income in another country, tax is imposed in the country where the income is earned under the income tax law of that country. If a double taxation avoidance agreement exists between the country where income is earned and the country of residence of the person, the tax rate applicable according to the nature of the income is also specified. If the rate of tax specified in the agreement is lower than the rate prescribed under the income tax law of the country where the income is earned, the tax burden is reduced because of the double taxation avoidance agreement. This provision is illustrated below.</w:t>
      </w:r>
    </w:p>
    <w:p>
      <w:pPr>
        <w:spacing w:after="80" w:line="259" w:lineRule="auto"/>
      </w:pPr>
      <w:r>
        <w:rPr>
          <w:rFonts w:ascii="Times New Roman" w:hAnsi="Times New Roman"/>
          <w:b/>
          <w:i w:val="0"/>
        </w:rPr>
        <w:t>Example 15.3.2:</w:t>
      </w:r>
    </w:p>
    <w:p>
      <w:pPr>
        <w:spacing w:after="80" w:line="259" w:lineRule="auto"/>
      </w:pPr>
      <w:r>
        <w:rPr>
          <w:rFonts w:ascii="Times New Roman" w:hAnsi="Times New Roman"/>
          <w:b w:val="0"/>
          <w:i w:val="0"/>
        </w:rPr>
        <w:t>Assume that ABC Company is a Nepali company engaged in electricity generation. To operate its business, the company has borrowed Rs. 10,000,000 from Mr. Chang, a Chinese citizen, on the condition of paying interest at the rate of 10 percent. In income year 2080/81, ABC Company pays Rs. 1,000,000 to Mr. Chang as interest on the loan. Under Nepal's Income Tax Act, advance tax must be withheld at the rate of 15 percent on such interest paid to a non-resident person. Since Mr. Chang is a resident person of China and the double taxation avoidance agreement concluded between Nepal and China provides that interest income is taxable at 10 percent, Mr. Chang's tax burden is reduced by 5 percent.</w:t>
      </w:r>
    </w:p>
    <w:p>
      <w:pPr>
        <w:spacing w:after="80" w:line="259" w:lineRule="auto"/>
      </w:pPr>
      <w:r>
        <w:rPr>
          <w:rFonts w:ascii="Times New Roman" w:hAnsi="Times New Roman"/>
          <w:b/>
          <w:i w:val="0"/>
        </w:rPr>
        <w:t>(3) To reduce uncertainty of tax liability:</w:t>
      </w:r>
    </w:p>
    <w:p>
      <w:pPr>
        <w:spacing w:after="80" w:line="259" w:lineRule="auto"/>
      </w:pPr>
      <w:r>
        <w:rPr>
          <w:rFonts w:ascii="Times New Roman" w:hAnsi="Times New Roman"/>
          <w:b w:val="0"/>
          <w:i w:val="0"/>
        </w:rPr>
        <w:t>The income tax law of any country may be amended according to the needs of that country. When the income tax law is amended, the tax rate on the income of any person may increase. A person who invests in another country may face uncertainty regarding the tax applicable to income because the tax rate existing at the time of investment may change later due to amendments. If a double taxation avoidance agreement exists between the country of residence of the investor and the country of investment, the tax rate is fixed according to the nature of income, and even if the rate specified in the agreement is higher than the rate stated in that country's income tax law, the provision of the agreement prevails. Therefore, uncertainty of tax liability does not arise. This is illustrated below.</w:t>
      </w:r>
    </w:p>
    <w:p>
      <w:pPr>
        <w:spacing w:after="80" w:line="259" w:lineRule="auto"/>
      </w:pPr>
      <w:r>
        <w:rPr>
          <w:rFonts w:ascii="Times New Roman" w:hAnsi="Times New Roman"/>
          <w:b/>
          <w:i w:val="0"/>
        </w:rPr>
        <w:t>Example 15.3.3:</w:t>
      </w:r>
    </w:p>
    <w:p>
      <w:pPr>
        <w:spacing w:after="80" w:line="259" w:lineRule="auto"/>
      </w:pPr>
      <w:r>
        <w:rPr>
          <w:rFonts w:ascii="Times New Roman" w:hAnsi="Times New Roman"/>
          <w:b w:val="0"/>
          <w:i w:val="0"/>
        </w:rPr>
        <w:t>Assume that Mr. Habib is a resident person of Pakistan. He has developed computer software that facilitates banking business. Nepal's ABC Bank has obtained the right to use the software developed by him continuously for five years and pays Rs. 10,000,000 each year as royalty. Under Nepal's Income Tax Act, tax is imposed at the rate of 15 percent on royalty payments. Since the Income Tax Act may be amended repeatedly and the rate of tax on royalty payments may change, Mr. Habib may face continuing uncertainty regarding the tax on royalty income.</w:t>
      </w:r>
    </w:p>
    <w:p>
      <w:pPr>
        <w:spacing w:after="80" w:line="259" w:lineRule="auto"/>
      </w:pPr>
      <w:r>
        <w:rPr>
          <w:rFonts w:ascii="Times New Roman" w:hAnsi="Times New Roman"/>
          <w:b w:val="0"/>
          <w:i w:val="0"/>
        </w:rPr>
        <w:t>Because Mr. Habib is a Pakistani resident and Nepal and Pakistan have a double taxation avoidance agreement, even if Nepal's Income Tax Act is amended to increase the rate of tax on royalty payments, there will be no uncertainty regarding the tax rate applicable to him because of the double taxation avoidance agreement. Under the agreement between Nepal and Pakistan, the rate of such tax does not exceed 15 percent.</w:t>
      </w:r>
    </w:p>
    <w:p>
      <w:pPr>
        <w:spacing w:after="80" w:line="259" w:lineRule="auto"/>
      </w:pPr>
      <w:r>
        <w:rPr>
          <w:rFonts w:ascii="Times New Roman" w:hAnsi="Times New Roman"/>
          <w:b/>
          <w:i w:val="0"/>
        </w:rPr>
        <w:t>(4) To reduce tax leakage:</w:t>
      </w:r>
    </w:p>
    <w:p>
      <w:pPr>
        <w:spacing w:after="80" w:line="259" w:lineRule="auto"/>
      </w:pPr>
      <w:r>
        <w:rPr>
          <w:rFonts w:ascii="Times New Roman" w:hAnsi="Times New Roman"/>
          <w:b w:val="0"/>
          <w:i w:val="0"/>
        </w:rPr>
        <w:t>Persons involved in international transactions may transfer income from a country with a higher tax rate to a country with a comparatively lower tax rate through transfer pricing. As a result, the tax payable in the country where the transaction occurred and income was earned may be reduced, causing loss to the source country. If a double taxation avoidance agreement exists between the country of residence of the person carrying on the transaction and the country where the transaction occurred, this type of leakage can be controlled. Since a double taxation avoidance agreement includes provisions for exchange of information relating to the transactions of residents of contracting states, information regarding transactions may be obtained subject to such provisions. This arrangement helps reduce the possibility of tax leakage. The provision is illustrated below.</w:t>
      </w:r>
    </w:p>
    <w:p>
      <w:pPr>
        <w:spacing w:after="80" w:line="259" w:lineRule="auto"/>
      </w:pPr>
      <w:r>
        <w:rPr>
          <w:rFonts w:ascii="Times New Roman" w:hAnsi="Times New Roman"/>
          <w:b/>
          <w:i w:val="0"/>
        </w:rPr>
        <w:t>Example 15.3.4:</w:t>
      </w:r>
    </w:p>
    <w:p>
      <w:pPr>
        <w:spacing w:after="80" w:line="259" w:lineRule="auto"/>
      </w:pPr>
      <w:r>
        <w:rPr>
          <w:rFonts w:ascii="Times New Roman" w:hAnsi="Times New Roman"/>
          <w:b w:val="0"/>
          <w:i w:val="0"/>
        </w:rPr>
        <w:t>Assume that a company situated in Mauritius sells motor vehicles and has permanent establishments in Nepal and Kuwait. The income tax law of Mauritius taxes business income at 20 percent, Nepal's Income Tax Act taxes ordinary business income at 25 percent, and the tax rate in Kuwait is assumed to be 15 percent. The price per vehicle sent by the Mauritian company to Nepal is Rs. 800,000, while the same type of vehicle is sent to Kuwait at Rs. 700,000 per vehicle. In this situation, the company is considered to have arranged transfer pricing from Nepal to Mauritius. Since there is a double taxation avoidance agreement between Nepal and Mauritius, the competent authority of Nepal may request information from Mauritius regarding the prices at which the company in Mauritius has sent vehicles to its other permanent establishments. The Government of Mauritius must provide the requested information.</w:t>
      </w:r>
    </w:p>
    <w:p>
      <w:pPr>
        <w:pStyle w:val="Heading3"/>
        <w:spacing w:after="80" w:line="259" w:lineRule="auto"/>
      </w:pPr>
      <w:r>
        <w:rPr>
          <w:rFonts w:ascii="Times New Roman" w:hAnsi="Times New Roman"/>
          <w:b w:val="0"/>
          <w:i w:val="0"/>
        </w:rPr>
        <w:t>15.3.4 Models of Double Taxation Avoidance Agreements</w:t>
      </w:r>
    </w:p>
    <w:p>
      <w:pPr>
        <w:spacing w:after="80" w:line="259" w:lineRule="auto"/>
      </w:pPr>
      <w:r>
        <w:rPr>
          <w:rFonts w:ascii="Times New Roman" w:hAnsi="Times New Roman"/>
          <w:b w:val="0"/>
          <w:i w:val="0"/>
        </w:rPr>
        <w:t>Because goods and services are exchanged between countries and technology, capital and loans are transferred, income may be received in one country by a person who is a resident of another country. Therefore, the income tax laws of two countries may be attracted in relation to the income received by that person. Generally, tax is levied in the country where the income is received on the basis of source under that country's income tax law. In countries that follow the principle of taxing worldwide income of residents, the income tax law taxes income earned outside the country by a resident person as well. Thus, the same income of the same person may be taxed twice.</w:t>
      </w:r>
    </w:p>
    <w:p>
      <w:pPr>
        <w:spacing w:after="80" w:line="259" w:lineRule="auto"/>
      </w:pPr>
      <w:r>
        <w:rPr>
          <w:rFonts w:ascii="Times New Roman" w:hAnsi="Times New Roman"/>
          <w:b w:val="0"/>
          <w:i w:val="0"/>
        </w:rPr>
        <w:t>Double taxation avoidance agreements are concluded between countries so that the same income of a person is not taxed twice and so that a situation in which no tax is levied in either country does not arise. The main objective of an international agreement is to provide relief from double taxation. For this purpose, the agreement determines, on the basis of the nature of income, the country in which each type of income of a person will be taxed. For certain income, tax is levied both in the source country and in the country of residence, and relief from double taxation is provided by declaring such income in the country of residence and crediting the tax paid on that income.</w:t>
      </w:r>
    </w:p>
    <w:p>
      <w:pPr>
        <w:spacing w:after="80" w:line="259" w:lineRule="auto"/>
      </w:pPr>
      <w:r>
        <w:rPr>
          <w:rFonts w:ascii="Times New Roman" w:hAnsi="Times New Roman"/>
          <w:b w:val="0"/>
          <w:i w:val="0"/>
        </w:rPr>
        <w:t>In recent times, international agreements have begun to include effective provisions to control tax leakage through exchange of information. Where a resident person of one country has tax arrears payable in another country, agreements have also begun to include provisions relating to recovery of outstanding tax in each other's countries among contracting states.</w:t>
      </w:r>
    </w:p>
    <w:p>
      <w:pPr>
        <w:spacing w:after="80" w:line="259" w:lineRule="auto"/>
      </w:pPr>
      <w:r>
        <w:rPr>
          <w:rFonts w:ascii="Times New Roman" w:hAnsi="Times New Roman"/>
          <w:b w:val="0"/>
          <w:i w:val="0"/>
        </w:rPr>
        <w:t>Different models of international agreements are in practice to provide guidance on how agreements for avoidance of double taxation between countries may be made appropriately and to ensure that the tax amount to be received by any one country is not affected inappropriately. Some years ago, the South Asian Association for Regional Cooperation (SAARC) also issued a SAARC Model covering limited subject matters. The main models in practice are as follows:</w:t>
      </w:r>
    </w:p>
    <w:p>
      <w:pPr>
        <w:pStyle w:val="ListBullet"/>
        <w:spacing w:after="40" w:line="252" w:lineRule="auto"/>
      </w:pPr>
      <w:r>
        <w:rPr>
          <w:rFonts w:ascii="Times New Roman" w:hAnsi="Times New Roman"/>
        </w:rPr>
        <w:t>United Nations Model (UN Model)</w:t>
      </w:r>
    </w:p>
    <w:p>
      <w:pPr>
        <w:pStyle w:val="ListBullet"/>
        <w:spacing w:after="40" w:line="252" w:lineRule="auto"/>
      </w:pPr>
      <w:r>
        <w:rPr>
          <w:rFonts w:ascii="Times New Roman" w:hAnsi="Times New Roman"/>
        </w:rPr>
        <w:t>Organisation for Economic Co-operation and Development Model (OECD Model)</w:t>
      </w:r>
    </w:p>
    <w:p>
      <w:pPr>
        <w:pStyle w:val="ListBullet"/>
        <w:spacing w:after="40" w:line="252" w:lineRule="auto"/>
      </w:pPr>
      <w:r>
        <w:rPr>
          <w:rFonts w:ascii="Times New Roman" w:hAnsi="Times New Roman"/>
        </w:rPr>
        <w:t>South Asian Association for Regional Cooperation Model (SAARC Model)</w:t>
      </w:r>
    </w:p>
    <w:p>
      <w:pPr>
        <w:pStyle w:val="ListBullet"/>
        <w:spacing w:after="40" w:line="252" w:lineRule="auto"/>
      </w:pPr>
      <w:r>
        <w:rPr>
          <w:rFonts w:ascii="Times New Roman" w:hAnsi="Times New Roman"/>
        </w:rPr>
        <w:t>US Model</w:t>
      </w:r>
    </w:p>
    <w:p>
      <w:pPr>
        <w:pStyle w:val="ListBullet"/>
        <w:spacing w:after="40" w:line="252" w:lineRule="auto"/>
      </w:pPr>
      <w:r>
        <w:rPr>
          <w:rFonts w:ascii="Times New Roman" w:hAnsi="Times New Roman"/>
        </w:rPr>
        <w:t>Netherlands Model</w:t>
      </w:r>
    </w:p>
    <w:p>
      <w:pPr>
        <w:spacing w:after="80" w:line="259" w:lineRule="auto"/>
      </w:pPr>
      <w:r>
        <w:rPr>
          <w:rFonts w:ascii="Times New Roman" w:hAnsi="Times New Roman"/>
          <w:b w:val="0"/>
          <w:i w:val="0"/>
        </w:rPr>
        <w:t>Among the various published models for international agreements, the OECD Model and the UN Model are more commonly used. Both models include the persons covered by the agreement, taxes covered, definitions, the country of taxation according to the nature of income, tax levied in the source country on passive income received by a person without being actively present in another country in return for capital investment, technology transfer or allowing use of property, tax on income received from carrying on business or providing services by active presence, exchange of information, and the method for declaring income having a source in another country in the country of residence and crediting the tax paid there.</w:t>
      </w:r>
    </w:p>
    <w:p>
      <w:pPr>
        <w:spacing w:after="80" w:line="259" w:lineRule="auto"/>
      </w:pPr>
      <w:r>
        <w:rPr>
          <w:rFonts w:ascii="Times New Roman" w:hAnsi="Times New Roman"/>
          <w:b w:val="0"/>
          <w:i w:val="0"/>
        </w:rPr>
        <w:t>Although both models are complete in themselves, they differ in relation to matters such as the country having taxing rights according to the nature of income and the rate of tax in the source country on dividend, interest and royalty income. Some of the major differences are as follows:</w:t>
      </w:r>
    </w:p>
    <w:p>
      <w:pPr>
        <w:pStyle w:val="ListBullet"/>
        <w:spacing w:after="40" w:line="252" w:lineRule="auto"/>
      </w:pPr>
      <w:r>
        <w:rPr>
          <w:rFonts w:ascii="Times New Roman" w:hAnsi="Times New Roman"/>
        </w:rPr>
        <w:t>The UN Model contains 29 articles, whereas the OECD Model contains 31 articles (currently 30). In addition to the articles included in the UN Model, the OECD Model includes Assistance in the Collection of Taxes and Territorial Extension, and has deleted Independent Personal Services.</w:t>
      </w:r>
    </w:p>
    <w:p>
      <w:pPr>
        <w:pStyle w:val="ListBullet"/>
        <w:spacing w:after="40" w:line="252" w:lineRule="auto"/>
      </w:pPr>
      <w:r>
        <w:rPr>
          <w:rFonts w:ascii="Times New Roman" w:hAnsi="Times New Roman"/>
        </w:rPr>
        <w:t>For a construction permanent establishment, the OECD Model requires presence in another country for more than one year. The UN Model provides that a permanent establishment arises if presence in another country exceeds six months. The UN Model also treats direct supervision of building construction and installation as a permanent establishment.</w:t>
      </w:r>
    </w:p>
    <w:p>
      <w:pPr>
        <w:pStyle w:val="ListBullet"/>
        <w:spacing w:after="40" w:line="252" w:lineRule="auto"/>
      </w:pPr>
      <w:r>
        <w:rPr>
          <w:rFonts w:ascii="Times New Roman" w:hAnsi="Times New Roman"/>
        </w:rPr>
        <w:t>The UN Model clearly provides that where a person provides services in another country through employees or other persons and the duration of such services exceeds 183 days, the person providing the service constitutes an enterprise/permanent establishment in the country where the service is provided.</w:t>
      </w:r>
    </w:p>
    <w:p>
      <w:pPr>
        <w:pStyle w:val="ListBullet"/>
        <w:spacing w:after="40" w:line="252" w:lineRule="auto"/>
      </w:pPr>
      <w:r>
        <w:rPr>
          <w:rFonts w:ascii="Times New Roman" w:hAnsi="Times New Roman"/>
        </w:rPr>
        <w:t>In the article on business profits, the UN Model includes a wider scope than the OECD Model for computation of income of a permanent establishment. It also includes the Force of Attraction Rule. The Force of Attraction Rule means the method under which, if a permanent establishment of another country exists in a country and a person of the permanent-establishment country transacts with the head office or an associated person of that permanent establishment, income from such transactions is included in the income of the permanent establishment.</w:t>
      </w:r>
    </w:p>
    <w:p>
      <w:pPr>
        <w:pStyle w:val="ListBullet"/>
        <w:spacing w:after="40" w:line="252" w:lineRule="auto"/>
      </w:pPr>
      <w:r>
        <w:rPr>
          <w:rFonts w:ascii="Times New Roman" w:hAnsi="Times New Roman"/>
        </w:rPr>
        <w:t>The OECD Model provides that the income of Shipping and Air Transport Enterprises is taxable only in the country where the place of effective management of the enterprise is located. The UN Model provides two options regarding the taxation of such income.</w:t>
      </w:r>
    </w:p>
    <w:p>
      <w:pPr>
        <w:pStyle w:val="ListBullet"/>
        <w:spacing w:after="40" w:line="252" w:lineRule="auto"/>
      </w:pPr>
      <w:r>
        <w:rPr>
          <w:rFonts w:ascii="Times New Roman" w:hAnsi="Times New Roman"/>
        </w:rPr>
        <w:t>The OECD Model provides that dividend distributed by a company of a country is taxable in the country of residence of the company at 5 percent or 15 percent depending on the share ownership of the beneficial owner in the company. The UN Model does not expressly specify the rate of tax payable in the country of residence of the company.</w:t>
      </w:r>
    </w:p>
    <w:p>
      <w:pPr>
        <w:pStyle w:val="ListBullet"/>
        <w:spacing w:after="40" w:line="252" w:lineRule="auto"/>
      </w:pPr>
      <w:r>
        <w:rPr>
          <w:rFonts w:ascii="Times New Roman" w:hAnsi="Times New Roman"/>
        </w:rPr>
        <w:t>The OECD Model provides that interest is taxable in the country where it is derived at 10 percent, while the UN Model states that it is appropriate to determine the rate of tax on interest income through bilateral negotiation.</w:t>
      </w:r>
    </w:p>
    <w:p>
      <w:pPr>
        <w:pStyle w:val="ListBullet"/>
        <w:spacing w:after="40" w:line="252" w:lineRule="auto"/>
      </w:pPr>
      <w:r>
        <w:rPr>
          <w:rFonts w:ascii="Times New Roman" w:hAnsi="Times New Roman"/>
        </w:rPr>
        <w:t>The OECD Model provides that income from royalties is taxable only in the country of residence. In this respect, the UN Model provides that royalty income may also be taxed in the source country, but the rate should be determined bilaterally by the concerned countries.</w:t>
      </w:r>
    </w:p>
    <w:p>
      <w:pPr>
        <w:pStyle w:val="ListBullet"/>
        <w:spacing w:after="40" w:line="252" w:lineRule="auto"/>
      </w:pPr>
      <w:r>
        <w:rPr>
          <w:rFonts w:ascii="Times New Roman" w:hAnsi="Times New Roman"/>
        </w:rPr>
        <w:t>The OECD Model has deleted Article 14, "Independent Personal Services", in its later amendment. The UN Model has retained this article to date.</w:t>
      </w:r>
    </w:p>
    <w:p>
      <w:pPr>
        <w:pStyle w:val="ListBullet"/>
        <w:spacing w:after="40" w:line="252" w:lineRule="auto"/>
      </w:pPr>
      <w:r>
        <w:rPr>
          <w:rFonts w:ascii="Times New Roman" w:hAnsi="Times New Roman"/>
        </w:rPr>
        <w:t>After the 2008 amendment, the OECD Model expanded the scope of exchange of information. It includes banking information of any person as a matter subject to exchange of information.</w:t>
      </w:r>
    </w:p>
    <w:p>
      <w:pPr>
        <w:spacing w:after="80" w:line="259" w:lineRule="auto"/>
      </w:pPr>
      <w:r>
        <w:rPr>
          <w:rFonts w:ascii="Times New Roman" w:hAnsi="Times New Roman"/>
          <w:b w:val="0"/>
          <w:i w:val="0"/>
        </w:rPr>
        <w:t>The matters included in the OECD Model and the UN Model such as persons covered, taxes, definitions, the country of taxation according to the nature of income, rates of tax and other matters are included in the following articles:</w:t>
      </w:r>
    </w:p>
    <w:tbl>
      <w:tblPr>
        <w:tblStyle w:val="TableGrid"/>
        <w:tblW w:type="auto" w:w="0"/>
        <w:jc w:val="center"/>
        <w:tblLook w:firstColumn="1" w:firstRow="1" w:lastColumn="0" w:lastRow="0" w:noHBand="0" w:noVBand="1" w:val="04A0"/>
      </w:tblPr>
      <w:tblGrid>
        <w:gridCol w:w="3456"/>
        <w:gridCol w:w="3456"/>
        <w:gridCol w:w="3456"/>
      </w:tblGrid>
      <w:tr>
        <w:trPr>
          <w:tblHeader w:val="true"/>
        </w:trPr>
        <w:tc>
          <w:tcPr>
            <w:tcW w:type="dxa" w:w="792"/>
            <w:vAlign w:val="center"/>
            <w:tcBorders>
              <w:top w:sz="4" w:val="single" w:color="BFBFBF"/>
              <w:left w:sz="4" w:val="single" w:color="BFBFBF"/>
              <w:bottom w:sz="4" w:val="single" w:color="BFBFBF"/>
              <w:right w:sz="4" w:val="single" w:color="BFBFBF"/>
            </w:tcBorders>
            <w:shd w:fill="D9EAF7"/>
          </w:tcPr>
          <w:p>
            <w:pPr>
              <w:spacing w:after="0" w:line="240" w:lineRule="auto"/>
            </w:pPr>
            <w:r>
              <w:rPr>
                <w:rFonts w:ascii="Times New Roman" w:hAnsi="Times New Roman"/>
                <w:b/>
                <w:sz w:val="16"/>
              </w:rPr>
              <w:t>Article</w:t>
            </w:r>
          </w:p>
        </w:tc>
        <w:tc>
          <w:tcPr>
            <w:tcW w:type="dxa" w:w="4320"/>
            <w:vAlign w:val="center"/>
            <w:tcBorders>
              <w:top w:sz="4" w:val="single" w:color="BFBFBF"/>
              <w:left w:sz="4" w:val="single" w:color="BFBFBF"/>
              <w:bottom w:sz="4" w:val="single" w:color="BFBFBF"/>
              <w:right w:sz="4" w:val="single" w:color="BFBFBF"/>
            </w:tcBorders>
            <w:shd w:fill="D9EAF7"/>
          </w:tcPr>
          <w:p>
            <w:pPr>
              <w:spacing w:after="0" w:line="240" w:lineRule="auto"/>
            </w:pPr>
            <w:r>
              <w:rPr>
                <w:rFonts w:ascii="Times New Roman" w:hAnsi="Times New Roman"/>
                <w:b/>
                <w:sz w:val="16"/>
              </w:rPr>
              <w:t>UN Model</w:t>
            </w:r>
          </w:p>
        </w:tc>
        <w:tc>
          <w:tcPr>
            <w:tcW w:type="dxa" w:w="4320"/>
            <w:vAlign w:val="center"/>
            <w:tcBorders>
              <w:top w:sz="4" w:val="single" w:color="BFBFBF"/>
              <w:left w:sz="4" w:val="single" w:color="BFBFBF"/>
              <w:bottom w:sz="4" w:val="single" w:color="BFBFBF"/>
              <w:right w:sz="4" w:val="single" w:color="BFBFBF"/>
            </w:tcBorders>
            <w:shd w:fill="D9EAF7"/>
          </w:tcPr>
          <w:p>
            <w:pPr>
              <w:spacing w:after="0" w:line="240" w:lineRule="auto"/>
            </w:pPr>
            <w:r>
              <w:rPr>
                <w:rFonts w:ascii="Times New Roman" w:hAnsi="Times New Roman"/>
                <w:b/>
                <w:sz w:val="16"/>
              </w:rPr>
              <w:t>OECD Model</w:t>
            </w:r>
          </w:p>
        </w:tc>
      </w:tr>
      <w:tr>
        <w:tc>
          <w:tcPr>
            <w:tcW w:type="dxa" w:w="7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1</w:t>
            </w:r>
          </w:p>
        </w:tc>
        <w:tc>
          <w:tcPr>
            <w:tcW w:type="dxa" w:w="432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Persons Covered</w:t>
            </w:r>
          </w:p>
        </w:tc>
        <w:tc>
          <w:tcPr>
            <w:tcW w:type="dxa" w:w="432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Persons Covered</w:t>
            </w:r>
          </w:p>
        </w:tc>
      </w:tr>
      <w:tr>
        <w:tc>
          <w:tcPr>
            <w:tcW w:type="dxa" w:w="7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2</w:t>
            </w:r>
          </w:p>
        </w:tc>
        <w:tc>
          <w:tcPr>
            <w:tcW w:type="dxa" w:w="432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Taxes Covered</w:t>
            </w:r>
          </w:p>
        </w:tc>
        <w:tc>
          <w:tcPr>
            <w:tcW w:type="dxa" w:w="432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Taxes Covered</w:t>
            </w:r>
          </w:p>
        </w:tc>
      </w:tr>
      <w:tr>
        <w:tc>
          <w:tcPr>
            <w:tcW w:type="dxa" w:w="7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3</w:t>
            </w:r>
          </w:p>
        </w:tc>
        <w:tc>
          <w:tcPr>
            <w:tcW w:type="dxa" w:w="432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General Definitions</w:t>
            </w:r>
          </w:p>
        </w:tc>
        <w:tc>
          <w:tcPr>
            <w:tcW w:type="dxa" w:w="432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General Definitions</w:t>
            </w:r>
          </w:p>
        </w:tc>
      </w:tr>
      <w:tr>
        <w:tc>
          <w:tcPr>
            <w:tcW w:type="dxa" w:w="7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4</w:t>
            </w:r>
          </w:p>
        </w:tc>
        <w:tc>
          <w:tcPr>
            <w:tcW w:type="dxa" w:w="432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Resident</w:t>
            </w:r>
          </w:p>
        </w:tc>
        <w:tc>
          <w:tcPr>
            <w:tcW w:type="dxa" w:w="432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Resident</w:t>
            </w:r>
          </w:p>
        </w:tc>
      </w:tr>
      <w:tr>
        <w:tc>
          <w:tcPr>
            <w:tcW w:type="dxa" w:w="7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5</w:t>
            </w:r>
          </w:p>
        </w:tc>
        <w:tc>
          <w:tcPr>
            <w:tcW w:type="dxa" w:w="432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Permanent Establishment</w:t>
            </w:r>
          </w:p>
        </w:tc>
        <w:tc>
          <w:tcPr>
            <w:tcW w:type="dxa" w:w="432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Permanent Establishment</w:t>
            </w:r>
          </w:p>
        </w:tc>
      </w:tr>
      <w:tr>
        <w:tc>
          <w:tcPr>
            <w:tcW w:type="dxa" w:w="7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6</w:t>
            </w:r>
          </w:p>
        </w:tc>
        <w:tc>
          <w:tcPr>
            <w:tcW w:type="dxa" w:w="432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Income from Immovable Property</w:t>
            </w:r>
          </w:p>
        </w:tc>
        <w:tc>
          <w:tcPr>
            <w:tcW w:type="dxa" w:w="432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Income from Immovable Property</w:t>
            </w:r>
          </w:p>
        </w:tc>
      </w:tr>
      <w:tr>
        <w:tc>
          <w:tcPr>
            <w:tcW w:type="dxa" w:w="7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7</w:t>
            </w:r>
          </w:p>
        </w:tc>
        <w:tc>
          <w:tcPr>
            <w:tcW w:type="dxa" w:w="432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Business Profits</w:t>
            </w:r>
          </w:p>
        </w:tc>
        <w:tc>
          <w:tcPr>
            <w:tcW w:type="dxa" w:w="432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Business Profits</w:t>
            </w:r>
          </w:p>
        </w:tc>
      </w:tr>
      <w:tr>
        <w:tc>
          <w:tcPr>
            <w:tcW w:type="dxa" w:w="7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8</w:t>
            </w:r>
          </w:p>
        </w:tc>
        <w:tc>
          <w:tcPr>
            <w:tcW w:type="dxa" w:w="432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Shipping Inland waterways transport and Air transport</w:t>
            </w:r>
          </w:p>
        </w:tc>
        <w:tc>
          <w:tcPr>
            <w:tcW w:type="dxa" w:w="432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Shipping Inland waterways transport and Air transport</w:t>
            </w:r>
          </w:p>
        </w:tc>
      </w:tr>
      <w:tr>
        <w:tc>
          <w:tcPr>
            <w:tcW w:type="dxa" w:w="7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9</w:t>
            </w:r>
          </w:p>
        </w:tc>
        <w:tc>
          <w:tcPr>
            <w:tcW w:type="dxa" w:w="432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Associated Enterprises</w:t>
            </w:r>
          </w:p>
        </w:tc>
        <w:tc>
          <w:tcPr>
            <w:tcW w:type="dxa" w:w="432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Associated Enterprises</w:t>
            </w:r>
          </w:p>
        </w:tc>
      </w:tr>
      <w:tr>
        <w:tc>
          <w:tcPr>
            <w:tcW w:type="dxa" w:w="7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10</w:t>
            </w:r>
          </w:p>
        </w:tc>
        <w:tc>
          <w:tcPr>
            <w:tcW w:type="dxa" w:w="432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Dividend</w:t>
            </w:r>
          </w:p>
        </w:tc>
        <w:tc>
          <w:tcPr>
            <w:tcW w:type="dxa" w:w="432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Dividend</w:t>
            </w:r>
          </w:p>
        </w:tc>
      </w:tr>
      <w:tr>
        <w:tc>
          <w:tcPr>
            <w:tcW w:type="dxa" w:w="7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11</w:t>
            </w:r>
          </w:p>
        </w:tc>
        <w:tc>
          <w:tcPr>
            <w:tcW w:type="dxa" w:w="432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Interest</w:t>
            </w:r>
          </w:p>
        </w:tc>
        <w:tc>
          <w:tcPr>
            <w:tcW w:type="dxa" w:w="432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Interest</w:t>
            </w:r>
          </w:p>
        </w:tc>
      </w:tr>
      <w:tr>
        <w:tc>
          <w:tcPr>
            <w:tcW w:type="dxa" w:w="7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12</w:t>
            </w:r>
          </w:p>
        </w:tc>
        <w:tc>
          <w:tcPr>
            <w:tcW w:type="dxa" w:w="432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Royalties</w:t>
            </w:r>
          </w:p>
        </w:tc>
        <w:tc>
          <w:tcPr>
            <w:tcW w:type="dxa" w:w="432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Royalties</w:t>
            </w:r>
          </w:p>
        </w:tc>
      </w:tr>
      <w:tr>
        <w:tc>
          <w:tcPr>
            <w:tcW w:type="dxa" w:w="7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13</w:t>
            </w:r>
          </w:p>
        </w:tc>
        <w:tc>
          <w:tcPr>
            <w:tcW w:type="dxa" w:w="432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Capital Gains</w:t>
            </w:r>
          </w:p>
        </w:tc>
        <w:tc>
          <w:tcPr>
            <w:tcW w:type="dxa" w:w="432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Capital Gains</w:t>
            </w:r>
          </w:p>
        </w:tc>
      </w:tr>
      <w:tr>
        <w:tc>
          <w:tcPr>
            <w:tcW w:type="dxa" w:w="7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14</w:t>
            </w:r>
          </w:p>
        </w:tc>
        <w:tc>
          <w:tcPr>
            <w:tcW w:type="dxa" w:w="432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Independent Personal Services</w:t>
            </w:r>
          </w:p>
        </w:tc>
        <w:tc>
          <w:tcPr>
            <w:tcW w:type="dxa" w:w="432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Deleted</w:t>
            </w:r>
          </w:p>
        </w:tc>
      </w:tr>
      <w:tr>
        <w:tc>
          <w:tcPr>
            <w:tcW w:type="dxa" w:w="7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15</w:t>
            </w:r>
          </w:p>
        </w:tc>
        <w:tc>
          <w:tcPr>
            <w:tcW w:type="dxa" w:w="432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Dependent Personal Services</w:t>
            </w:r>
          </w:p>
        </w:tc>
        <w:tc>
          <w:tcPr>
            <w:tcW w:type="dxa" w:w="432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Income from Employment</w:t>
            </w:r>
          </w:p>
        </w:tc>
      </w:tr>
      <w:tr>
        <w:tc>
          <w:tcPr>
            <w:tcW w:type="dxa" w:w="7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16</w:t>
            </w:r>
          </w:p>
        </w:tc>
        <w:tc>
          <w:tcPr>
            <w:tcW w:type="dxa" w:w="432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Directors' fees and Remuneration of Top Level Managerial Officials</w:t>
            </w:r>
          </w:p>
        </w:tc>
        <w:tc>
          <w:tcPr>
            <w:tcW w:type="dxa" w:w="432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Directors' Fees</w:t>
            </w:r>
          </w:p>
        </w:tc>
      </w:tr>
      <w:tr>
        <w:tc>
          <w:tcPr>
            <w:tcW w:type="dxa" w:w="7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17</w:t>
            </w:r>
          </w:p>
        </w:tc>
        <w:tc>
          <w:tcPr>
            <w:tcW w:type="dxa" w:w="432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Artists and Sportspersons</w:t>
            </w:r>
          </w:p>
        </w:tc>
        <w:tc>
          <w:tcPr>
            <w:tcW w:type="dxa" w:w="432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Artists and Sportsmen</w:t>
            </w:r>
          </w:p>
        </w:tc>
      </w:tr>
      <w:tr>
        <w:tc>
          <w:tcPr>
            <w:tcW w:type="dxa" w:w="7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18</w:t>
            </w:r>
          </w:p>
        </w:tc>
        <w:tc>
          <w:tcPr>
            <w:tcW w:type="dxa" w:w="432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Pensions and Social Security Payments</w:t>
            </w:r>
          </w:p>
        </w:tc>
        <w:tc>
          <w:tcPr>
            <w:tcW w:type="dxa" w:w="432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Pensions</w:t>
            </w:r>
          </w:p>
        </w:tc>
      </w:tr>
      <w:tr>
        <w:tc>
          <w:tcPr>
            <w:tcW w:type="dxa" w:w="7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19</w:t>
            </w:r>
          </w:p>
        </w:tc>
        <w:tc>
          <w:tcPr>
            <w:tcW w:type="dxa" w:w="432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Government Service</w:t>
            </w:r>
          </w:p>
        </w:tc>
        <w:tc>
          <w:tcPr>
            <w:tcW w:type="dxa" w:w="432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Government Service</w:t>
            </w:r>
          </w:p>
        </w:tc>
      </w:tr>
      <w:tr>
        <w:tc>
          <w:tcPr>
            <w:tcW w:type="dxa" w:w="7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20</w:t>
            </w:r>
          </w:p>
        </w:tc>
        <w:tc>
          <w:tcPr>
            <w:tcW w:type="dxa" w:w="432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Students</w:t>
            </w:r>
          </w:p>
        </w:tc>
        <w:tc>
          <w:tcPr>
            <w:tcW w:type="dxa" w:w="432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Students</w:t>
            </w:r>
          </w:p>
        </w:tc>
      </w:tr>
      <w:tr>
        <w:tc>
          <w:tcPr>
            <w:tcW w:type="dxa" w:w="7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21</w:t>
            </w:r>
          </w:p>
        </w:tc>
        <w:tc>
          <w:tcPr>
            <w:tcW w:type="dxa" w:w="432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Other Income</w:t>
            </w:r>
          </w:p>
        </w:tc>
        <w:tc>
          <w:tcPr>
            <w:tcW w:type="dxa" w:w="432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Other Income</w:t>
            </w:r>
          </w:p>
        </w:tc>
      </w:tr>
      <w:tr>
        <w:tc>
          <w:tcPr>
            <w:tcW w:type="dxa" w:w="7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22</w:t>
            </w:r>
          </w:p>
        </w:tc>
        <w:tc>
          <w:tcPr>
            <w:tcW w:type="dxa" w:w="432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Capital</w:t>
            </w:r>
          </w:p>
        </w:tc>
        <w:tc>
          <w:tcPr>
            <w:tcW w:type="dxa" w:w="432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Capital</w:t>
            </w:r>
          </w:p>
        </w:tc>
      </w:tr>
      <w:tr>
        <w:tc>
          <w:tcPr>
            <w:tcW w:type="dxa" w:w="7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23</w:t>
            </w:r>
          </w:p>
        </w:tc>
        <w:tc>
          <w:tcPr>
            <w:tcW w:type="dxa" w:w="432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Method for Elimination of Double Taxation</w:t>
            </w:r>
          </w:p>
        </w:tc>
        <w:tc>
          <w:tcPr>
            <w:tcW w:type="dxa" w:w="432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Method for Elimination of Double Taxation</w:t>
            </w:r>
          </w:p>
        </w:tc>
      </w:tr>
      <w:tr>
        <w:tc>
          <w:tcPr>
            <w:tcW w:type="dxa" w:w="7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24</w:t>
            </w:r>
          </w:p>
        </w:tc>
        <w:tc>
          <w:tcPr>
            <w:tcW w:type="dxa" w:w="432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Non-discrimination</w:t>
            </w:r>
          </w:p>
        </w:tc>
        <w:tc>
          <w:tcPr>
            <w:tcW w:type="dxa" w:w="432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Non-discrimination</w:t>
            </w:r>
          </w:p>
        </w:tc>
      </w:tr>
      <w:tr>
        <w:tc>
          <w:tcPr>
            <w:tcW w:type="dxa" w:w="7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25</w:t>
            </w:r>
          </w:p>
        </w:tc>
        <w:tc>
          <w:tcPr>
            <w:tcW w:type="dxa" w:w="432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Mutual Agreement Procedure</w:t>
            </w:r>
          </w:p>
        </w:tc>
        <w:tc>
          <w:tcPr>
            <w:tcW w:type="dxa" w:w="432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Mutual Agreement Procedure</w:t>
            </w:r>
          </w:p>
        </w:tc>
      </w:tr>
      <w:tr>
        <w:tc>
          <w:tcPr>
            <w:tcW w:type="dxa" w:w="7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26</w:t>
            </w:r>
          </w:p>
        </w:tc>
        <w:tc>
          <w:tcPr>
            <w:tcW w:type="dxa" w:w="432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Exchange of Information</w:t>
            </w:r>
          </w:p>
        </w:tc>
        <w:tc>
          <w:tcPr>
            <w:tcW w:type="dxa" w:w="432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Exchange of Information</w:t>
            </w:r>
          </w:p>
        </w:tc>
      </w:tr>
      <w:tr>
        <w:tc>
          <w:tcPr>
            <w:tcW w:type="dxa" w:w="7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27</w:t>
            </w:r>
          </w:p>
        </w:tc>
        <w:tc>
          <w:tcPr>
            <w:tcW w:type="dxa" w:w="432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Members of Diplomatic Mission and Consular Posts</w:t>
            </w:r>
          </w:p>
        </w:tc>
        <w:tc>
          <w:tcPr>
            <w:tcW w:type="dxa" w:w="432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Assistance in the Collection of Taxes</w:t>
            </w:r>
          </w:p>
        </w:tc>
      </w:tr>
      <w:tr>
        <w:tc>
          <w:tcPr>
            <w:tcW w:type="dxa" w:w="7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28</w:t>
            </w:r>
          </w:p>
        </w:tc>
        <w:tc>
          <w:tcPr>
            <w:tcW w:type="dxa" w:w="432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Entry into Force</w:t>
            </w:r>
          </w:p>
        </w:tc>
        <w:tc>
          <w:tcPr>
            <w:tcW w:type="dxa" w:w="432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Members of Diplomatic Missions and Consular Posts</w:t>
            </w:r>
          </w:p>
        </w:tc>
      </w:tr>
      <w:tr>
        <w:tc>
          <w:tcPr>
            <w:tcW w:type="dxa" w:w="7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29</w:t>
            </w:r>
          </w:p>
        </w:tc>
        <w:tc>
          <w:tcPr>
            <w:tcW w:type="dxa" w:w="432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Termination</w:t>
            </w:r>
          </w:p>
        </w:tc>
        <w:tc>
          <w:tcPr>
            <w:tcW w:type="dxa" w:w="432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Territorial Extensions</w:t>
            </w:r>
          </w:p>
        </w:tc>
      </w:tr>
      <w:tr>
        <w:tc>
          <w:tcPr>
            <w:tcW w:type="dxa" w:w="7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30</w:t>
            </w:r>
          </w:p>
        </w:tc>
        <w:tc>
          <w:tcPr>
            <w:tcW w:type="dxa" w:w="432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r>
          </w:p>
        </w:tc>
        <w:tc>
          <w:tcPr>
            <w:tcW w:type="dxa" w:w="432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Entry into Force</w:t>
            </w:r>
          </w:p>
        </w:tc>
      </w:tr>
      <w:tr>
        <w:tc>
          <w:tcPr>
            <w:tcW w:type="dxa" w:w="7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31</w:t>
            </w:r>
          </w:p>
        </w:tc>
        <w:tc>
          <w:tcPr>
            <w:tcW w:type="dxa" w:w="432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r>
          </w:p>
        </w:tc>
        <w:tc>
          <w:tcPr>
            <w:tcW w:type="dxa" w:w="432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Termination</w:t>
            </w:r>
          </w:p>
        </w:tc>
      </w:tr>
    </w:tbl>
    <w:p>
      <w:pPr>
        <w:pStyle w:val="Heading3"/>
        <w:spacing w:after="80" w:line="259" w:lineRule="auto"/>
      </w:pPr>
      <w:r>
        <w:rPr>
          <w:rFonts w:ascii="Times New Roman" w:hAnsi="Times New Roman"/>
          <w:b w:val="0"/>
          <w:i w:val="0"/>
        </w:rPr>
        <w:t>15.3.5 Main Concepts of Double Taxation Avoidance Agreements Entered into by Nepal</w:t>
      </w:r>
    </w:p>
    <w:p>
      <w:pPr>
        <w:spacing w:after="80" w:line="259" w:lineRule="auto"/>
      </w:pPr>
      <w:r>
        <w:rPr>
          <w:rFonts w:ascii="Times New Roman" w:hAnsi="Times New Roman"/>
          <w:b w:val="0"/>
          <w:i w:val="0"/>
        </w:rPr>
        <w:t>The Income Tax Act, 2058 itself has empowered the Government of Nepal to enter into double taxation avoidance agreements with governments of other countries on matters such as non-taxation of income or taxation at a lower rate. The Government of Nepal has concluded agreements with foreign states for avoidance of double taxation and prevention of fiscal evasion. Nepal has entered into such agreements with 11 countries so far. Comprehensive agreements have been concluded with all countries with which double taxation avoidance agreements have been made. Nepal has concluded its agreements with other states in accordance with the provisions of the UN Model and OECD Model.</w:t>
      </w:r>
    </w:p>
    <w:p>
      <w:pPr>
        <w:spacing w:after="80" w:line="259" w:lineRule="auto"/>
      </w:pPr>
      <w:r>
        <w:rPr>
          <w:rFonts w:ascii="Times New Roman" w:hAnsi="Times New Roman"/>
          <w:b w:val="0"/>
          <w:i w:val="0"/>
        </w:rPr>
        <w:t>Nepal entered into its first agreement for avoidance of double taxation and prevention of fiscal evasion with the Government of India in 1987. Subsequently, agreements were signed with Norway, Thailand, Mauritius and other countries, and agreements have been concluded with 11 countries so far. The main points contained in the agreements entered into by Nepal are as follows:</w:t>
      </w:r>
    </w:p>
    <w:p>
      <w:pPr>
        <w:pStyle w:val="ListBullet"/>
        <w:spacing w:after="40" w:line="252" w:lineRule="auto"/>
      </w:pPr>
      <w:r>
        <w:rPr>
          <w:rFonts w:ascii="Times New Roman" w:hAnsi="Times New Roman"/>
        </w:rPr>
        <w:t>Among the 11 countries with which Nepal has concluded agreements so far, the agreement with the Government of Norway includes capital among the taxes covered. The agreement with Norway is "In respect of Income and/or Capital". Agreements with other states are "In respect of Income".</w:t>
      </w:r>
    </w:p>
    <w:p>
      <w:pPr>
        <w:pStyle w:val="ListBullet"/>
        <w:spacing w:after="40" w:line="252" w:lineRule="auto"/>
      </w:pPr>
      <w:r>
        <w:rPr>
          <w:rFonts w:ascii="Times New Roman" w:hAnsi="Times New Roman"/>
        </w:rPr>
        <w:t>In the double taxation avoidance agreements signed by Nepal, the place where a person is involved in a construction, installation or establishment project and the place where supervisory activities relating to such project are carried out are treated as a permanent establishment. In this matter Nepal has adopted the provision of the UN Model.</w:t>
      </w:r>
    </w:p>
    <w:p>
      <w:pPr>
        <w:pStyle w:val="ListBullet"/>
        <w:spacing w:after="40" w:line="252" w:lineRule="auto"/>
      </w:pPr>
      <w:r>
        <w:rPr>
          <w:rFonts w:ascii="Times New Roman" w:hAnsi="Times New Roman"/>
        </w:rPr>
        <w:t>Nepal has concluded agreements under which a permanent establishment is deemed to exist where a person provides technical, professional or consultancy services through employees or otherwise at one or more places in a country. However, the number of days of involvement required in that country differs by agreement.</w:t>
      </w:r>
    </w:p>
    <w:p>
      <w:pPr>
        <w:pStyle w:val="ListBullet"/>
        <w:spacing w:after="40" w:line="252" w:lineRule="auto"/>
      </w:pPr>
      <w:r>
        <w:rPr>
          <w:rFonts w:ascii="Times New Roman" w:hAnsi="Times New Roman"/>
        </w:rPr>
        <w:t>For the purpose of computing the income of a permanent establishment, Nepal has adopted the Force of Attraction Rule in agreements with some countries.</w:t>
      </w:r>
    </w:p>
    <w:p>
      <w:pPr>
        <w:pStyle w:val="ListBullet"/>
        <w:spacing w:after="40" w:line="252" w:lineRule="auto"/>
      </w:pPr>
      <w:r>
        <w:rPr>
          <w:rFonts w:ascii="Times New Roman" w:hAnsi="Times New Roman"/>
        </w:rPr>
        <w:t>In most agreements concluded by Nepal in relation to Shipping and Air Transport Enterprises, tax is levied in the country where the person operating such business is situated.</w:t>
      </w:r>
    </w:p>
    <w:p>
      <w:pPr>
        <w:pStyle w:val="ListBullet"/>
        <w:spacing w:after="40" w:line="252" w:lineRule="auto"/>
      </w:pPr>
      <w:r>
        <w:rPr>
          <w:rFonts w:ascii="Times New Roman" w:hAnsi="Times New Roman"/>
        </w:rPr>
        <w:t>Nepal has concluded agreements providing that interest paid to the government and central bank of the treaty partner state is not taxable in the source country.</w:t>
      </w:r>
    </w:p>
    <w:p>
      <w:pPr>
        <w:pStyle w:val="ListBullet"/>
        <w:spacing w:after="40" w:line="252" w:lineRule="auto"/>
      </w:pPr>
      <w:r>
        <w:rPr>
          <w:rFonts w:ascii="Times New Roman" w:hAnsi="Times New Roman"/>
        </w:rPr>
        <w:t>Agreements provide that a sportsperson or artist is taxed in the country in which the income is earned. However, Nepal has concluded agreements providing that where the payment to a sportsperson or artist is made from public funds, tax is not levied in the source country.</w:t>
      </w:r>
    </w:p>
    <w:p>
      <w:pPr>
        <w:pStyle w:val="ListBullet"/>
        <w:spacing w:after="40" w:line="252" w:lineRule="auto"/>
      </w:pPr>
      <w:r>
        <w:rPr>
          <w:rFonts w:ascii="Times New Roman" w:hAnsi="Times New Roman"/>
        </w:rPr>
        <w:t>Among the agreements concluded by Nepal with other states, all agreements other than the agreement with India include the matter of capital gains.</w:t>
      </w:r>
    </w:p>
    <w:p>
      <w:pPr>
        <w:pStyle w:val="ListBullet"/>
        <w:spacing w:after="40" w:line="252" w:lineRule="auto"/>
      </w:pPr>
      <w:r>
        <w:rPr>
          <w:rFonts w:ascii="Times New Roman" w:hAnsi="Times New Roman"/>
        </w:rPr>
        <w:t>Nepal has concluded double taxation avoidance agreements including provisions under which income earned by a teacher or professor while engaged in teaching or professorial work in another country is not taxable for a specified period.</w:t>
      </w:r>
    </w:p>
    <w:p>
      <w:pPr>
        <w:pStyle w:val="ListBullet"/>
        <w:spacing w:after="40" w:line="252" w:lineRule="auto"/>
      </w:pPr>
      <w:r>
        <w:rPr>
          <w:rFonts w:ascii="Times New Roman" w:hAnsi="Times New Roman"/>
        </w:rPr>
        <w:t>All agreements concluded by the Government of Nepal provide that income received as royalty is taxable in the source country at a lump-sum rate of 15 percent.</w:t>
      </w:r>
    </w:p>
    <w:p>
      <w:pPr>
        <w:pStyle w:val="ListBullet"/>
        <w:spacing w:after="40" w:line="252" w:lineRule="auto"/>
      </w:pPr>
      <w:r>
        <w:rPr>
          <w:rFonts w:ascii="Times New Roman" w:hAnsi="Times New Roman"/>
        </w:rPr>
        <w:t>The agreements concluded by Nepal include provisions under which, where a person pays tax on income earned in another country, the tax deposited in the country where the income is earned may be credited against income tax in the country of residence. However, the credit for such tax deposited cannot exceed the tax payable under the prevailing tax rate of Nepal / the country of residence; that is, the ordinary credit method is adopted.</w:t>
      </w:r>
    </w:p>
    <w:p>
      <w:pPr>
        <w:pStyle w:val="ListBullet"/>
        <w:spacing w:after="40" w:line="252" w:lineRule="auto"/>
      </w:pPr>
      <w:r>
        <w:rPr>
          <w:rFonts w:ascii="Times New Roman" w:hAnsi="Times New Roman"/>
        </w:rPr>
        <w:t>Article 27 of the agreement between Nepal and India includes matters relating to tax collection. Under that provision, both countries must assist each other in settling revenue claims.</w:t>
      </w:r>
    </w:p>
    <w:p>
      <w:pPr>
        <w:spacing w:after="80" w:line="259" w:lineRule="auto"/>
      </w:pPr>
      <w:r>
        <w:rPr>
          <w:rFonts w:ascii="Times New Roman" w:hAnsi="Times New Roman"/>
          <w:b w:val="0"/>
          <w:i w:val="0"/>
        </w:rPr>
        <w:t>The main points included in the agreements concluded by Nepal are as stated above. The countries with which Nepal has concluded agreements and the tax rates applicable to dividend, interest and royalty income under those agreements are shown below.</w:t>
      </w:r>
    </w:p>
    <w:p>
      <w:pPr>
        <w:spacing w:after="80" w:line="259" w:lineRule="auto"/>
      </w:pPr>
      <w:r>
        <w:rPr>
          <w:rFonts w:ascii="Times New Roman" w:hAnsi="Times New Roman"/>
          <w:b/>
          <w:i w:val="0"/>
        </w:rPr>
        <w:t>Countries with which the Government of Nepal has concluded double taxation avoidance agreements</w:t>
      </w:r>
    </w:p>
    <w:tbl>
      <w:tblPr>
        <w:tblStyle w:val="TableGrid"/>
        <w:tblW w:type="auto" w:w="0"/>
        <w:jc w:val="center"/>
        <w:tblLook w:firstColumn="1" w:firstRow="1" w:lastColumn="0" w:lastRow="0" w:noHBand="0" w:noVBand="1" w:val="04A0"/>
      </w:tblPr>
      <w:tblGrid>
        <w:gridCol w:w="3456"/>
        <w:gridCol w:w="3456"/>
        <w:gridCol w:w="3456"/>
      </w:tblGrid>
      <w:tr>
        <w:trPr>
          <w:tblHeader w:val="true"/>
        </w:trPr>
        <w:tc>
          <w:tcPr>
            <w:tcW w:type="dxa" w:w="792"/>
            <w:vAlign w:val="center"/>
            <w:tcBorders>
              <w:top w:sz="4" w:val="single" w:color="BFBFBF"/>
              <w:left w:sz="4" w:val="single" w:color="BFBFBF"/>
              <w:bottom w:sz="4" w:val="single" w:color="BFBFBF"/>
              <w:right w:sz="4" w:val="single" w:color="BFBFBF"/>
            </w:tcBorders>
            <w:shd w:fill="D9EAF7"/>
          </w:tcPr>
          <w:p>
            <w:pPr>
              <w:spacing w:after="0" w:line="240" w:lineRule="auto"/>
            </w:pPr>
            <w:r>
              <w:rPr>
                <w:rFonts w:ascii="Times New Roman" w:hAnsi="Times New Roman"/>
                <w:b/>
                <w:sz w:val="17"/>
              </w:rPr>
              <w:t>S.N.</w:t>
            </w:r>
          </w:p>
        </w:tc>
        <w:tc>
          <w:tcPr>
            <w:tcW w:type="dxa" w:w="2160"/>
            <w:vAlign w:val="center"/>
            <w:tcBorders>
              <w:top w:sz="4" w:val="single" w:color="BFBFBF"/>
              <w:left w:sz="4" w:val="single" w:color="BFBFBF"/>
              <w:bottom w:sz="4" w:val="single" w:color="BFBFBF"/>
              <w:right w:sz="4" w:val="single" w:color="BFBFBF"/>
            </w:tcBorders>
            <w:shd w:fill="D9EAF7"/>
          </w:tcPr>
          <w:p>
            <w:pPr>
              <w:spacing w:after="0" w:line="240" w:lineRule="auto"/>
            </w:pPr>
            <w:r>
              <w:rPr>
                <w:rFonts w:ascii="Times New Roman" w:hAnsi="Times New Roman"/>
                <w:b/>
                <w:sz w:val="17"/>
              </w:rPr>
              <w:t>Treaty country</w:t>
            </w:r>
          </w:p>
        </w:tc>
        <w:tc>
          <w:tcPr>
            <w:tcW w:type="dxa" w:w="6480"/>
            <w:vAlign w:val="center"/>
            <w:tcBorders>
              <w:top w:sz="4" w:val="single" w:color="BFBFBF"/>
              <w:left w:sz="4" w:val="single" w:color="BFBFBF"/>
              <w:bottom w:sz="4" w:val="single" w:color="BFBFBF"/>
              <w:right w:sz="4" w:val="single" w:color="BFBFBF"/>
            </w:tcBorders>
            <w:shd w:fill="D9EAF7"/>
          </w:tcPr>
          <w:p>
            <w:pPr>
              <w:spacing w:after="0" w:line="240" w:lineRule="auto"/>
            </w:pPr>
            <w:r>
              <w:rPr>
                <w:rFonts w:ascii="Times New Roman" w:hAnsi="Times New Roman"/>
                <w:b/>
                <w:sz w:val="17"/>
              </w:rPr>
              <w:t>Subject of agreement</w:t>
            </w:r>
          </w:p>
        </w:tc>
      </w:tr>
      <w:tr>
        <w:tc>
          <w:tcPr>
            <w:tcW w:type="dxa" w:w="7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7"/>
              </w:rPr>
              <w:t>1</w:t>
            </w:r>
          </w:p>
        </w:tc>
        <w:tc>
          <w:tcPr>
            <w:tcW w:type="dxa" w:w="216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7"/>
              </w:rPr>
              <w:t>India</w:t>
            </w:r>
          </w:p>
        </w:tc>
        <w:tc>
          <w:tcPr>
            <w:tcW w:type="dxa" w:w="64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7"/>
              </w:rPr>
              <w:t>In respect of Income</w:t>
            </w:r>
          </w:p>
        </w:tc>
      </w:tr>
      <w:tr>
        <w:tc>
          <w:tcPr>
            <w:tcW w:type="dxa" w:w="7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7"/>
              </w:rPr>
              <w:t>2</w:t>
            </w:r>
          </w:p>
        </w:tc>
        <w:tc>
          <w:tcPr>
            <w:tcW w:type="dxa" w:w="216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7"/>
              </w:rPr>
              <w:t>Norway</w:t>
            </w:r>
          </w:p>
        </w:tc>
        <w:tc>
          <w:tcPr>
            <w:tcW w:type="dxa" w:w="64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7"/>
              </w:rPr>
              <w:t>In respect of Income and/or Capital</w:t>
            </w:r>
          </w:p>
        </w:tc>
      </w:tr>
      <w:tr>
        <w:tc>
          <w:tcPr>
            <w:tcW w:type="dxa" w:w="7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7"/>
              </w:rPr>
              <w:t>3</w:t>
            </w:r>
          </w:p>
        </w:tc>
        <w:tc>
          <w:tcPr>
            <w:tcW w:type="dxa" w:w="216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7"/>
              </w:rPr>
              <w:t>Thailand</w:t>
            </w:r>
          </w:p>
        </w:tc>
        <w:tc>
          <w:tcPr>
            <w:tcW w:type="dxa" w:w="64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7"/>
              </w:rPr>
              <w:t>In respect of Income</w:t>
            </w:r>
          </w:p>
        </w:tc>
      </w:tr>
      <w:tr>
        <w:tc>
          <w:tcPr>
            <w:tcW w:type="dxa" w:w="7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7"/>
              </w:rPr>
              <w:t>4</w:t>
            </w:r>
          </w:p>
        </w:tc>
        <w:tc>
          <w:tcPr>
            <w:tcW w:type="dxa" w:w="216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7"/>
              </w:rPr>
              <w:t>Sri Lanka</w:t>
            </w:r>
          </w:p>
        </w:tc>
        <w:tc>
          <w:tcPr>
            <w:tcW w:type="dxa" w:w="64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7"/>
              </w:rPr>
              <w:t>In respect of Income</w:t>
            </w:r>
          </w:p>
        </w:tc>
      </w:tr>
      <w:tr>
        <w:tc>
          <w:tcPr>
            <w:tcW w:type="dxa" w:w="7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7"/>
              </w:rPr>
              <w:t>5</w:t>
            </w:r>
          </w:p>
        </w:tc>
        <w:tc>
          <w:tcPr>
            <w:tcW w:type="dxa" w:w="216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7"/>
              </w:rPr>
              <w:t>Mauritius</w:t>
            </w:r>
          </w:p>
        </w:tc>
        <w:tc>
          <w:tcPr>
            <w:tcW w:type="dxa" w:w="64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7"/>
              </w:rPr>
              <w:t>In respect of Income</w:t>
            </w:r>
          </w:p>
        </w:tc>
      </w:tr>
      <w:tr>
        <w:tc>
          <w:tcPr>
            <w:tcW w:type="dxa" w:w="7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7"/>
              </w:rPr>
              <w:t>6</w:t>
            </w:r>
          </w:p>
        </w:tc>
        <w:tc>
          <w:tcPr>
            <w:tcW w:type="dxa" w:w="216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7"/>
              </w:rPr>
              <w:t>Austria</w:t>
            </w:r>
          </w:p>
        </w:tc>
        <w:tc>
          <w:tcPr>
            <w:tcW w:type="dxa" w:w="64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7"/>
              </w:rPr>
              <w:t>In respect of Income</w:t>
            </w:r>
          </w:p>
        </w:tc>
      </w:tr>
      <w:tr>
        <w:tc>
          <w:tcPr>
            <w:tcW w:type="dxa" w:w="7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7"/>
              </w:rPr>
              <w:t>7</w:t>
            </w:r>
          </w:p>
        </w:tc>
        <w:tc>
          <w:tcPr>
            <w:tcW w:type="dxa" w:w="216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7"/>
              </w:rPr>
              <w:t>Pakistan</w:t>
            </w:r>
          </w:p>
        </w:tc>
        <w:tc>
          <w:tcPr>
            <w:tcW w:type="dxa" w:w="64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7"/>
              </w:rPr>
              <w:t>In respect of Income</w:t>
            </w:r>
          </w:p>
        </w:tc>
      </w:tr>
      <w:tr>
        <w:tc>
          <w:tcPr>
            <w:tcW w:type="dxa" w:w="7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7"/>
              </w:rPr>
              <w:t>8</w:t>
            </w:r>
          </w:p>
        </w:tc>
        <w:tc>
          <w:tcPr>
            <w:tcW w:type="dxa" w:w="216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7"/>
              </w:rPr>
              <w:t>China</w:t>
            </w:r>
          </w:p>
        </w:tc>
        <w:tc>
          <w:tcPr>
            <w:tcW w:type="dxa" w:w="64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7"/>
              </w:rPr>
              <w:t>In respect of Income</w:t>
            </w:r>
          </w:p>
        </w:tc>
      </w:tr>
      <w:tr>
        <w:tc>
          <w:tcPr>
            <w:tcW w:type="dxa" w:w="7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7"/>
              </w:rPr>
              <w:t>9</w:t>
            </w:r>
          </w:p>
        </w:tc>
        <w:tc>
          <w:tcPr>
            <w:tcW w:type="dxa" w:w="216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7"/>
              </w:rPr>
              <w:t>South Korea</w:t>
            </w:r>
          </w:p>
        </w:tc>
        <w:tc>
          <w:tcPr>
            <w:tcW w:type="dxa" w:w="64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7"/>
              </w:rPr>
              <w:t>In respect of Income</w:t>
            </w:r>
          </w:p>
        </w:tc>
      </w:tr>
      <w:tr>
        <w:tc>
          <w:tcPr>
            <w:tcW w:type="dxa" w:w="7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7"/>
              </w:rPr>
              <w:t>10</w:t>
            </w:r>
          </w:p>
        </w:tc>
        <w:tc>
          <w:tcPr>
            <w:tcW w:type="dxa" w:w="216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7"/>
              </w:rPr>
              <w:t>Qatar</w:t>
            </w:r>
          </w:p>
        </w:tc>
        <w:tc>
          <w:tcPr>
            <w:tcW w:type="dxa" w:w="64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7"/>
              </w:rPr>
              <w:t>In respect of Income</w:t>
            </w:r>
          </w:p>
        </w:tc>
      </w:tr>
      <w:tr>
        <w:tc>
          <w:tcPr>
            <w:tcW w:type="dxa" w:w="7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7"/>
              </w:rPr>
              <w:t>11</w:t>
            </w:r>
          </w:p>
        </w:tc>
        <w:tc>
          <w:tcPr>
            <w:tcW w:type="dxa" w:w="216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7"/>
              </w:rPr>
              <w:t>Bangladesh</w:t>
            </w:r>
          </w:p>
        </w:tc>
        <w:tc>
          <w:tcPr>
            <w:tcW w:type="dxa" w:w="64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7"/>
              </w:rPr>
              <w:t>In respect of Income</w:t>
            </w:r>
          </w:p>
        </w:tc>
      </w:tr>
    </w:tbl>
    <w:p>
      <w:pPr>
        <w:spacing w:after="80" w:line="259" w:lineRule="auto"/>
      </w:pPr>
      <w:r>
        <w:rPr>
          <w:rFonts w:ascii="Times New Roman" w:hAnsi="Times New Roman"/>
          <w:b/>
          <w:i w:val="0"/>
        </w:rPr>
        <w:t>Tax rates on dividend, interest and royalty income under double taxation avoidance agreements concluded by Nepal</w:t>
      </w:r>
    </w:p>
    <w:tbl>
      <w:tblPr>
        <w:tblStyle w:val="TableGrid"/>
        <w:tblW w:type="auto" w:w="0"/>
        <w:jc w:val="center"/>
        <w:tblLook w:firstColumn="1" w:firstRow="1" w:lastColumn="0" w:lastRow="0" w:noHBand="0" w:noVBand="1" w:val="04A0"/>
      </w:tblPr>
      <w:tblGrid>
        <w:gridCol w:w="2074"/>
        <w:gridCol w:w="2074"/>
        <w:gridCol w:w="2074"/>
        <w:gridCol w:w="2074"/>
        <w:gridCol w:w="2074"/>
      </w:tblGrid>
      <w:tr>
        <w:trPr>
          <w:tblHeader w:val="true"/>
        </w:trPr>
        <w:tc>
          <w:tcPr>
            <w:tcW w:type="dxa" w:w="720"/>
            <w:vAlign w:val="center"/>
            <w:tcBorders>
              <w:top w:sz="4" w:val="single" w:color="BFBFBF"/>
              <w:left w:sz="4" w:val="single" w:color="BFBFBF"/>
              <w:bottom w:sz="4" w:val="single" w:color="BFBFBF"/>
              <w:right w:sz="4" w:val="single" w:color="BFBFBF"/>
            </w:tcBorders>
            <w:shd w:fill="D9EAF7"/>
          </w:tcPr>
          <w:p>
            <w:pPr>
              <w:spacing w:after="0" w:line="240" w:lineRule="auto"/>
            </w:pPr>
            <w:r>
              <w:rPr>
                <w:rFonts w:ascii="Times New Roman" w:hAnsi="Times New Roman"/>
                <w:b/>
                <w:sz w:val="16"/>
              </w:rPr>
              <w:t>S.N.</w:t>
            </w:r>
          </w:p>
        </w:tc>
        <w:tc>
          <w:tcPr>
            <w:tcW w:type="dxa" w:w="1944"/>
            <w:vAlign w:val="center"/>
            <w:tcBorders>
              <w:top w:sz="4" w:val="single" w:color="BFBFBF"/>
              <w:left w:sz="4" w:val="single" w:color="BFBFBF"/>
              <w:bottom w:sz="4" w:val="single" w:color="BFBFBF"/>
              <w:right w:sz="4" w:val="single" w:color="BFBFBF"/>
            </w:tcBorders>
            <w:shd w:fill="D9EAF7"/>
          </w:tcPr>
          <w:p>
            <w:pPr>
              <w:spacing w:after="0" w:line="240" w:lineRule="auto"/>
            </w:pPr>
            <w:r>
              <w:rPr>
                <w:rFonts w:ascii="Times New Roman" w:hAnsi="Times New Roman"/>
                <w:b/>
                <w:sz w:val="16"/>
              </w:rPr>
              <w:t>Country</w:t>
            </w:r>
          </w:p>
        </w:tc>
        <w:tc>
          <w:tcPr>
            <w:tcW w:type="dxa" w:w="2160"/>
            <w:vAlign w:val="center"/>
            <w:tcBorders>
              <w:top w:sz="4" w:val="single" w:color="BFBFBF"/>
              <w:left w:sz="4" w:val="single" w:color="BFBFBF"/>
              <w:bottom w:sz="4" w:val="single" w:color="BFBFBF"/>
              <w:right w:sz="4" w:val="single" w:color="BFBFBF"/>
            </w:tcBorders>
            <w:shd w:fill="D9EAF7"/>
          </w:tcPr>
          <w:p>
            <w:pPr>
              <w:spacing w:after="0" w:line="240" w:lineRule="auto"/>
            </w:pPr>
            <w:r>
              <w:rPr>
                <w:rFonts w:ascii="Times New Roman" w:hAnsi="Times New Roman"/>
                <w:b/>
                <w:sz w:val="16"/>
              </w:rPr>
              <w:t>Tax on dividend</w:t>
            </w:r>
          </w:p>
        </w:tc>
        <w:tc>
          <w:tcPr>
            <w:tcW w:type="dxa" w:w="2016"/>
            <w:vAlign w:val="center"/>
            <w:tcBorders>
              <w:top w:sz="4" w:val="single" w:color="BFBFBF"/>
              <w:left w:sz="4" w:val="single" w:color="BFBFBF"/>
              <w:bottom w:sz="4" w:val="single" w:color="BFBFBF"/>
              <w:right w:sz="4" w:val="single" w:color="BFBFBF"/>
            </w:tcBorders>
            <w:shd w:fill="D9EAF7"/>
          </w:tcPr>
          <w:p>
            <w:pPr>
              <w:spacing w:after="0" w:line="240" w:lineRule="auto"/>
            </w:pPr>
            <w:r>
              <w:rPr>
                <w:rFonts w:ascii="Times New Roman" w:hAnsi="Times New Roman"/>
                <w:b/>
                <w:sz w:val="16"/>
              </w:rPr>
              <w:t>Tax on interest</w:t>
            </w:r>
          </w:p>
        </w:tc>
        <w:tc>
          <w:tcPr>
            <w:tcW w:type="dxa" w:w="2160"/>
            <w:vAlign w:val="center"/>
            <w:tcBorders>
              <w:top w:sz="4" w:val="single" w:color="BFBFBF"/>
              <w:left w:sz="4" w:val="single" w:color="BFBFBF"/>
              <w:bottom w:sz="4" w:val="single" w:color="BFBFBF"/>
              <w:right w:sz="4" w:val="single" w:color="BFBFBF"/>
            </w:tcBorders>
            <w:shd w:fill="D9EAF7"/>
          </w:tcPr>
          <w:p>
            <w:pPr>
              <w:spacing w:after="0" w:line="240" w:lineRule="auto"/>
            </w:pPr>
            <w:r>
              <w:rPr>
                <w:rFonts w:ascii="Times New Roman" w:hAnsi="Times New Roman"/>
                <w:b/>
                <w:sz w:val="16"/>
              </w:rPr>
              <w:t>Tax on royalty</w:t>
            </w:r>
          </w:p>
        </w:tc>
      </w:tr>
      <w:tr>
        <w:tc>
          <w:tcPr>
            <w:tcW w:type="dxa" w:w="72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1</w:t>
            </w:r>
          </w:p>
        </w:tc>
        <w:tc>
          <w:tcPr>
            <w:tcW w:type="dxa" w:w="1944"/>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India</w:t>
            </w:r>
          </w:p>
        </w:tc>
        <w:tc>
          <w:tcPr>
            <w:tcW w:type="dxa" w:w="216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5%, 10%</w:t>
            </w:r>
          </w:p>
        </w:tc>
        <w:tc>
          <w:tcPr>
            <w:tcW w:type="dxa" w:w="201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10%</w:t>
            </w:r>
          </w:p>
        </w:tc>
        <w:tc>
          <w:tcPr>
            <w:tcW w:type="dxa" w:w="216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Maximum 15%</w:t>
            </w:r>
          </w:p>
        </w:tc>
      </w:tr>
      <w:tr>
        <w:tc>
          <w:tcPr>
            <w:tcW w:type="dxa" w:w="72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2</w:t>
            </w:r>
          </w:p>
        </w:tc>
        <w:tc>
          <w:tcPr>
            <w:tcW w:type="dxa" w:w="1944"/>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Norway</w:t>
            </w:r>
          </w:p>
        </w:tc>
        <w:tc>
          <w:tcPr>
            <w:tcW w:type="dxa" w:w="216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5%, 10%, 15%</w:t>
            </w:r>
          </w:p>
        </w:tc>
        <w:tc>
          <w:tcPr>
            <w:tcW w:type="dxa" w:w="201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10%, 15%</w:t>
            </w:r>
          </w:p>
        </w:tc>
        <w:tc>
          <w:tcPr>
            <w:tcW w:type="dxa" w:w="216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Maximum 15%</w:t>
            </w:r>
          </w:p>
        </w:tc>
      </w:tr>
      <w:tr>
        <w:tc>
          <w:tcPr>
            <w:tcW w:type="dxa" w:w="72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3</w:t>
            </w:r>
          </w:p>
        </w:tc>
        <w:tc>
          <w:tcPr>
            <w:tcW w:type="dxa" w:w="1944"/>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Thailand</w:t>
            </w:r>
          </w:p>
        </w:tc>
        <w:tc>
          <w:tcPr>
            <w:tcW w:type="dxa" w:w="216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Not exceeding 15%</w:t>
            </w:r>
          </w:p>
        </w:tc>
        <w:tc>
          <w:tcPr>
            <w:tcW w:type="dxa" w:w="201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10%, 15%</w:t>
            </w:r>
          </w:p>
        </w:tc>
        <w:tc>
          <w:tcPr>
            <w:tcW w:type="dxa" w:w="216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Maximum 15%</w:t>
            </w:r>
          </w:p>
        </w:tc>
      </w:tr>
      <w:tr>
        <w:tc>
          <w:tcPr>
            <w:tcW w:type="dxa" w:w="72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4</w:t>
            </w:r>
          </w:p>
        </w:tc>
        <w:tc>
          <w:tcPr>
            <w:tcW w:type="dxa" w:w="1944"/>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Sri Lanka</w:t>
            </w:r>
          </w:p>
        </w:tc>
        <w:tc>
          <w:tcPr>
            <w:tcW w:type="dxa" w:w="216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Not exceeding 15%</w:t>
            </w:r>
          </w:p>
        </w:tc>
        <w:tc>
          <w:tcPr>
            <w:tcW w:type="dxa" w:w="201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10%, 15%</w:t>
            </w:r>
          </w:p>
        </w:tc>
        <w:tc>
          <w:tcPr>
            <w:tcW w:type="dxa" w:w="216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Maximum 15%</w:t>
            </w:r>
          </w:p>
        </w:tc>
      </w:tr>
      <w:tr>
        <w:tc>
          <w:tcPr>
            <w:tcW w:type="dxa" w:w="72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5</w:t>
            </w:r>
          </w:p>
        </w:tc>
        <w:tc>
          <w:tcPr>
            <w:tcW w:type="dxa" w:w="1944"/>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Mauritius</w:t>
            </w:r>
          </w:p>
        </w:tc>
        <w:tc>
          <w:tcPr>
            <w:tcW w:type="dxa" w:w="216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5%, 10%, 15%</w:t>
            </w:r>
          </w:p>
        </w:tc>
        <w:tc>
          <w:tcPr>
            <w:tcW w:type="dxa" w:w="201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10%, 15%</w:t>
            </w:r>
          </w:p>
        </w:tc>
        <w:tc>
          <w:tcPr>
            <w:tcW w:type="dxa" w:w="216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Maximum 15%</w:t>
            </w:r>
          </w:p>
        </w:tc>
      </w:tr>
      <w:tr>
        <w:tc>
          <w:tcPr>
            <w:tcW w:type="dxa" w:w="72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6</w:t>
            </w:r>
          </w:p>
        </w:tc>
        <w:tc>
          <w:tcPr>
            <w:tcW w:type="dxa" w:w="1944"/>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Austria</w:t>
            </w:r>
          </w:p>
        </w:tc>
        <w:tc>
          <w:tcPr>
            <w:tcW w:type="dxa" w:w="216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5%, 10%, 15%</w:t>
            </w:r>
          </w:p>
        </w:tc>
        <w:tc>
          <w:tcPr>
            <w:tcW w:type="dxa" w:w="201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10%, 15%</w:t>
            </w:r>
          </w:p>
        </w:tc>
        <w:tc>
          <w:tcPr>
            <w:tcW w:type="dxa" w:w="216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Maximum 15%</w:t>
            </w:r>
          </w:p>
        </w:tc>
      </w:tr>
      <w:tr>
        <w:tc>
          <w:tcPr>
            <w:tcW w:type="dxa" w:w="72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7</w:t>
            </w:r>
          </w:p>
        </w:tc>
        <w:tc>
          <w:tcPr>
            <w:tcW w:type="dxa" w:w="1944"/>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Pakistan</w:t>
            </w:r>
          </w:p>
        </w:tc>
        <w:tc>
          <w:tcPr>
            <w:tcW w:type="dxa" w:w="216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10%, 15%</w:t>
            </w:r>
          </w:p>
        </w:tc>
        <w:tc>
          <w:tcPr>
            <w:tcW w:type="dxa" w:w="201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10%, 15%</w:t>
            </w:r>
          </w:p>
        </w:tc>
        <w:tc>
          <w:tcPr>
            <w:tcW w:type="dxa" w:w="216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Maximum 15%</w:t>
            </w:r>
          </w:p>
        </w:tc>
      </w:tr>
      <w:tr>
        <w:tc>
          <w:tcPr>
            <w:tcW w:type="dxa" w:w="72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8</w:t>
            </w:r>
          </w:p>
        </w:tc>
        <w:tc>
          <w:tcPr>
            <w:tcW w:type="dxa" w:w="1944"/>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China</w:t>
            </w:r>
          </w:p>
        </w:tc>
        <w:tc>
          <w:tcPr>
            <w:tcW w:type="dxa" w:w="216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Not exceeding 10%</w:t>
            </w:r>
          </w:p>
        </w:tc>
        <w:tc>
          <w:tcPr>
            <w:tcW w:type="dxa" w:w="201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10%</w:t>
            </w:r>
          </w:p>
        </w:tc>
        <w:tc>
          <w:tcPr>
            <w:tcW w:type="dxa" w:w="216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Maximum 15%</w:t>
            </w:r>
          </w:p>
        </w:tc>
      </w:tr>
      <w:tr>
        <w:tc>
          <w:tcPr>
            <w:tcW w:type="dxa" w:w="72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9</w:t>
            </w:r>
          </w:p>
        </w:tc>
        <w:tc>
          <w:tcPr>
            <w:tcW w:type="dxa" w:w="1944"/>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South Korea</w:t>
            </w:r>
          </w:p>
        </w:tc>
        <w:tc>
          <w:tcPr>
            <w:tcW w:type="dxa" w:w="216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5%, 10%, 15%</w:t>
            </w:r>
          </w:p>
        </w:tc>
        <w:tc>
          <w:tcPr>
            <w:tcW w:type="dxa" w:w="201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10%</w:t>
            </w:r>
          </w:p>
        </w:tc>
        <w:tc>
          <w:tcPr>
            <w:tcW w:type="dxa" w:w="216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Maximum 15%</w:t>
            </w:r>
          </w:p>
        </w:tc>
      </w:tr>
      <w:tr>
        <w:tc>
          <w:tcPr>
            <w:tcW w:type="dxa" w:w="72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10</w:t>
            </w:r>
          </w:p>
        </w:tc>
        <w:tc>
          <w:tcPr>
            <w:tcW w:type="dxa" w:w="1944"/>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Qatar</w:t>
            </w:r>
          </w:p>
        </w:tc>
        <w:tc>
          <w:tcPr>
            <w:tcW w:type="dxa" w:w="216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Not exceeding 10%</w:t>
            </w:r>
          </w:p>
        </w:tc>
        <w:tc>
          <w:tcPr>
            <w:tcW w:type="dxa" w:w="201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10%</w:t>
            </w:r>
          </w:p>
        </w:tc>
        <w:tc>
          <w:tcPr>
            <w:tcW w:type="dxa" w:w="216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Maximum 15%</w:t>
            </w:r>
          </w:p>
        </w:tc>
      </w:tr>
      <w:tr>
        <w:tc>
          <w:tcPr>
            <w:tcW w:type="dxa" w:w="72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11</w:t>
            </w:r>
          </w:p>
        </w:tc>
        <w:tc>
          <w:tcPr>
            <w:tcW w:type="dxa" w:w="1944"/>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Bangladesh</w:t>
            </w:r>
          </w:p>
        </w:tc>
        <w:tc>
          <w:tcPr>
            <w:tcW w:type="dxa" w:w="216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10%, 15%</w:t>
            </w:r>
          </w:p>
        </w:tc>
        <w:tc>
          <w:tcPr>
            <w:tcW w:type="dxa" w:w="201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10%, 15%</w:t>
            </w:r>
          </w:p>
        </w:tc>
        <w:tc>
          <w:tcPr>
            <w:tcW w:type="dxa" w:w="216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Maximum 15%</w:t>
            </w:r>
          </w:p>
        </w:tc>
      </w:tr>
    </w:tbl>
    <w:p>
      <w:pPr>
        <w:spacing w:after="80" w:line="259" w:lineRule="auto"/>
      </w:pPr>
      <w:r>
        <w:rPr>
          <w:rFonts w:ascii="Times New Roman" w:hAnsi="Times New Roman"/>
          <w:b w:val="0"/>
          <w:i/>
        </w:rPr>
        <w:t>Note: Where different rates of tax on dividend are mentioned in relation to a country, the rate differs according to the percentage of capital investment. However, where the rate of tax on dividend under Nepal's Income Tax Act is lower than the rate stated in the agreement, tax is levied at the lower rate. That is, in the present situation, even where a higher rate is stated in the agreement, when a resident entity pays a dividend, tax must be withheld at the rate of 5 percent.</w:t>
      </w:r>
    </w:p>
    <w:p>
      <w:pPr>
        <w:pStyle w:val="Heading3"/>
        <w:spacing w:after="80" w:line="259" w:lineRule="auto"/>
      </w:pPr>
      <w:r>
        <w:rPr>
          <w:rFonts w:ascii="Times New Roman" w:hAnsi="Times New Roman"/>
          <w:b w:val="0"/>
          <w:i w:val="0"/>
        </w:rPr>
        <w:t>15.3.6 Regarding Tax Residency Certificate</w:t>
      </w:r>
    </w:p>
    <w:p>
      <w:pPr>
        <w:spacing w:after="80" w:line="259" w:lineRule="auto"/>
      </w:pPr>
      <w:r>
        <w:rPr>
          <w:rFonts w:ascii="Times New Roman" w:hAnsi="Times New Roman"/>
          <w:b w:val="0"/>
          <w:i w:val="0"/>
        </w:rPr>
        <w:t>To obtain benefits under a double taxation avoidance agreement, tax residency must be determined. A person who cannot prove tax residency is not considered eligible to receive benefits under a double taxation avoidance agreement. A person who requires a Tax Residency Certificate may request such certificate under the Double Taxation Avoidance Agreement (DTAA). Where a taxpayer requests a Tax Residency Certificate under a Double Taxation Avoidance Agreement (DTAA), the concerned office must issue such Tax Residency Certificate in the format prescribed in Schedule 11.</w:t>
      </w:r>
    </w:p>
    <w:p>
      <w:r>
        <w:br w:type="page"/>
      </w:r>
    </w:p>
    <w:p>
      <w:pPr>
        <w:pStyle w:val="Title"/>
        <w:spacing w:after="80" w:line="259" w:lineRule="auto"/>
        <w:jc w:val="center"/>
      </w:pPr>
      <w:r>
        <w:rPr>
          <w:rFonts w:ascii="Times New Roman" w:hAnsi="Times New Roman"/>
          <w:b w:val="0"/>
          <w:i w:val="0"/>
        </w:rPr>
        <w:t>Income Tax Directive, 2066 (with Fifth Amendment, 2081)</w:t>
      </w:r>
    </w:p>
    <w:p>
      <w:pPr>
        <w:pStyle w:val="Title"/>
        <w:spacing w:after="80" w:line="259" w:lineRule="auto"/>
        <w:jc w:val="center"/>
      </w:pPr>
      <w:r>
        <w:rPr>
          <w:rFonts w:ascii="Times New Roman" w:hAnsi="Times New Roman"/>
          <w:b w:val="0"/>
          <w:i w:val="0"/>
        </w:rPr>
        <w:t>English Translation - Part 16</w:t>
      </w:r>
    </w:p>
    <w:p>
      <w:pPr>
        <w:pStyle w:val="Heading1"/>
        <w:spacing w:after="80" w:line="259" w:lineRule="auto"/>
        <w:jc w:val="center"/>
      </w:pPr>
      <w:r>
        <w:rPr>
          <w:rFonts w:ascii="Times New Roman" w:hAnsi="Times New Roman"/>
          <w:b w:val="0"/>
          <w:i w:val="0"/>
        </w:rPr>
        <w:t>Chapter 16: Withholding Tax</w:t>
      </w:r>
    </w:p>
    <w:p>
      <w:pPr>
        <w:spacing w:after="80" w:line="259" w:lineRule="auto"/>
        <w:jc w:val="center"/>
      </w:pPr>
      <w:r>
        <w:rPr>
          <w:rFonts w:ascii="Times New Roman" w:hAnsi="Times New Roman"/>
          <w:b w:val="0"/>
          <w:i w:val="0"/>
        </w:rPr>
        <w:t>Source pages: Directive pages 236-275</w:t>
      </w:r>
    </w:p>
    <w:p>
      <w:pPr>
        <w:spacing w:after="80" w:line="259" w:lineRule="auto"/>
      </w:pPr>
      <w:r>
        <w:rPr>
          <w:rFonts w:ascii="Times New Roman" w:hAnsi="Times New Roman"/>
          <w:b w:val="0"/>
          <w:i/>
        </w:rPr>
        <w:t>Note: This working translation preserves the sequence, section numbering, examples and tabular presentation of the Nepali directive as far as practicable in Word format. Statutory expressions have been aligned, where applicable, with the official English terminology of the Income Tax Act, 2002 (2058).</w:t>
      </w:r>
    </w:p>
    <w:p>
      <w:pPr>
        <w:pStyle w:val="Heading1"/>
        <w:spacing w:after="80" w:line="259" w:lineRule="auto"/>
      </w:pPr>
      <w:r>
        <w:rPr>
          <w:rFonts w:ascii="Times New Roman" w:hAnsi="Times New Roman"/>
          <w:b w:val="0"/>
          <w:i w:val="0"/>
        </w:rPr>
        <w:t>Chapter 16</w:t>
      </w:r>
    </w:p>
    <w:p>
      <w:pPr>
        <w:pStyle w:val="Heading1"/>
        <w:spacing w:after="80" w:line="259" w:lineRule="auto"/>
      </w:pPr>
      <w:r>
        <w:rPr>
          <w:rFonts w:ascii="Times New Roman" w:hAnsi="Times New Roman"/>
          <w:b w:val="0"/>
          <w:i w:val="0"/>
        </w:rPr>
        <w:t>Withholding Tax</w:t>
      </w:r>
    </w:p>
    <w:p>
      <w:pPr>
        <w:pStyle w:val="Heading2"/>
        <w:spacing w:after="80" w:line="259" w:lineRule="auto"/>
      </w:pPr>
      <w:r>
        <w:rPr>
          <w:rFonts w:ascii="Times New Roman" w:hAnsi="Times New Roman"/>
          <w:b w:val="0"/>
          <w:i w:val="0"/>
        </w:rPr>
        <w:t>16.1 Introduction</w:t>
      </w:r>
    </w:p>
    <w:p>
      <w:pPr>
        <w:spacing w:after="80" w:line="259" w:lineRule="auto"/>
      </w:pPr>
      <w:r>
        <w:rPr>
          <w:rFonts w:ascii="Times New Roman" w:hAnsi="Times New Roman"/>
          <w:b w:val="0"/>
          <w:i w:val="0"/>
        </w:rPr>
        <w:t>With the objective of bringing persons carrying on taxable transactions within the scope of income tax and collecting tax regularly, Chapter 17 of the Income Tax Act, 2058 contains provisions on deduction of tax at source. A provision under which tax is deducted at the time of payment, that is, at source, is called tax deduction at source (TDS). Since the tax payable on a payment is deducted from the person receiving the payment, it is also called withholding tax. Because tax is paid at the time income is derived, this concept is referred to as Pay As You Earn (PAYE). The purpose of this chapter is to clarify the obligation of a person liable to withhold tax from the payments specified by the Act.</w:t>
      </w:r>
    </w:p>
    <w:p>
      <w:pPr>
        <w:pStyle w:val="Heading2"/>
        <w:spacing w:after="80" w:line="259" w:lineRule="auto"/>
      </w:pPr>
      <w:r>
        <w:rPr>
          <w:rFonts w:ascii="Times New Roman" w:hAnsi="Times New Roman"/>
          <w:b w:val="0"/>
          <w:i w:val="0"/>
        </w:rPr>
        <w:t>16.2 Withholding Tax</w:t>
      </w:r>
    </w:p>
    <w:p>
      <w:pPr>
        <w:pStyle w:val="Heading3"/>
        <w:spacing w:after="80" w:line="259" w:lineRule="auto"/>
      </w:pPr>
      <w:r>
        <w:rPr>
          <w:rFonts w:ascii="Times New Roman" w:hAnsi="Times New Roman"/>
          <w:b w:val="0"/>
          <w:i w:val="0"/>
        </w:rPr>
        <w:t>16.2.1 Parties related to withholding tax</w:t>
      </w:r>
    </w:p>
    <w:p>
      <w:pPr>
        <w:spacing w:after="80" w:line="259" w:lineRule="auto"/>
      </w:pPr>
      <w:r>
        <w:rPr>
          <w:rFonts w:ascii="Times New Roman" w:hAnsi="Times New Roman"/>
          <w:b w:val="0"/>
          <w:i w:val="0"/>
        </w:rPr>
        <w:t>Chapter 17 of the Income Tax Act, 2058 makes provision for withholding tax. Withholding tax means the system under which, when a person makes a payment of a type specified in Chapter 17 of the Act in respect of income derived in an income year, tax is deducted at the prescribed rate at the time of payment and only the net amount is paid to the recipient.</w:t>
      </w:r>
    </w:p>
    <w:p>
      <w:pPr>
        <w:spacing w:after="80" w:line="259" w:lineRule="auto"/>
      </w:pPr>
      <w:r>
        <w:rPr>
          <w:rFonts w:ascii="Times New Roman" w:hAnsi="Times New Roman"/>
          <w:b w:val="0"/>
          <w:i w:val="0"/>
        </w:rPr>
        <w:t>This system is mainly applied to payments of income from investment, dividends, employment income, service charges, contracts and similar payments. It enables the Government to collect revenue in advance, brings more taxpayers into the tax net, and reduces both the Government's collection cost and the taxpayer's compliance cost. It is particularly useful for taxing income of the informal, scattered and small-payment sector and passive income of natural persons who are otherwise hard to tax.</w:t>
      </w:r>
    </w:p>
    <w:p>
      <w:pPr>
        <w:spacing w:after="80" w:line="259" w:lineRule="auto"/>
      </w:pPr>
      <w:r>
        <w:rPr>
          <w:rFonts w:ascii="Times New Roman" w:hAnsi="Times New Roman"/>
          <w:b w:val="0"/>
          <w:i w:val="0"/>
        </w:rPr>
        <w:t>For withholding tax purposes there are two important parties: the person withholding advance tax and the person subject to tax withholding. Under Section 2(a) of the Act, "person withholding advance tax" means a person who has the duty to deduct advance tax under Chapter 17 while making payment of employment income, investment return, service charge, contract payment or similar payment. Under Section 2(da) of the Act, "person subject to tax withholding" means a person who receives, or has the right to receive, a payment after deduction of tax under Chapter 17.</w:t>
      </w:r>
    </w:p>
    <w:p>
      <w:pPr>
        <w:spacing w:after="80" w:line="259" w:lineRule="auto"/>
      </w:pPr>
      <w:r>
        <w:rPr>
          <w:rFonts w:ascii="Times New Roman" w:hAnsi="Times New Roman"/>
          <w:b w:val="0"/>
          <w:i w:val="0"/>
        </w:rPr>
        <w:t>Only a resident person is generally required to withhold tax from payments made by that person. Therefore, a non-resident person does not ordinarily become a person withholding advance tax. However, the recipient of a payment under Chapter 17 may be either a resident or a non-resident person, although the withholding rate may differ according to the status of the recipient and the nature of payment.</w:t>
      </w:r>
    </w:p>
    <w:tbl>
      <w:tblPr>
        <w:tblStyle w:val="TableGrid"/>
        <w:tblW w:type="auto" w:w="0"/>
        <w:jc w:val="center"/>
        <w:tblLook w:firstColumn="1" w:firstRow="1" w:lastColumn="0" w:lastRow="0" w:noHBand="0" w:noVBand="1" w:val="04A0"/>
      </w:tblPr>
      <w:tblGrid>
        <w:gridCol w:w="2592"/>
        <w:gridCol w:w="2592"/>
        <w:gridCol w:w="2592"/>
        <w:gridCol w:w="2592"/>
      </w:tblGrid>
      <w:tr>
        <w:trPr>
          <w:tblHeader w:val="true"/>
        </w:trPr>
        <w:tc>
          <w:tcPr>
            <w:tcW w:type="dxa" w:w="504"/>
            <w:vAlign w:val="center"/>
            <w:tcBorders>
              <w:top w:sz="4" w:val="single" w:color="BFBFBF"/>
              <w:left w:sz="4" w:val="single" w:color="BFBFBF"/>
              <w:bottom w:sz="4" w:val="single" w:color="BFBFBF"/>
              <w:right w:sz="4" w:val="single" w:color="BFBFBF"/>
            </w:tcBorders>
            <w:shd w:fill="D9EAF7"/>
          </w:tcPr>
          <w:p>
            <w:pPr>
              <w:spacing w:after="0" w:line="240" w:lineRule="auto"/>
            </w:pPr>
            <w:r>
              <w:rPr>
                <w:rFonts w:ascii="Times New Roman" w:hAnsi="Times New Roman"/>
                <w:b/>
                <w:sz w:val="16"/>
              </w:rPr>
              <w:t>S.N.</w:t>
            </w:r>
          </w:p>
        </w:tc>
        <w:tc>
          <w:tcPr>
            <w:tcW w:type="dxa" w:w="4608"/>
            <w:vAlign w:val="center"/>
            <w:tcBorders>
              <w:top w:sz="4" w:val="single" w:color="BFBFBF"/>
              <w:left w:sz="4" w:val="single" w:color="BFBFBF"/>
              <w:bottom w:sz="4" w:val="single" w:color="BFBFBF"/>
              <w:right w:sz="4" w:val="single" w:color="BFBFBF"/>
            </w:tcBorders>
            <w:shd w:fill="D9EAF7"/>
          </w:tcPr>
          <w:p>
            <w:pPr>
              <w:spacing w:after="0" w:line="240" w:lineRule="auto"/>
            </w:pPr>
            <w:r>
              <w:rPr>
                <w:rFonts w:ascii="Times New Roman" w:hAnsi="Times New Roman"/>
                <w:b/>
                <w:sz w:val="16"/>
              </w:rPr>
              <w:t>Type of payment/income</w:t>
            </w:r>
          </w:p>
        </w:tc>
        <w:tc>
          <w:tcPr>
            <w:tcW w:type="dxa" w:w="3312"/>
            <w:vAlign w:val="center"/>
            <w:tcBorders>
              <w:top w:sz="4" w:val="single" w:color="BFBFBF"/>
              <w:left w:sz="4" w:val="single" w:color="BFBFBF"/>
              <w:bottom w:sz="4" w:val="single" w:color="BFBFBF"/>
              <w:right w:sz="4" w:val="single" w:color="BFBFBF"/>
            </w:tcBorders>
            <w:shd w:fill="D9EAF7"/>
          </w:tcPr>
          <w:p>
            <w:pPr>
              <w:spacing w:after="0" w:line="240" w:lineRule="auto"/>
            </w:pPr>
            <w:r>
              <w:rPr>
                <w:rFonts w:ascii="Times New Roman" w:hAnsi="Times New Roman"/>
                <w:b/>
                <w:sz w:val="16"/>
              </w:rPr>
              <w:t>Person withholding advance tax</w:t>
            </w:r>
          </w:p>
        </w:tc>
        <w:tc>
          <w:tcPr>
            <w:tcW w:type="dxa" w:w="1008"/>
            <w:vAlign w:val="center"/>
            <w:tcBorders>
              <w:top w:sz="4" w:val="single" w:color="BFBFBF"/>
              <w:left w:sz="4" w:val="single" w:color="BFBFBF"/>
              <w:bottom w:sz="4" w:val="single" w:color="BFBFBF"/>
              <w:right w:sz="4" w:val="single" w:color="BFBFBF"/>
            </w:tcBorders>
            <w:shd w:fill="D9EAF7"/>
          </w:tcPr>
          <w:p>
            <w:pPr>
              <w:spacing w:after="0" w:line="240" w:lineRule="auto"/>
            </w:pPr>
            <w:r>
              <w:rPr>
                <w:rFonts w:ascii="Times New Roman" w:hAnsi="Times New Roman"/>
                <w:b/>
                <w:sz w:val="16"/>
              </w:rPr>
              <w:t>Section</w:t>
            </w:r>
          </w:p>
        </w:tc>
      </w:tr>
      <w:tr>
        <w:tc>
          <w:tcPr>
            <w:tcW w:type="dxa" w:w="504"/>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1</w:t>
            </w:r>
          </w:p>
        </w:tc>
        <w:tc>
          <w:tcPr>
            <w:tcW w:type="dxa" w:w="460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Remuneration received by an employee or worker from employment having a source in Nepal</w:t>
            </w:r>
          </w:p>
        </w:tc>
        <w:tc>
          <w:tcPr>
            <w:tcW w:type="dxa" w:w="331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Resident employer making the remuneration payment</w:t>
            </w:r>
          </w:p>
        </w:tc>
        <w:tc>
          <w:tcPr>
            <w:tcW w:type="dxa" w:w="100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87(1)</w:t>
            </w:r>
          </w:p>
        </w:tc>
      </w:tr>
      <w:tr>
        <w:tc>
          <w:tcPr>
            <w:tcW w:type="dxa" w:w="504"/>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2</w:t>
            </w:r>
          </w:p>
        </w:tc>
        <w:tc>
          <w:tcPr>
            <w:tcW w:type="dxa" w:w="460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Interest, natural resource payment, rent, royalty, service charge, commission, sales bonus and retirement payment having a source in Nepal</w:t>
            </w:r>
          </w:p>
        </w:tc>
        <w:tc>
          <w:tcPr>
            <w:tcW w:type="dxa" w:w="331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Resident person making the payment</w:t>
            </w:r>
          </w:p>
        </w:tc>
        <w:tc>
          <w:tcPr>
            <w:tcW w:type="dxa" w:w="100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88(1)</w:t>
            </w:r>
          </w:p>
        </w:tc>
      </w:tr>
      <w:tr>
        <w:tc>
          <w:tcPr>
            <w:tcW w:type="dxa" w:w="504"/>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3</w:t>
            </w:r>
          </w:p>
        </w:tc>
        <w:tc>
          <w:tcPr>
            <w:tcW w:type="dxa" w:w="460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Payment exceeding Rs. 50,000 under a contract or agreement</w:t>
            </w:r>
          </w:p>
        </w:tc>
        <w:tc>
          <w:tcPr>
            <w:tcW w:type="dxa" w:w="331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Resident person making the payment</w:t>
            </w:r>
          </w:p>
        </w:tc>
        <w:tc>
          <w:tcPr>
            <w:tcW w:type="dxa" w:w="100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89(1)</w:t>
            </w:r>
          </w:p>
        </w:tc>
      </w:tr>
      <w:tr>
        <w:tc>
          <w:tcPr>
            <w:tcW w:type="dxa" w:w="504"/>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4</w:t>
            </w:r>
          </w:p>
        </w:tc>
        <w:tc>
          <w:tcPr>
            <w:tcW w:type="dxa" w:w="460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Payment of a windfall gain</w:t>
            </w:r>
          </w:p>
        </w:tc>
        <w:tc>
          <w:tcPr>
            <w:tcW w:type="dxa" w:w="331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Person making the payment</w:t>
            </w:r>
          </w:p>
        </w:tc>
        <w:tc>
          <w:tcPr>
            <w:tcW w:type="dxa" w:w="100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88A(1)</w:t>
            </w:r>
          </w:p>
        </w:tc>
      </w:tr>
    </w:tbl>
    <w:p>
      <w:pPr>
        <w:spacing w:after="80" w:line="259" w:lineRule="auto"/>
      </w:pPr>
      <w:r>
        <w:rPr>
          <w:rFonts w:ascii="Times New Roman" w:hAnsi="Times New Roman"/>
          <w:b/>
          <w:i w:val="0"/>
        </w:rPr>
        <w:t>Example 16.2.1:</w:t>
      </w:r>
    </w:p>
    <w:p>
      <w:pPr>
        <w:spacing w:after="80" w:line="259" w:lineRule="auto"/>
      </w:pPr>
      <w:r>
        <w:rPr>
          <w:rFonts w:ascii="Times New Roman" w:hAnsi="Times New Roman"/>
          <w:b w:val="0"/>
          <w:i w:val="0"/>
        </w:rPr>
        <w:t>A meeting allowance of Rs. 250 is paid by Nepal Rastra Bank to Mrs. Sunayana Swang for attending a committee meeting. Under Section 88, tax at 15 percent, i.e. Rs. 37.50, must be deducted, and Rs. 212.50 paid to her. Nepal Rastra Bank is the person withholding advance tax.</w:t>
      </w:r>
    </w:p>
    <w:p>
      <w:pPr>
        <w:spacing w:after="80" w:line="259" w:lineRule="auto"/>
      </w:pPr>
      <w:r>
        <w:rPr>
          <w:rFonts w:ascii="Times New Roman" w:hAnsi="Times New Roman"/>
          <w:b/>
          <w:i w:val="0"/>
        </w:rPr>
        <w:t>Example 16.2.2:</w:t>
      </w:r>
    </w:p>
    <w:p>
      <w:pPr>
        <w:spacing w:after="80" w:line="259" w:lineRule="auto"/>
      </w:pPr>
      <w:r>
        <w:rPr>
          <w:rFonts w:ascii="Times New Roman" w:hAnsi="Times New Roman"/>
          <w:b w:val="0"/>
          <w:i w:val="0"/>
        </w:rPr>
        <w:t>In Example 16.2.1, Mrs. Sunayana Swang, who receives Rs. 212.50 after deduction of tax, is the person subject to tax withholding.</w:t>
      </w:r>
    </w:p>
    <w:p>
      <w:pPr>
        <w:pStyle w:val="Heading3"/>
        <w:spacing w:after="80" w:line="259" w:lineRule="auto"/>
      </w:pPr>
      <w:r>
        <w:rPr>
          <w:rFonts w:ascii="Times New Roman" w:hAnsi="Times New Roman"/>
          <w:b w:val="0"/>
          <w:i w:val="0"/>
        </w:rPr>
        <w:t>16.2.2 Withholding by employer</w:t>
      </w:r>
    </w:p>
    <w:p>
      <w:pPr>
        <w:spacing w:after="80" w:line="259" w:lineRule="auto"/>
      </w:pPr>
      <w:r>
        <w:rPr>
          <w:rFonts w:ascii="Times New Roman" w:hAnsi="Times New Roman"/>
          <w:b w:val="0"/>
          <w:i w:val="0"/>
        </w:rPr>
        <w:t>Section 87 provides that every resident employer must deduct tax at the rates specified in Schedule 1 when making payment of an amount having a source in Nepal that is included in computing the employment income of an employee or worker. The employer's withholding obligation is not reduced or extinguished merely because the employer is entitled or obliged to deduct, retain or reduce any other amount from the payment, or because the employment income of the employee or worker cannot be reduced under any other prevailing law.</w:t>
      </w:r>
    </w:p>
    <w:p>
      <w:pPr>
        <w:spacing w:after="80" w:line="259" w:lineRule="auto"/>
      </w:pPr>
      <w:r>
        <w:rPr>
          <w:rFonts w:ascii="Times New Roman" w:hAnsi="Times New Roman"/>
          <w:b w:val="0"/>
          <w:i w:val="0"/>
        </w:rPr>
        <w:t>The employer must compute the employee's taxable income from employment after allowing applicable exemptions and concessions. From the tax liability computed under Schedule 1, the employer may adjust the medical tax credit, if available. The net tax is then deducted proportionately from monthly remuneration and deposited with the concerned office within 25 days from the end of each month. The Act therefore places on the employer the duty to determine and deduct tax from employment income.</w:t>
      </w:r>
    </w:p>
    <w:p>
      <w:pPr>
        <w:spacing w:after="80" w:line="259" w:lineRule="auto"/>
      </w:pPr>
      <w:r>
        <w:rPr>
          <w:rFonts w:ascii="Times New Roman" w:hAnsi="Times New Roman"/>
          <w:b/>
          <w:i w:val="0"/>
        </w:rPr>
        <w:t>Example 16.2.3:</w:t>
      </w:r>
    </w:p>
    <w:p>
      <w:pPr>
        <w:spacing w:after="80" w:line="259" w:lineRule="auto"/>
      </w:pPr>
      <w:r>
        <w:rPr>
          <w:rFonts w:ascii="Times New Roman" w:hAnsi="Times New Roman"/>
          <w:b w:val="0"/>
          <w:i w:val="0"/>
        </w:rPr>
        <w:t>If an employee's monthly remuneration is Rs. 50,000 and the monthly tax deductible is Rs. 4,500, the employer remains liable to deduct Rs. 4,500 even where, in the month of Asadh, Rs. 48,000 is also recoverable from the salary as advance. The obligation to withhold tax is not extinguished by recovery of the employee's advance.</w:t>
      </w:r>
    </w:p>
    <w:p>
      <w:pPr>
        <w:spacing w:after="80" w:line="259" w:lineRule="auto"/>
      </w:pPr>
      <w:r>
        <w:rPr>
          <w:rFonts w:ascii="Times New Roman" w:hAnsi="Times New Roman"/>
          <w:b/>
          <w:i w:val="0"/>
        </w:rPr>
        <w:t>Example 16.2.4:</w:t>
      </w:r>
    </w:p>
    <w:p>
      <w:pPr>
        <w:spacing w:after="80" w:line="259" w:lineRule="auto"/>
      </w:pPr>
      <w:r>
        <w:rPr>
          <w:rFonts w:ascii="Times New Roman" w:hAnsi="Times New Roman"/>
          <w:b w:val="0"/>
          <w:i w:val="0"/>
        </w:rPr>
        <w:t>If a bank appoints a chief executive officer on a net-of-tax remuneration of Rs. 4,000,000 for income year 2080/81 and agrees not to deduct tax from the payment, the bank must still gross-up the remuneration and bear/deduct the tax. Treating the employee as a couple electing to be treated as one natural person, the directive illustrates gross employment income of Rs. 5,414,754 and total tax of Rs. 1,714,754, leaving net remuneration of Rs. 4,000,000.</w:t>
      </w:r>
    </w:p>
    <w:tbl>
      <w:tblPr>
        <w:tblStyle w:val="TableGrid"/>
        <w:tblW w:type="auto" w:w="0"/>
        <w:jc w:val="center"/>
        <w:tblLook w:firstColumn="1" w:firstRow="1" w:lastColumn="0" w:lastRow="0" w:noHBand="0" w:noVBand="1" w:val="04A0"/>
      </w:tblPr>
      <w:tblGrid>
        <w:gridCol w:w="5184"/>
        <w:gridCol w:w="5184"/>
      </w:tblGrid>
      <w:tr>
        <w:trPr>
          <w:tblHeader w:val="true"/>
        </w:trPr>
        <w:tc>
          <w:tcPr>
            <w:tcW w:type="dxa" w:w="5040"/>
            <w:vAlign w:val="center"/>
            <w:tcBorders>
              <w:top w:sz="4" w:val="single" w:color="BFBFBF"/>
              <w:left w:sz="4" w:val="single" w:color="BFBFBF"/>
              <w:bottom w:sz="4" w:val="single" w:color="BFBFBF"/>
              <w:right w:sz="4" w:val="single" w:color="BFBFBF"/>
            </w:tcBorders>
            <w:shd w:fill="D9EAF7"/>
          </w:tcPr>
          <w:p>
            <w:pPr>
              <w:spacing w:after="0" w:line="240" w:lineRule="auto"/>
            </w:pPr>
            <w:r>
              <w:rPr>
                <w:rFonts w:ascii="Times New Roman" w:hAnsi="Times New Roman"/>
                <w:b/>
                <w:sz w:val="16"/>
              </w:rPr>
              <w:t>Particulars</w:t>
            </w:r>
          </w:p>
        </w:tc>
        <w:tc>
          <w:tcPr>
            <w:tcW w:type="dxa" w:w="2880"/>
            <w:vAlign w:val="center"/>
            <w:tcBorders>
              <w:top w:sz="4" w:val="single" w:color="BFBFBF"/>
              <w:left w:sz="4" w:val="single" w:color="BFBFBF"/>
              <w:bottom w:sz="4" w:val="single" w:color="BFBFBF"/>
              <w:right w:sz="4" w:val="single" w:color="BFBFBF"/>
            </w:tcBorders>
            <w:shd w:fill="D9EAF7"/>
          </w:tcPr>
          <w:p>
            <w:pPr>
              <w:spacing w:after="0" w:line="240" w:lineRule="auto"/>
            </w:pPr>
            <w:r>
              <w:rPr>
                <w:rFonts w:ascii="Times New Roman" w:hAnsi="Times New Roman"/>
                <w:b/>
                <w:sz w:val="16"/>
              </w:rPr>
              <w:t>Amount / rate</w:t>
            </w:r>
          </w:p>
        </w:tc>
      </w:tr>
      <w:tr>
        <w:tc>
          <w:tcPr>
            <w:tcW w:type="dxa" w:w="504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Gross employment income</w:t>
            </w:r>
          </w:p>
        </w:tc>
        <w:tc>
          <w:tcPr>
            <w:tcW w:type="dxa" w:w="28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Rs. 5,414,754</w:t>
            </w:r>
          </w:p>
        </w:tc>
      </w:tr>
      <w:tr>
        <w:tc>
          <w:tcPr>
            <w:tcW w:type="dxa" w:w="504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Tax on first Rs. 600,000</w:t>
            </w:r>
          </w:p>
        </w:tc>
        <w:tc>
          <w:tcPr>
            <w:tcW w:type="dxa" w:w="28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1% = Rs. 6,000</w:t>
            </w:r>
          </w:p>
        </w:tc>
      </w:tr>
      <w:tr>
        <w:tc>
          <w:tcPr>
            <w:tcW w:type="dxa" w:w="504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Tax on next Rs. 200,000</w:t>
            </w:r>
          </w:p>
        </w:tc>
        <w:tc>
          <w:tcPr>
            <w:tcW w:type="dxa" w:w="28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10% = Rs. 20,000</w:t>
            </w:r>
          </w:p>
        </w:tc>
      </w:tr>
      <w:tr>
        <w:tc>
          <w:tcPr>
            <w:tcW w:type="dxa" w:w="504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Tax on next Rs. 300,000</w:t>
            </w:r>
          </w:p>
        </w:tc>
        <w:tc>
          <w:tcPr>
            <w:tcW w:type="dxa" w:w="28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20% = Rs. 60,000</w:t>
            </w:r>
          </w:p>
        </w:tc>
      </w:tr>
      <w:tr>
        <w:tc>
          <w:tcPr>
            <w:tcW w:type="dxa" w:w="504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Tax on next Rs. 900,000</w:t>
            </w:r>
          </w:p>
        </w:tc>
        <w:tc>
          <w:tcPr>
            <w:tcW w:type="dxa" w:w="28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30% = Rs. 270,000</w:t>
            </w:r>
          </w:p>
        </w:tc>
      </w:tr>
      <w:tr>
        <w:tc>
          <w:tcPr>
            <w:tcW w:type="dxa" w:w="504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Tax on next Rs. 3,000,000</w:t>
            </w:r>
          </w:p>
        </w:tc>
        <w:tc>
          <w:tcPr>
            <w:tcW w:type="dxa" w:w="28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36% = Rs. 1,080,000</w:t>
            </w:r>
          </w:p>
        </w:tc>
      </w:tr>
      <w:tr>
        <w:tc>
          <w:tcPr>
            <w:tcW w:type="dxa" w:w="504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Tax on balance Rs. 714,754</w:t>
            </w:r>
          </w:p>
        </w:tc>
        <w:tc>
          <w:tcPr>
            <w:tcW w:type="dxa" w:w="28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39% = Rs. 278,754</w:t>
            </w:r>
          </w:p>
        </w:tc>
      </w:tr>
      <w:tr>
        <w:tc>
          <w:tcPr>
            <w:tcW w:type="dxa" w:w="504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Total tax</w:t>
            </w:r>
          </w:p>
        </w:tc>
        <w:tc>
          <w:tcPr>
            <w:tcW w:type="dxa" w:w="28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Rs. 1,714,754</w:t>
            </w:r>
          </w:p>
        </w:tc>
      </w:tr>
      <w:tr>
        <w:tc>
          <w:tcPr>
            <w:tcW w:type="dxa" w:w="504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Net remuneration after tax</w:t>
            </w:r>
          </w:p>
        </w:tc>
        <w:tc>
          <w:tcPr>
            <w:tcW w:type="dxa" w:w="28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Rs. 4,000,000</w:t>
            </w:r>
          </w:p>
        </w:tc>
      </w:tr>
    </w:tbl>
    <w:p>
      <w:pPr>
        <w:pStyle w:val="Heading3"/>
        <w:spacing w:after="80" w:line="259" w:lineRule="auto"/>
      </w:pPr>
      <w:r>
        <w:rPr>
          <w:rFonts w:ascii="Times New Roman" w:hAnsi="Times New Roman"/>
          <w:b w:val="0"/>
          <w:i w:val="0"/>
        </w:rPr>
        <w:t>16.2.3 Method of withholding by employer from remuneration</w:t>
      </w:r>
    </w:p>
    <w:p>
      <w:pPr>
        <w:spacing w:after="80" w:line="259" w:lineRule="auto"/>
      </w:pPr>
      <w:r>
        <w:rPr>
          <w:rFonts w:ascii="Times New Roman" w:hAnsi="Times New Roman"/>
          <w:b w:val="0"/>
          <w:i w:val="0"/>
        </w:rPr>
        <w:t>Rule 31 of the Income Tax Rules provides that when an employer deducts advance tax from employment income under Section 87(1), the employer may adjust medical tax credit available under Section 51 and must deduct advance tax monthly on a proportionate basis with reference to the annual tax on the employee's remuneration.</w:t>
      </w:r>
    </w:p>
    <w:p>
      <w:pPr>
        <w:spacing w:after="80" w:line="259" w:lineRule="auto"/>
      </w:pPr>
      <w:r>
        <w:rPr>
          <w:rFonts w:ascii="Times New Roman" w:hAnsi="Times New Roman"/>
          <w:b w:val="0"/>
          <w:i w:val="0"/>
        </w:rPr>
        <w:t>In applying this rule, the employer should determine the estimated assessable employment income before making the first payment of the income year and revise the estimate before making remuneration payments in any later month if the estimate changes. In computing withholding from employment income, the employer should consider, where applicable, contributions paid to an approved retirement fund, remote-area allowance deduction, foreign allowance of employees posted in diplomatic missions abroad, additional deduction for a resident disabled employee, life insurance premium deduction, health insurance premium deduction, and other deductions or concessions permitted by Schedule 1 or the Act.</w:t>
      </w:r>
    </w:p>
    <w:p>
      <w:pPr>
        <w:spacing w:after="80" w:line="259" w:lineRule="auto"/>
      </w:pPr>
      <w:r>
        <w:rPr>
          <w:rFonts w:ascii="Times New Roman" w:hAnsi="Times New Roman"/>
          <w:b w:val="0"/>
          <w:i w:val="0"/>
        </w:rPr>
        <w:t>The directive illustrates this method through two numerical examples. In the first example, a single person employed for six months under contract has monthly salary of Rs. 100,000 and other benefits. After computing annualised employment income, retirement contribution and insurance deductions, the organisation must deduct Rs. 2,550 per month and deposit it within 25 days from the end of the following month. In the second example, a bank manager receives salary, Dashain expenses, educational allowance, gratuity contribution, provident fund contribution, vehicle facility and other benefits. After computing employment income and allowable deductions, the monthly withholding tax is Rs. 52,404.16. The directive notes that where vehicle benefit is included under Section 27(1)(b) at 0.5 percent of salary, other expenses under the same facility need not be separately included.</w:t>
      </w:r>
    </w:p>
    <w:p>
      <w:pPr>
        <w:spacing w:after="80" w:line="259" w:lineRule="auto"/>
      </w:pPr>
      <w:r>
        <w:rPr>
          <w:rFonts w:ascii="Times New Roman" w:hAnsi="Times New Roman"/>
          <w:b w:val="0"/>
          <w:i w:val="0"/>
        </w:rPr>
        <w:t>Where an employee has only one resident employer at a time, derives employment income only from Nepal-source employment, and claims no deduction or credit other than medical treatment expenditure paid by the employer or retirement contribution, the tax deducted by the employer under Section 87 is generally treated as final. Such employee need not file an income return if the employer has deposited the tax withheld. Employment income recipients should obtain a Personal Permanent Account Number (P-PAN), and employers must deposit tax withheld using that P-PAN.</w:t>
      </w:r>
    </w:p>
    <w:p>
      <w:pPr>
        <w:pStyle w:val="Heading3"/>
        <w:spacing w:after="80" w:line="259" w:lineRule="auto"/>
      </w:pPr>
      <w:r>
        <w:rPr>
          <w:rFonts w:ascii="Times New Roman" w:hAnsi="Times New Roman"/>
          <w:b w:val="0"/>
          <w:i w:val="0"/>
        </w:rPr>
        <w:t>16.2.4 Withholding on payment of investment return and service charge</w:t>
      </w:r>
    </w:p>
    <w:p>
      <w:pPr>
        <w:spacing w:after="80" w:line="259" w:lineRule="auto"/>
      </w:pPr>
      <w:r>
        <w:rPr>
          <w:rFonts w:ascii="Times New Roman" w:hAnsi="Times New Roman"/>
          <w:b w:val="0"/>
          <w:i w:val="0"/>
        </w:rPr>
        <w:t>Section 88 deals with withholding from payments of investment return and service charges. A resident person making a payment having a source in Nepal of interest, natural resource payment, rent, royalty, service charge, commission, sales bonus, retirement payment or any other return must generally deduct tax at 15 percent of the gross payment. A payment is treated as having a source in Nepal where it is made in respect of property situated in Nepal or the use of such property, an obligation in Nepal, or a transaction based in Nepal.</w:t>
      </w:r>
    </w:p>
    <w:p>
      <w:pPr>
        <w:spacing w:after="80" w:line="259" w:lineRule="auto"/>
      </w:pPr>
      <w:r>
        <w:rPr>
          <w:rFonts w:ascii="Times New Roman" w:hAnsi="Times New Roman"/>
          <w:b w:val="0"/>
          <w:i w:val="0"/>
        </w:rPr>
        <w:t>"Natural resource payment" includes payment for the right to take water, minerals or other living or non-living resources from land, and amounts calculated by reference to the quantity or value of natural resources or minerals taken wholly or partly from land. "Service charge" means any fee paid at market value to a person for services provided by that person and includes meeting allowance, management fee and technical service charge. Consultancy fees and audit fees are service charges. Where an internal auditor is an employee of the payer, remuneration paid to that person is employment income, not service charge.</w:t>
      </w:r>
    </w:p>
    <w:p>
      <w:pPr>
        <w:spacing w:after="80" w:line="259" w:lineRule="auto"/>
      </w:pPr>
      <w:r>
        <w:rPr>
          <w:rFonts w:ascii="Times New Roman" w:hAnsi="Times New Roman"/>
          <w:b w:val="0"/>
          <w:i w:val="0"/>
        </w:rPr>
        <w:t>Where a tax-exempt NGO, INGO, mission, office or similar organisation makes payments as local subsidy, consulting contract or other service-related contract, the directive distinguishes between a true grant/subsidy without consideration and a payment for services. If a organization entitled to enjoy exemption produces its exemption certificate and receives a grant to carry out its own objectives without any expected return to the payer, withholding is not required. If any condition is not met, or if the recipient is not tax-exempt, the nature of the payment must be examined. Reimbursement of actual expenses of the payer, supported by bills, is not income of the recipient and withholding is not required on that reimbursement; however, if the recipient pays amounts on which withholding is required, the recipient must withhold and deposit the tax. Amounts described as travel allowance, hotel expense or daily allowance are part of the service charge if they are paid to the service provider or its employees as components of the service contract.</w:t>
      </w:r>
    </w:p>
    <w:tbl>
      <w:tblPr>
        <w:tblStyle w:val="TableGrid"/>
        <w:tblW w:type="auto" w:w="0"/>
        <w:jc w:val="center"/>
        <w:tblLook w:firstColumn="1" w:firstRow="1" w:lastColumn="0" w:lastRow="0" w:noHBand="0" w:noVBand="1" w:val="04A0"/>
      </w:tblPr>
      <w:tblGrid>
        <w:gridCol w:w="5184"/>
        <w:gridCol w:w="5184"/>
      </w:tblGrid>
      <w:tr>
        <w:trPr>
          <w:tblHeader w:val="true"/>
        </w:trPr>
        <w:tc>
          <w:tcPr>
            <w:tcW w:type="dxa" w:w="1152"/>
            <w:vAlign w:val="center"/>
            <w:tcBorders>
              <w:top w:sz="4" w:val="single" w:color="BFBFBF"/>
              <w:left w:sz="4" w:val="single" w:color="BFBFBF"/>
              <w:bottom w:sz="4" w:val="single" w:color="BFBFBF"/>
              <w:right w:sz="4" w:val="single" w:color="BFBFBF"/>
            </w:tcBorders>
            <w:shd w:fill="D9EAF7"/>
          </w:tcPr>
          <w:p>
            <w:pPr>
              <w:spacing w:after="0" w:line="240" w:lineRule="auto"/>
            </w:pPr>
            <w:r>
              <w:rPr>
                <w:rFonts w:ascii="Times New Roman" w:hAnsi="Times New Roman"/>
                <w:b/>
                <w:sz w:val="15"/>
              </w:rPr>
              <w:t>Example</w:t>
            </w:r>
          </w:p>
        </w:tc>
        <w:tc>
          <w:tcPr>
            <w:tcW w:type="dxa" w:w="8496"/>
            <w:vAlign w:val="center"/>
            <w:tcBorders>
              <w:top w:sz="4" w:val="single" w:color="BFBFBF"/>
              <w:left w:sz="4" w:val="single" w:color="BFBFBF"/>
              <w:bottom w:sz="4" w:val="single" w:color="BFBFBF"/>
              <w:right w:sz="4" w:val="single" w:color="BFBFBF"/>
            </w:tcBorders>
            <w:shd w:fill="D9EAF7"/>
          </w:tcPr>
          <w:p>
            <w:pPr>
              <w:spacing w:after="0" w:line="240" w:lineRule="auto"/>
            </w:pPr>
            <w:r>
              <w:rPr>
                <w:rFonts w:ascii="Times New Roman" w:hAnsi="Times New Roman"/>
                <w:b/>
                <w:sz w:val="15"/>
              </w:rPr>
              <w:t>Translation / conclusion</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16.2.7</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Health Services Department pays Rs. 40,000 for awareness services and Rs. 20,000 for the service provider's staff travel/hotel/daily expenses. The entire Rs. 60,000 is service charge. Withholding is 15% if the provider is not VAT registered and 1.5% if VAT registered.</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16.2.8</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If the payment is a grant/reimbursement to a tax-exempt NGO for the same awareness programme on the basis of bills and vouchers, withholding is not required under Section 88(4)(c).</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16.2.9</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An INGO funds a local chamber/NGO for a contact office. Reimbursement based on original bills is not subject to withholding; office overhead not requiring bills is income of the chamber and is subject to withholding.</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16.2.10</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A tax-exempt NGO receives support to conduct training without expectation of return. Genuine grants to carry out the NGO's objectives are not subject to withholding, but payments to resource persons, hall rent and similar taxable payments must be tested for withholding.</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16.2.11</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An NGO conducts training and makes payments such as resource-person allowance, hall rent and materials. Service payments are subject to withholding; reimbursement of actual expenses of the payer is not.</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16.2.12</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Where the NGO itself engages another party to conduct the training, the payment is a service charge/contract payment according to its character, and withholding applies to the service element.</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16.2.13</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Retirement payment by an approved retirement fund or employer is treated under the special provisions. The taxable portion is determined by deducting the higher of Rs. 500,000 or 50% of the payment where applicable.</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16.2.14</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If employment regulations provide a retirement benefit in a different form, the amount must still be characterised as retirement payment and withholding must be made on the taxable amount.</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16.2.15</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A retirement payment by an employer that is not through an approved retirement fund is dealt with as a payment by the employer; withholding is made as provided by the Act.</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16.2.16</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Benefits from an approved retirement fund require computation of the taxable retirement payment and the 5% withholding on the taxable balance where the payment is final withholding.</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16.2.17</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For a retirement payment arising from service before and after the Act came into force, the directive explains allocation and taxation according to the applicable transitional provisions.</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16.2.18</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A similar retirement-payment example explains how prior contributions and accumulated balances are considered when identifying the taxable portion.</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16.2.19</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Where an employee receives retirement payment after long service beginning before the Act, the directive illustrates computation of the portion subject to withholding.</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16.2.20</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The directive further illustrates taxation where the retirement payment is made under different service and fund conditions.</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16.2.21</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Commission paid by a resident employment company to a non-resident person is subject to withholding at the special rate provided for such commission.</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16.2.22</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Aircraft lease payments to a non-resident are subject to withholding at the special rate for aircraft lease payments.</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16.2.23</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A VAT-registered accounting firm providing audit/accounting service is paid service charge. Withholding at 1.5% applies to service charges paid to a VAT-registered resident service provider.</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16.2.24</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A VAT-registered cold-store business providing agricultural cold-storage service falls under the special rule for VAT-registered service providers, and withholding at 1.5% applies.</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16.2.25</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Sales bonus/commission paid by an industry to a dealer for selling cement is subject to withholding according to its nature as commission or sales bonus.</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16.2.26</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Rent of a business house/premises by a company is subject to withholding on rent at the rate specified for Nepal-source rent.</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16.2.27</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Short-term rental of furniture/equipment for business is rent or service according to the facts; withholding applies where the payment falls under Section 88.</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16.2.28</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Rent or hire charges for property or equipment used in business are subject to withholding if paid by a resident person and not excluded by the Act.</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16.2.29</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If the same arrangement is structured with service components, withholding applies to the taxable payment according to its character.</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16.2.30</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Monthly house rent paid for operating business at Pokhara New Road is subject to withholding from the rent payment.</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16.2.31</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Return distributed by a mutual fund to its beneficiaries: 5% withholding applies when paid to a natural person; 15% applies for other persons.</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16.2.32</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Interest paid by a resident bank/financial institution on foreign-currency borrowing for sectors specified by Nepal Rastra Bank is subject to 5% final withholding.</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16.2.33</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A department-store operator paying rent/service/commission must withhold according to the character of each payment.</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16.2.34</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Dividend declared by a resident limited company is subject to 5% withholding and is final for the shareholder.</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16.2.35</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Dividend distributed by a partnership firm is subject to 5% withholding and is final for the partners.</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16.2.36</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Bonus shares/dividend capitalisation by a company must be examined under the distribution and dividend rules and withholding applies unless exempted.</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16.2.37</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On maturity of investment insurance, the insurer withholds 5% on the gain portion, i.e. amount received minus premiums paid, unless the payment is exempt.</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16.2.38</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Accidental insurance proceeds paid on death or accident that are exempt under the Act are not subject to withholding.</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16.2.39</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Benefits from an unapproved retirement fund are subject to 5% withholding on the gain element and are final for the recipient.</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16.2.40</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Interest on listed company debentures paid to a natural person is subject to the special interest withholding rule; for other recipients the ordinary rule may apply.</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16.2.41</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A natural person building a personal house and paying an engineer for drawings/supervision is not required to withhold tax, because the payment is not connected with carrying on business. The engineer must include the fee in income.</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16.2.42</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Payment for an article published in a newspaper or magazine is not subject to withholding, but the recipient must include the amount in income when filing a return.</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16.2.43</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Interest paid by a company to a resident bank or resident financial institution on working-capital loan is not subject to withholding.</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16.2.44</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Grant income of a tax-exempt entity is not subject to withholding if it is exempt under Section 10; however, non-exempt amounts such as deposit interest are subject to withholding.</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16.2.45</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Inter-regional interchange fee paid by a credit-card issuing bank, such as an amount transferred to MasterCard International, is not subject to withholding.</w:t>
            </w:r>
          </w:p>
        </w:tc>
      </w:tr>
    </w:tbl>
    <w:p>
      <w:pPr>
        <w:pStyle w:val="Heading3"/>
        <w:spacing w:after="80" w:line="259" w:lineRule="auto"/>
      </w:pPr>
      <w:r>
        <w:rPr>
          <w:rFonts w:ascii="Times New Roman" w:hAnsi="Times New Roman"/>
          <w:b w:val="0"/>
          <w:i w:val="0"/>
        </w:rPr>
        <w:t>16.2.5 Withholding on windfall gain</w:t>
      </w:r>
    </w:p>
    <w:p>
      <w:pPr>
        <w:spacing w:after="80" w:line="259" w:lineRule="auto"/>
      </w:pPr>
      <w:r>
        <w:rPr>
          <w:rFonts w:ascii="Times New Roman" w:hAnsi="Times New Roman"/>
          <w:b w:val="0"/>
          <w:i w:val="0"/>
        </w:rPr>
        <w:t>Under Section 88A(1), tax must be withheld at 25 percent from a payment of windfall gain. The Government of Nepal may, by publishing a notice in the Nepal Gazette, exempt from windfall gain tax national and international awards received for contribution in literature, art, culture, sports, journalism, science, technology and public administration. If an award exceeding Rs. 500,000 is received for such contribution, tax must be deducted at 25 percent on the amount exceeding Rs. 500,000. The directive treats lottery, gift, prize, award, winning or similar amounts received without the use of the recipient's labour or capital as windfall gain. Withholding on windfall gain is final withholding under Section 92(1)(jha).</w:t>
      </w:r>
    </w:p>
    <w:p>
      <w:pPr>
        <w:spacing w:after="80" w:line="259" w:lineRule="auto"/>
      </w:pPr>
      <w:r>
        <w:rPr>
          <w:rFonts w:ascii="Times New Roman" w:hAnsi="Times New Roman"/>
          <w:b/>
          <w:i w:val="0"/>
        </w:rPr>
        <w:t>Example 16.2.47:</w:t>
      </w:r>
    </w:p>
    <w:p>
      <w:pPr>
        <w:spacing w:after="80" w:line="259" w:lineRule="auto"/>
      </w:pPr>
      <w:r>
        <w:rPr>
          <w:rFonts w:ascii="Times New Roman" w:hAnsi="Times New Roman"/>
          <w:b w:val="0"/>
          <w:i w:val="0"/>
        </w:rPr>
        <w:t>If Dipak Niraula wins Rs. 100,000 at Casino Nepal, the casino must withhold 25 percent, i.e. Rs. 25,000, and pay Rs. 75,000 to him. The tax is final withholding.</w:t>
      </w:r>
    </w:p>
    <w:p>
      <w:pPr>
        <w:spacing w:after="80" w:line="259" w:lineRule="auto"/>
      </w:pPr>
      <w:r>
        <w:rPr>
          <w:rFonts w:ascii="Times New Roman" w:hAnsi="Times New Roman"/>
          <w:b/>
          <w:i w:val="0"/>
        </w:rPr>
        <w:t>Example 16.2.48:</w:t>
      </w:r>
    </w:p>
    <w:p>
      <w:pPr>
        <w:spacing w:after="80" w:line="259" w:lineRule="auto"/>
      </w:pPr>
      <w:r>
        <w:rPr>
          <w:rFonts w:ascii="Times New Roman" w:hAnsi="Times New Roman"/>
          <w:b w:val="0"/>
          <w:i w:val="0"/>
        </w:rPr>
        <w:t>If Dipak Kayastha wins a lottery of Rs. 100,000, tax of Rs. 25,000 must be withheld and only Rs. 75,000 paid. The tax is final withholding.</w:t>
      </w:r>
    </w:p>
    <w:p>
      <w:pPr>
        <w:pStyle w:val="Heading3"/>
        <w:spacing w:after="80" w:line="259" w:lineRule="auto"/>
      </w:pPr>
      <w:r>
        <w:rPr>
          <w:rFonts w:ascii="Times New Roman" w:hAnsi="Times New Roman"/>
          <w:b w:val="0"/>
          <w:i w:val="0"/>
        </w:rPr>
        <w:t>16.2.6 Withholding on contract or agreement payment</w:t>
      </w:r>
    </w:p>
    <w:p>
      <w:pPr>
        <w:spacing w:after="80" w:line="259" w:lineRule="auto"/>
      </w:pPr>
      <w:r>
        <w:rPr>
          <w:rFonts w:ascii="Times New Roman" w:hAnsi="Times New Roman"/>
          <w:b w:val="0"/>
          <w:i w:val="0"/>
        </w:rPr>
        <w:t>Under Section 89, when a resident person makes a payment exceeding Rs. 50,000 under a contract or agreement, tax must be withheld at 1.5 percent of the gross payment. In determining whether the threshold is exceeded, all payments made in the preceding ten days under the same contract by the person or an associate of that person to the payee or an associate of the payee are aggregated.</w:t>
      </w:r>
    </w:p>
    <w:p>
      <w:pPr>
        <w:spacing w:after="80" w:line="259" w:lineRule="auto"/>
      </w:pPr>
      <w:r>
        <w:rPr>
          <w:rFonts w:ascii="Times New Roman" w:hAnsi="Times New Roman"/>
          <w:b w:val="0"/>
          <w:i w:val="0"/>
        </w:rPr>
        <w:t>For contract or agreement payments to a non-resident person, withholding is generally 5 percent. For reinsurance premium paid to a non-resident insurance company, and commission paid out of reinsurance premium received from a non-resident insurance company, withholding is 1.5 percent. In other cases of payments to a non-resident person, the rate specified in written notice issued by the Department applies. For payments exceeding Rs. 5,000,000 made through a users' committee for carrying out work, withholding at 1.5 percent applies. Section 89 does not apply to payments by a natural person who is not carrying on business, except rent for Nepal-source land, house and fixtures/equipment, and it also does not apply to exempt payments or payments subject to withholding under Sections 87, 88 or 88A.</w:t>
      </w:r>
    </w:p>
    <w:tbl>
      <w:tblPr>
        <w:tblStyle w:val="TableGrid"/>
        <w:tblW w:type="auto" w:w="0"/>
        <w:jc w:val="center"/>
        <w:tblLook w:firstColumn="1" w:firstRow="1" w:lastColumn="0" w:lastRow="0" w:noHBand="0" w:noVBand="1" w:val="04A0"/>
      </w:tblPr>
      <w:tblGrid>
        <w:gridCol w:w="5184"/>
        <w:gridCol w:w="5184"/>
      </w:tblGrid>
      <w:tr>
        <w:trPr>
          <w:tblHeader w:val="true"/>
        </w:trPr>
        <w:tc>
          <w:tcPr>
            <w:tcW w:type="dxa" w:w="1152"/>
            <w:vAlign w:val="center"/>
            <w:tcBorders>
              <w:top w:sz="4" w:val="single" w:color="BFBFBF"/>
              <w:left w:sz="4" w:val="single" w:color="BFBFBF"/>
              <w:bottom w:sz="4" w:val="single" w:color="BFBFBF"/>
              <w:right w:sz="4" w:val="single" w:color="BFBFBF"/>
            </w:tcBorders>
            <w:shd w:fill="D9EAF7"/>
          </w:tcPr>
          <w:p>
            <w:pPr>
              <w:spacing w:after="0" w:line="240" w:lineRule="auto"/>
            </w:pPr>
            <w:r>
              <w:rPr>
                <w:rFonts w:ascii="Times New Roman" w:hAnsi="Times New Roman"/>
                <w:b/>
                <w:sz w:val="15"/>
              </w:rPr>
              <w:t>Example</w:t>
            </w:r>
          </w:p>
        </w:tc>
        <w:tc>
          <w:tcPr>
            <w:tcW w:type="dxa" w:w="8496"/>
            <w:vAlign w:val="center"/>
            <w:tcBorders>
              <w:top w:sz="4" w:val="single" w:color="BFBFBF"/>
              <w:left w:sz="4" w:val="single" w:color="BFBFBF"/>
              <w:bottom w:sz="4" w:val="single" w:color="BFBFBF"/>
              <w:right w:sz="4" w:val="single" w:color="BFBFBF"/>
            </w:tcBorders>
            <w:shd w:fill="D9EAF7"/>
          </w:tcPr>
          <w:p>
            <w:pPr>
              <w:spacing w:after="0" w:line="240" w:lineRule="auto"/>
            </w:pPr>
            <w:r>
              <w:rPr>
                <w:rFonts w:ascii="Times New Roman" w:hAnsi="Times New Roman"/>
                <w:b/>
                <w:sz w:val="15"/>
              </w:rPr>
              <w:t>Translation / conclusion</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16.2.49</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ABC &amp; Co. receives Rs. 51,000 under a ration contract from CBS International. Since the amount exceeds Rs. 50,000, tax of 1.5%, i.e. Rs. 765, must be withheld from the full amount.</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16.2.50</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A hotel contracts for annual supply of chicken. Payments under the same contract are aggregated for the threshold; once the threshold is crossed, withholding applies to the contract payments according to Section 89.</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16.2.51</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Where payments are made under the same contract to associated persons or by associated persons, the preceding ten-day aggregation rule is applied to determine whether the Rs. 50,000 threshold is exceeded.</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16.2.52</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A natural person, Govinda, contracts with a construction company to build his personal house for Rs. 5,000,000. He is not required to withhold tax because the payment is not made in the course of carrying on business. The construction company must include the contract receipt in its income.</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16.2.53</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Interest paid by a bank to an approved retirement fund is not subject to withholding because the interest of the approved retirement fund is exempt from income tax.</w:t>
            </w:r>
          </w:p>
        </w:tc>
      </w:tr>
    </w:tbl>
    <w:p>
      <w:pPr>
        <w:spacing w:after="80" w:line="259" w:lineRule="auto"/>
      </w:pPr>
      <w:r>
        <w:rPr>
          <w:rFonts w:ascii="Times New Roman" w:hAnsi="Times New Roman"/>
          <w:b w:val="0"/>
          <w:i w:val="0"/>
        </w:rPr>
        <w:t>Where a payment falls both under Sections 87 or 88 and under Section 89, the withholding rate applicable under Sections 87 or 88 applies.</w:t>
      </w:r>
    </w:p>
    <w:p>
      <w:pPr>
        <w:pStyle w:val="Heading3"/>
        <w:spacing w:after="80" w:line="259" w:lineRule="auto"/>
      </w:pPr>
      <w:r>
        <w:rPr>
          <w:rFonts w:ascii="Times New Roman" w:hAnsi="Times New Roman"/>
          <w:b w:val="0"/>
          <w:i w:val="0"/>
        </w:rPr>
        <w:t>16.2.7 Rates of withholding tax</w:t>
      </w:r>
    </w:p>
    <w:tbl>
      <w:tblPr>
        <w:tblStyle w:val="TableGrid"/>
        <w:tblW w:type="auto" w:w="0"/>
        <w:jc w:val="center"/>
        <w:tblLook w:firstColumn="1" w:firstRow="1" w:lastColumn="0" w:lastRow="0" w:noHBand="0" w:noVBand="1" w:val="04A0"/>
      </w:tblPr>
      <w:tblGrid>
        <w:gridCol w:w="2592"/>
        <w:gridCol w:w="2592"/>
        <w:gridCol w:w="2592"/>
        <w:gridCol w:w="2592"/>
      </w:tblGrid>
      <w:tr>
        <w:trPr>
          <w:tblHeader w:val="true"/>
        </w:trPr>
        <w:tc>
          <w:tcPr>
            <w:tcW w:type="dxa" w:w="1152"/>
            <w:vAlign w:val="center"/>
            <w:tcBorders>
              <w:top w:sz="4" w:val="single" w:color="BFBFBF"/>
              <w:left w:sz="4" w:val="single" w:color="BFBFBF"/>
              <w:bottom w:sz="4" w:val="single" w:color="BFBFBF"/>
              <w:right w:sz="4" w:val="single" w:color="BFBFBF"/>
            </w:tcBorders>
            <w:shd w:fill="D9EAF7"/>
          </w:tcPr>
          <w:p>
            <w:pPr>
              <w:spacing w:after="0" w:line="240" w:lineRule="auto"/>
            </w:pPr>
            <w:r>
              <w:rPr>
                <w:rFonts w:ascii="Times New Roman" w:hAnsi="Times New Roman"/>
                <w:b/>
                <w:sz w:val="14"/>
              </w:rPr>
              <w:t>Section</w:t>
            </w:r>
          </w:p>
        </w:tc>
        <w:tc>
          <w:tcPr>
            <w:tcW w:type="dxa" w:w="5472"/>
            <w:vAlign w:val="center"/>
            <w:tcBorders>
              <w:top w:sz="4" w:val="single" w:color="BFBFBF"/>
              <w:left w:sz="4" w:val="single" w:color="BFBFBF"/>
              <w:bottom w:sz="4" w:val="single" w:color="BFBFBF"/>
              <w:right w:sz="4" w:val="single" w:color="BFBFBF"/>
            </w:tcBorders>
            <w:shd w:fill="D9EAF7"/>
          </w:tcPr>
          <w:p>
            <w:pPr>
              <w:spacing w:after="0" w:line="240" w:lineRule="auto"/>
            </w:pPr>
            <w:r>
              <w:rPr>
                <w:rFonts w:ascii="Times New Roman" w:hAnsi="Times New Roman"/>
                <w:b/>
                <w:sz w:val="14"/>
              </w:rPr>
              <w:t>Payment subject to withholding</w:t>
            </w:r>
          </w:p>
        </w:tc>
        <w:tc>
          <w:tcPr>
            <w:tcW w:type="dxa" w:w="1584"/>
            <w:vAlign w:val="center"/>
            <w:tcBorders>
              <w:top w:sz="4" w:val="single" w:color="BFBFBF"/>
              <w:left w:sz="4" w:val="single" w:color="BFBFBF"/>
              <w:bottom w:sz="4" w:val="single" w:color="BFBFBF"/>
              <w:right w:sz="4" w:val="single" w:color="BFBFBF"/>
            </w:tcBorders>
            <w:shd w:fill="D9EAF7"/>
          </w:tcPr>
          <w:p>
            <w:pPr>
              <w:spacing w:after="0" w:line="240" w:lineRule="auto"/>
            </w:pPr>
            <w:r>
              <w:rPr>
                <w:rFonts w:ascii="Times New Roman" w:hAnsi="Times New Roman"/>
                <w:b/>
                <w:sz w:val="14"/>
              </w:rPr>
              <w:t>Rate</w:t>
            </w:r>
          </w:p>
        </w:tc>
        <w:tc>
          <w:tcPr>
            <w:tcW w:type="dxa" w:w="1728"/>
            <w:vAlign w:val="center"/>
            <w:tcBorders>
              <w:top w:sz="4" w:val="single" w:color="BFBFBF"/>
              <w:left w:sz="4" w:val="single" w:color="BFBFBF"/>
              <w:bottom w:sz="4" w:val="single" w:color="BFBFBF"/>
              <w:right w:sz="4" w:val="single" w:color="BFBFBF"/>
            </w:tcBorders>
            <w:shd w:fill="D9EAF7"/>
          </w:tcPr>
          <w:p>
            <w:pPr>
              <w:spacing w:after="0" w:line="240" w:lineRule="auto"/>
            </w:pPr>
            <w:r>
              <w:rPr>
                <w:rFonts w:ascii="Times New Roman" w:hAnsi="Times New Roman"/>
                <w:b/>
                <w:sz w:val="14"/>
              </w:rPr>
              <w:t>Final / not final</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87(1)</w:t>
            </w:r>
          </w:p>
        </w:tc>
        <w:tc>
          <w:tcPr>
            <w:tcW w:type="dxa" w:w="547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Employment income / remuneration</w:t>
            </w:r>
          </w:p>
        </w:tc>
        <w:tc>
          <w:tcPr>
            <w:tcW w:type="dxa" w:w="1584"/>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Rates specified in Schedule 1, Section 1</w:t>
            </w:r>
          </w:p>
        </w:tc>
        <w:tc>
          <w:tcPr>
            <w:tcW w:type="dxa" w:w="172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Generally final where conditions are met</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88(1)</w:t>
            </w:r>
          </w:p>
        </w:tc>
        <w:tc>
          <w:tcPr>
            <w:tcW w:type="dxa" w:w="547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Ordinary interest payment</w:t>
            </w:r>
          </w:p>
        </w:tc>
        <w:tc>
          <w:tcPr>
            <w:tcW w:type="dxa" w:w="1584"/>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15%</w:t>
            </w:r>
          </w:p>
        </w:tc>
        <w:tc>
          <w:tcPr>
            <w:tcW w:type="dxa" w:w="172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Not final</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88(1)</w:t>
            </w:r>
          </w:p>
        </w:tc>
        <w:tc>
          <w:tcPr>
            <w:tcW w:type="dxa" w:w="547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Natural resource payment, rent, royalty, service charge, commission, sales bonus, retirement payment etc.</w:t>
            </w:r>
          </w:p>
        </w:tc>
        <w:tc>
          <w:tcPr>
            <w:tcW w:type="dxa" w:w="1584"/>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15%</w:t>
            </w:r>
          </w:p>
        </w:tc>
        <w:tc>
          <w:tcPr>
            <w:tcW w:type="dxa" w:w="172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Not final</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88(1) / 92(1)(j)</w:t>
            </w:r>
          </w:p>
        </w:tc>
        <w:tc>
          <w:tcPr>
            <w:tcW w:type="dxa" w:w="547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Occasional teaching, question-paper preparation or answer-script checking</w:t>
            </w:r>
          </w:p>
        </w:tc>
        <w:tc>
          <w:tcPr>
            <w:tcW w:type="dxa" w:w="1584"/>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15%</w:t>
            </w:r>
          </w:p>
        </w:tc>
        <w:tc>
          <w:tcPr>
            <w:tcW w:type="dxa" w:w="172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Final up to Rs. 20,000 per meeting/payment as specified</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88(1)(1) / 92(1)(chha)</w:t>
            </w:r>
          </w:p>
        </w:tc>
        <w:tc>
          <w:tcPr>
            <w:tcW w:type="dxa" w:w="547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Contribution-based retirement payment by Government of Nepal or approved retirement fund after deducting the higher of Rs. 500,000 or 50% of payment</w:t>
            </w:r>
          </w:p>
        </w:tc>
        <w:tc>
          <w:tcPr>
            <w:tcW w:type="dxa" w:w="1584"/>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5%</w:t>
            </w:r>
          </w:p>
        </w:tc>
        <w:tc>
          <w:tcPr>
            <w:tcW w:type="dxa" w:w="172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Final, except regular pension</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88(1)(2) / 92(1)(cha)</w:t>
            </w:r>
          </w:p>
        </w:tc>
        <w:tc>
          <w:tcPr>
            <w:tcW w:type="dxa" w:w="547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Commission paid by a resident employment company to a non-resident person</w:t>
            </w:r>
          </w:p>
        </w:tc>
        <w:tc>
          <w:tcPr>
            <w:tcW w:type="dxa" w:w="1584"/>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5%</w:t>
            </w:r>
          </w:p>
        </w:tc>
        <w:tc>
          <w:tcPr>
            <w:tcW w:type="dxa" w:w="172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Final</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88(1)(3) / 92(1)(cha)</w:t>
            </w:r>
          </w:p>
        </w:tc>
        <w:tc>
          <w:tcPr>
            <w:tcW w:type="dxa" w:w="547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Aircraft lease payment</w:t>
            </w:r>
          </w:p>
        </w:tc>
        <w:tc>
          <w:tcPr>
            <w:tcW w:type="dxa" w:w="1584"/>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10%</w:t>
            </w:r>
          </w:p>
        </w:tc>
        <w:tc>
          <w:tcPr>
            <w:tcW w:type="dxa" w:w="172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Final for non-resident recipient</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88(1)(4)</w:t>
            </w:r>
          </w:p>
        </w:tc>
        <w:tc>
          <w:tcPr>
            <w:tcW w:type="dxa" w:w="547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Service charge paid to VAT-registered resident service provider or to a resident entity carrying on VAT-exempt transactions</w:t>
            </w:r>
          </w:p>
        </w:tc>
        <w:tc>
          <w:tcPr>
            <w:tcW w:type="dxa" w:w="1584"/>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1.5%</w:t>
            </w:r>
          </w:p>
        </w:tc>
        <w:tc>
          <w:tcPr>
            <w:tcW w:type="dxa" w:w="172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Not final</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88(1)(5)</w:t>
            </w:r>
          </w:p>
        </w:tc>
        <w:tc>
          <w:tcPr>
            <w:tcW w:type="dxa" w:w="547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Nepal-source rent paid by a resident person</w:t>
            </w:r>
          </w:p>
        </w:tc>
        <w:tc>
          <w:tcPr>
            <w:tcW w:type="dxa" w:w="1584"/>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10%</w:t>
            </w:r>
          </w:p>
        </w:tc>
        <w:tc>
          <w:tcPr>
            <w:tcW w:type="dxa" w:w="172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Not final</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88(1)(5)(a) / 92(1)(ṭa)</w:t>
            </w:r>
          </w:p>
        </w:tc>
        <w:tc>
          <w:tcPr>
            <w:tcW w:type="dxa" w:w="547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Vehicle rent paid to a resident natural person other than a sole proprietorship firm</w:t>
            </w:r>
          </w:p>
        </w:tc>
        <w:tc>
          <w:tcPr>
            <w:tcW w:type="dxa" w:w="1584"/>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10%</w:t>
            </w:r>
          </w:p>
        </w:tc>
        <w:tc>
          <w:tcPr>
            <w:tcW w:type="dxa" w:w="172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Final</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88(1)(5)(a)</w:t>
            </w:r>
          </w:p>
        </w:tc>
        <w:tc>
          <w:tcPr>
            <w:tcW w:type="dxa" w:w="547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Vehicle rent paid to a person registered in VAT and carrying on vehicle-rental business</w:t>
            </w:r>
          </w:p>
        </w:tc>
        <w:tc>
          <w:tcPr>
            <w:tcW w:type="dxa" w:w="1584"/>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1.5%</w:t>
            </w:r>
          </w:p>
        </w:tc>
        <w:tc>
          <w:tcPr>
            <w:tcW w:type="dxa" w:w="172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Not final</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88(1)(5)(b)</w:t>
            </w:r>
          </w:p>
        </w:tc>
        <w:tc>
          <w:tcPr>
            <w:tcW w:type="dxa" w:w="547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House rent received by a natural person</w:t>
            </w:r>
          </w:p>
        </w:tc>
        <w:tc>
          <w:tcPr>
            <w:tcW w:type="dxa" w:w="1584"/>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No withholding</w:t>
            </w:r>
          </w:p>
        </w:tc>
        <w:tc>
          <w:tcPr>
            <w:tcW w:type="dxa" w:w="172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N/A</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88(1)(7)</w:t>
            </w:r>
          </w:p>
        </w:tc>
        <w:tc>
          <w:tcPr>
            <w:tcW w:type="dxa" w:w="547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Payment for use of satellite, bandwidth, optical fibre, telecommunication equipment or electricity transmission line</w:t>
            </w:r>
          </w:p>
        </w:tc>
        <w:tc>
          <w:tcPr>
            <w:tcW w:type="dxa" w:w="1584"/>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10%</w:t>
            </w:r>
          </w:p>
        </w:tc>
        <w:tc>
          <w:tcPr>
            <w:tcW w:type="dxa" w:w="172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Not final</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88(1)(6) / 92(1)(ña)</w:t>
            </w:r>
          </w:p>
        </w:tc>
        <w:tc>
          <w:tcPr>
            <w:tcW w:type="dxa" w:w="547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Return distributed by mutual fund to natural person</w:t>
            </w:r>
          </w:p>
        </w:tc>
        <w:tc>
          <w:tcPr>
            <w:tcW w:type="dxa" w:w="1584"/>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5%</w:t>
            </w:r>
          </w:p>
        </w:tc>
        <w:tc>
          <w:tcPr>
            <w:tcW w:type="dxa" w:w="172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Final</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88(1)(6)</w:t>
            </w:r>
          </w:p>
        </w:tc>
        <w:tc>
          <w:tcPr>
            <w:tcW w:type="dxa" w:w="547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Return distributed by mutual fund to other person</w:t>
            </w:r>
          </w:p>
        </w:tc>
        <w:tc>
          <w:tcPr>
            <w:tcW w:type="dxa" w:w="1584"/>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15%</w:t>
            </w:r>
          </w:p>
        </w:tc>
        <w:tc>
          <w:tcPr>
            <w:tcW w:type="dxa" w:w="172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Not final</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88(1)(8)</w:t>
            </w:r>
          </w:p>
        </w:tc>
        <w:tc>
          <w:tcPr>
            <w:tcW w:type="dxa" w:w="547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Transportation service or rent of transport vehicle paid to natural person</w:t>
            </w:r>
          </w:p>
        </w:tc>
        <w:tc>
          <w:tcPr>
            <w:tcW w:type="dxa" w:w="1584"/>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2.5%</w:t>
            </w:r>
          </w:p>
        </w:tc>
        <w:tc>
          <w:tcPr>
            <w:tcW w:type="dxa" w:w="172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Final for natural person</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88(1)(8)</w:t>
            </w:r>
          </w:p>
        </w:tc>
        <w:tc>
          <w:tcPr>
            <w:tcW w:type="dxa" w:w="547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Payment to VAT-registered person carrying on transportation service or renting transport vehicle</w:t>
            </w:r>
          </w:p>
        </w:tc>
        <w:tc>
          <w:tcPr>
            <w:tcW w:type="dxa" w:w="1584"/>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1.5%</w:t>
            </w:r>
          </w:p>
        </w:tc>
        <w:tc>
          <w:tcPr>
            <w:tcW w:type="dxa" w:w="172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Not final</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88(1)(9)</w:t>
            </w:r>
          </w:p>
        </w:tc>
        <w:tc>
          <w:tcPr>
            <w:tcW w:type="dxa" w:w="547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Interest paid by resident bank/financial institution on foreign-currency loan from foreign bank/financial institution for NRB-specified sectors</w:t>
            </w:r>
          </w:p>
        </w:tc>
        <w:tc>
          <w:tcPr>
            <w:tcW w:type="dxa" w:w="1584"/>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5%</w:t>
            </w:r>
          </w:p>
        </w:tc>
        <w:tc>
          <w:tcPr>
            <w:tcW w:type="dxa" w:w="172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Final</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88(1)(9A)</w:t>
            </w:r>
          </w:p>
        </w:tc>
        <w:tc>
          <w:tcPr>
            <w:tcW w:type="dxa" w:w="547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Interest on foreign-currency loan for hydropower projects above 200 MW reaching financial closure by Chaitra 2082</w:t>
            </w:r>
          </w:p>
        </w:tc>
        <w:tc>
          <w:tcPr>
            <w:tcW w:type="dxa" w:w="1584"/>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5%</w:t>
            </w:r>
          </w:p>
        </w:tc>
        <w:tc>
          <w:tcPr>
            <w:tcW w:type="dxa" w:w="172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Final</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88(1)(10)</w:t>
            </w:r>
          </w:p>
        </w:tc>
        <w:tc>
          <w:tcPr>
            <w:tcW w:type="dxa" w:w="547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Incentive amount provided to consumer for payment through payment card, e-money/wallet, mobile banking etc.</w:t>
            </w:r>
          </w:p>
        </w:tc>
        <w:tc>
          <w:tcPr>
            <w:tcW w:type="dxa" w:w="1584"/>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No withholding</w:t>
            </w:r>
          </w:p>
        </w:tc>
        <w:tc>
          <w:tcPr>
            <w:tcW w:type="dxa" w:w="172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N/A</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88(1)(11)</w:t>
            </w:r>
          </w:p>
        </w:tc>
        <w:tc>
          <w:tcPr>
            <w:tcW w:type="dxa" w:w="547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Registration, tuition and examination fees paid to foreign school or university</w:t>
            </w:r>
          </w:p>
        </w:tc>
        <w:tc>
          <w:tcPr>
            <w:tcW w:type="dxa" w:w="1584"/>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5%</w:t>
            </w:r>
          </w:p>
        </w:tc>
        <w:tc>
          <w:tcPr>
            <w:tcW w:type="dxa" w:w="172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Final</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88(1)(12)</w:t>
            </w:r>
          </w:p>
        </w:tc>
        <w:tc>
          <w:tcPr>
            <w:tcW w:type="dxa" w:w="547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Interest paid by resident bank/financial institution to life insurance company on deposit</w:t>
            </w:r>
          </w:p>
        </w:tc>
        <w:tc>
          <w:tcPr>
            <w:tcW w:type="dxa" w:w="1584"/>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5%</w:t>
            </w:r>
          </w:p>
        </w:tc>
        <w:tc>
          <w:tcPr>
            <w:tcW w:type="dxa" w:w="172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Not final</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88(2)(a) / 92(1)(a)</w:t>
            </w:r>
          </w:p>
        </w:tc>
        <w:tc>
          <w:tcPr>
            <w:tcW w:type="dxa" w:w="547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Dividend paid by company or partnership firm</w:t>
            </w:r>
          </w:p>
        </w:tc>
        <w:tc>
          <w:tcPr>
            <w:tcW w:type="dxa" w:w="1584"/>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5%</w:t>
            </w:r>
          </w:p>
        </w:tc>
        <w:tc>
          <w:tcPr>
            <w:tcW w:type="dxa" w:w="172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Final</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88(2)(b) / 92(1)(c)</w:t>
            </w:r>
          </w:p>
        </w:tc>
        <w:tc>
          <w:tcPr>
            <w:tcW w:type="dxa" w:w="547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Gain from investment insurance</w:t>
            </w:r>
          </w:p>
        </w:tc>
        <w:tc>
          <w:tcPr>
            <w:tcW w:type="dxa" w:w="1584"/>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5%</w:t>
            </w:r>
          </w:p>
        </w:tc>
        <w:tc>
          <w:tcPr>
            <w:tcW w:type="dxa" w:w="172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Final</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88(2)(c) / 92(1)(d)</w:t>
            </w:r>
          </w:p>
        </w:tc>
        <w:tc>
          <w:tcPr>
            <w:tcW w:type="dxa" w:w="547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Benefit paid by an unapproved retirement fund</w:t>
            </w:r>
          </w:p>
        </w:tc>
        <w:tc>
          <w:tcPr>
            <w:tcW w:type="dxa" w:w="1584"/>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5%</w:t>
            </w:r>
          </w:p>
        </w:tc>
        <w:tc>
          <w:tcPr>
            <w:tcW w:type="dxa" w:w="172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Final</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88(3) / 92(1)(e)</w:t>
            </w:r>
          </w:p>
        </w:tc>
        <w:tc>
          <w:tcPr>
            <w:tcW w:type="dxa" w:w="547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Interest paid by bank/financial institution/cooperative/debenture issuer/listed company to natural person, Nepal-source and not connected with business</w:t>
            </w:r>
          </w:p>
        </w:tc>
        <w:tc>
          <w:tcPr>
            <w:tcW w:type="dxa" w:w="1584"/>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6%</w:t>
            </w:r>
          </w:p>
        </w:tc>
        <w:tc>
          <w:tcPr>
            <w:tcW w:type="dxa" w:w="172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Final</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88(1) / 92(1)(e)</w:t>
            </w:r>
          </w:p>
        </w:tc>
        <w:tc>
          <w:tcPr>
            <w:tcW w:type="dxa" w:w="547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Interest paid by bank/financial institution/cooperative/debenture issuer/listed company to organization entitled to enjoy exemption</w:t>
            </w:r>
          </w:p>
        </w:tc>
        <w:tc>
          <w:tcPr>
            <w:tcW w:type="dxa" w:w="1584"/>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15%</w:t>
            </w:r>
          </w:p>
        </w:tc>
        <w:tc>
          <w:tcPr>
            <w:tcW w:type="dxa" w:w="172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Final</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88(4)(a)</w:t>
            </w:r>
          </w:p>
        </w:tc>
        <w:tc>
          <w:tcPr>
            <w:tcW w:type="dxa" w:w="547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Payment by natural person other than in relation to carrying on business</w:t>
            </w:r>
          </w:p>
        </w:tc>
        <w:tc>
          <w:tcPr>
            <w:tcW w:type="dxa" w:w="1584"/>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No withholding</w:t>
            </w:r>
          </w:p>
        </w:tc>
        <w:tc>
          <w:tcPr>
            <w:tcW w:type="dxa" w:w="172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N/A</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88(4)(a1)</w:t>
            </w:r>
          </w:p>
        </w:tc>
        <w:tc>
          <w:tcPr>
            <w:tcW w:type="dxa" w:w="547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Payment for article published in newspaper/magazine</w:t>
            </w:r>
          </w:p>
        </w:tc>
        <w:tc>
          <w:tcPr>
            <w:tcW w:type="dxa" w:w="1584"/>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No withholding</w:t>
            </w:r>
          </w:p>
        </w:tc>
        <w:tc>
          <w:tcPr>
            <w:tcW w:type="dxa" w:w="172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N/A</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88(4)(b)</w:t>
            </w:r>
          </w:p>
        </w:tc>
        <w:tc>
          <w:tcPr>
            <w:tcW w:type="dxa" w:w="547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Interest paid to resident bank or other resident financial institution</w:t>
            </w:r>
          </w:p>
        </w:tc>
        <w:tc>
          <w:tcPr>
            <w:tcW w:type="dxa" w:w="1584"/>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No withholding</w:t>
            </w:r>
          </w:p>
        </w:tc>
        <w:tc>
          <w:tcPr>
            <w:tcW w:type="dxa" w:w="172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N/A</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88(4)(b1)</w:t>
            </w:r>
          </w:p>
        </w:tc>
        <w:tc>
          <w:tcPr>
            <w:tcW w:type="dxa" w:w="547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Interest paid between cooperative banks and cooperative organisations on mutual lending</w:t>
            </w:r>
          </w:p>
        </w:tc>
        <w:tc>
          <w:tcPr>
            <w:tcW w:type="dxa" w:w="1584"/>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No withholding</w:t>
            </w:r>
          </w:p>
        </w:tc>
        <w:tc>
          <w:tcPr>
            <w:tcW w:type="dxa" w:w="172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N/A</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88(4)(c)</w:t>
            </w:r>
          </w:p>
        </w:tc>
        <w:tc>
          <w:tcPr>
            <w:tcW w:type="dxa" w:w="547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Exempt payment</w:t>
            </w:r>
          </w:p>
        </w:tc>
        <w:tc>
          <w:tcPr>
            <w:tcW w:type="dxa" w:w="1584"/>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No withholding</w:t>
            </w:r>
          </w:p>
        </w:tc>
        <w:tc>
          <w:tcPr>
            <w:tcW w:type="dxa" w:w="172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N/A</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88(4)(d)</w:t>
            </w:r>
          </w:p>
        </w:tc>
        <w:tc>
          <w:tcPr>
            <w:tcW w:type="dxa" w:w="547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Inter-regional interchange fee paid to a credit-card issuing bank</w:t>
            </w:r>
          </w:p>
        </w:tc>
        <w:tc>
          <w:tcPr>
            <w:tcW w:type="dxa" w:w="1584"/>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No withholding</w:t>
            </w:r>
          </w:p>
        </w:tc>
        <w:tc>
          <w:tcPr>
            <w:tcW w:type="dxa" w:w="172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N/A</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88A(1) / 92(1)(jha)</w:t>
            </w:r>
          </w:p>
        </w:tc>
        <w:tc>
          <w:tcPr>
            <w:tcW w:type="dxa" w:w="547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Windfall gain</w:t>
            </w:r>
          </w:p>
        </w:tc>
        <w:tc>
          <w:tcPr>
            <w:tcW w:type="dxa" w:w="1584"/>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25%</w:t>
            </w:r>
          </w:p>
        </w:tc>
        <w:tc>
          <w:tcPr>
            <w:tcW w:type="dxa" w:w="172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Final</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88A(2)</w:t>
            </w:r>
          </w:p>
        </w:tc>
        <w:tc>
          <w:tcPr>
            <w:tcW w:type="dxa" w:w="547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National/international awards up to Rs. 500,000 for contributions in literature, art, culture, sports, journalism, science, technology or public administration</w:t>
            </w:r>
          </w:p>
        </w:tc>
        <w:tc>
          <w:tcPr>
            <w:tcW w:type="dxa" w:w="1584"/>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No withholding / not taxable</w:t>
            </w:r>
          </w:p>
        </w:tc>
        <w:tc>
          <w:tcPr>
            <w:tcW w:type="dxa" w:w="172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N/A</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89(1)</w:t>
            </w:r>
          </w:p>
        </w:tc>
        <w:tc>
          <w:tcPr>
            <w:tcW w:type="dxa" w:w="547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Contract/agreement payment exceeding Rs. 50,000</w:t>
            </w:r>
          </w:p>
        </w:tc>
        <w:tc>
          <w:tcPr>
            <w:tcW w:type="dxa" w:w="1584"/>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1.5%</w:t>
            </w:r>
          </w:p>
        </w:tc>
        <w:tc>
          <w:tcPr>
            <w:tcW w:type="dxa" w:w="172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Not final</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89(3)(a)</w:t>
            </w:r>
          </w:p>
        </w:tc>
        <w:tc>
          <w:tcPr>
            <w:tcW w:type="dxa" w:w="547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Contract/agreement payment to non-resident person</w:t>
            </w:r>
          </w:p>
        </w:tc>
        <w:tc>
          <w:tcPr>
            <w:tcW w:type="dxa" w:w="1584"/>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5%</w:t>
            </w:r>
          </w:p>
        </w:tc>
        <w:tc>
          <w:tcPr>
            <w:tcW w:type="dxa" w:w="172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Final</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89(3)(b)</w:t>
            </w:r>
          </w:p>
        </w:tc>
        <w:tc>
          <w:tcPr>
            <w:tcW w:type="dxa" w:w="547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Reinsurance premium to non-resident and commission paid from reinsurance premium received from non-resident insurer</w:t>
            </w:r>
          </w:p>
        </w:tc>
        <w:tc>
          <w:tcPr>
            <w:tcW w:type="dxa" w:w="1584"/>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1.5%</w:t>
            </w:r>
          </w:p>
        </w:tc>
        <w:tc>
          <w:tcPr>
            <w:tcW w:type="dxa" w:w="172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Final</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89(3)(c)</w:t>
            </w:r>
          </w:p>
        </w:tc>
        <w:tc>
          <w:tcPr>
            <w:tcW w:type="dxa" w:w="547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Other payment to non-resident person</w:t>
            </w:r>
          </w:p>
        </w:tc>
        <w:tc>
          <w:tcPr>
            <w:tcW w:type="dxa" w:w="1584"/>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As per written notice of Department</w:t>
            </w:r>
          </w:p>
        </w:tc>
        <w:tc>
          <w:tcPr>
            <w:tcW w:type="dxa" w:w="172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Final</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89(3A)</w:t>
            </w:r>
          </w:p>
        </w:tc>
        <w:tc>
          <w:tcPr>
            <w:tcW w:type="dxa" w:w="547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Payment exceeding Rs. 5,000,000 for work through users' committee</w:t>
            </w:r>
          </w:p>
        </w:tc>
        <w:tc>
          <w:tcPr>
            <w:tcW w:type="dxa" w:w="1584"/>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1.5%</w:t>
            </w:r>
          </w:p>
        </w:tc>
        <w:tc>
          <w:tcPr>
            <w:tcW w:type="dxa" w:w="172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4"/>
              </w:rPr>
              <w:t>Not final</w:t>
            </w:r>
          </w:p>
        </w:tc>
      </w:tr>
    </w:tbl>
    <w:p>
      <w:pPr>
        <w:pStyle w:val="Heading2"/>
        <w:spacing w:after="80" w:line="259" w:lineRule="auto"/>
      </w:pPr>
      <w:r>
        <w:rPr>
          <w:rFonts w:ascii="Times New Roman" w:hAnsi="Times New Roman"/>
          <w:b w:val="0"/>
          <w:i w:val="0"/>
        </w:rPr>
        <w:t>16.3 Final withholding payments</w:t>
      </w:r>
    </w:p>
    <w:p>
      <w:pPr>
        <w:spacing w:after="80" w:line="259" w:lineRule="auto"/>
      </w:pPr>
      <w:r>
        <w:rPr>
          <w:rFonts w:ascii="Times New Roman" w:hAnsi="Times New Roman"/>
          <w:b w:val="0"/>
          <w:i w:val="0"/>
        </w:rPr>
        <w:t>Section 92 specifies payments treated as final withholding payments. A payment subject to final withholding need not be included again in computing the recipient's income, except where the Act expressly requires otherwise. Final withholding payments include, among others, dividends paid by a resident company or partnership firm, rent of Nepal-source land or building paid to a natural person not carrying on business, gain from investment insurance paid by a resident person, benefit paid by an unapproved retirement fund, specified interest payments to natural persons or organizations entitled to enjoy exemption, commission paid by a resident employment company to a non-resident person, certain aircraft lease payments to non-residents, windfall gains, returns distributed by mutual funds to natural persons, vehicle/transport rent or service payments to natural persons as specified, and employment income where the employer has deducted tax under Section 87 and the employee has no return-filing obligation.</w:t>
      </w:r>
    </w:p>
    <w:tbl>
      <w:tblPr>
        <w:tblStyle w:val="TableGrid"/>
        <w:tblW w:type="auto" w:w="0"/>
        <w:jc w:val="center"/>
        <w:tblLook w:firstColumn="1" w:firstRow="1" w:lastColumn="0" w:lastRow="0" w:noHBand="0" w:noVBand="1" w:val="04A0"/>
      </w:tblPr>
      <w:tblGrid>
        <w:gridCol w:w="5184"/>
        <w:gridCol w:w="5184"/>
      </w:tblGrid>
      <w:tr>
        <w:trPr>
          <w:tblHeader w:val="true"/>
        </w:trPr>
        <w:tc>
          <w:tcPr>
            <w:tcW w:type="dxa" w:w="1152"/>
            <w:vAlign w:val="center"/>
            <w:tcBorders>
              <w:top w:sz="4" w:val="single" w:color="BFBFBF"/>
              <w:left w:sz="4" w:val="single" w:color="BFBFBF"/>
              <w:bottom w:sz="4" w:val="single" w:color="BFBFBF"/>
              <w:right w:sz="4" w:val="single" w:color="BFBFBF"/>
            </w:tcBorders>
            <w:shd w:fill="D9EAF7"/>
          </w:tcPr>
          <w:p>
            <w:pPr>
              <w:spacing w:after="0" w:line="240" w:lineRule="auto"/>
            </w:pPr>
            <w:r>
              <w:rPr>
                <w:rFonts w:ascii="Times New Roman" w:hAnsi="Times New Roman"/>
                <w:b/>
                <w:sz w:val="15"/>
              </w:rPr>
              <w:t>Example</w:t>
            </w:r>
          </w:p>
        </w:tc>
        <w:tc>
          <w:tcPr>
            <w:tcW w:type="dxa" w:w="8496"/>
            <w:vAlign w:val="center"/>
            <w:tcBorders>
              <w:top w:sz="4" w:val="single" w:color="BFBFBF"/>
              <w:left w:sz="4" w:val="single" w:color="BFBFBF"/>
              <w:bottom w:sz="4" w:val="single" w:color="BFBFBF"/>
              <w:right w:sz="4" w:val="single" w:color="BFBFBF"/>
            </w:tcBorders>
            <w:shd w:fill="D9EAF7"/>
          </w:tcPr>
          <w:p>
            <w:pPr>
              <w:spacing w:after="0" w:line="240" w:lineRule="auto"/>
            </w:pPr>
            <w:r>
              <w:rPr>
                <w:rFonts w:ascii="Times New Roman" w:hAnsi="Times New Roman"/>
                <w:b/>
                <w:sz w:val="15"/>
              </w:rPr>
              <w:t>Translation / conclusion</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16.3.1</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A resident company declares dividend of Rs. 60 per share. Withholding at 5%, i.e. Rs. 3 per share, is final; the shareholder need not include the dividend in income.</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16.3.2</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A partnership distributes Rs. 200,000 dividend to partners. The firm withholds Rs. 10,000 at 5%; the balance Rs. 190,000 is paid. The dividend is final withholding for the partners.</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16.3.3</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On maturity of investment insurance, premiums paid are deducted from the maturity amount to identify gain. The insurer withholds 5% on the gain and the tax is final.</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16.3.4</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Where insurance proceeds arise on death/accident and the Act exempts such income, no withholding is required even if the amount received exceeds premiums paid.</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16.3.5</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Benefit from an unapproved retirement fund is subject to 5% withholding on the gain element; the withholding is final for the recipient.</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16.3.6</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Interest paid by a bank/financial institution on deposit/debenture/government bond to a natural person, where not connected with business, is subject to final withholding at the applicable rate.</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16.3.7</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Interest paid to a organization entitled to enjoy exemption is final withholding where the Act so provides.</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16.3.8</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An employee of a organization entitled to enjoy exemption whose remuneration tax is properly withheld has no further return-filing obligation if no other income exists.</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16.3.9</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A self-employed professional receiving service charge from a organization entitled to enjoy exemption is not in the same position as an employee; withholding may be creditable rather than final depending on the payment.</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16.3.10</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Payment to a university professor for occasional teaching, question preparation or answer-script checking is treated as final withholding where it satisfies the conditions and threshold.</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16.3.11</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Casino winnings are final withholding after 25% tax deduction.</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16.3.12</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Return distributed by mutual fund to a natural person after 5% withholding is final; payment to other persons is not final and must be included as applicable.</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16.3.13</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Where an employer deducts and deposits remuneration tax correctly and the employee has no other return-filing obligation, the employee's tax obligation is treated as discharged. If tax deposited is insufficient, the employer and concerned employee may be jointly and severally responsible for short tax, fee and interest.</w:t>
            </w:r>
          </w:p>
        </w:tc>
      </w:tr>
    </w:tbl>
    <w:p>
      <w:pPr>
        <w:pStyle w:val="Heading2"/>
        <w:spacing w:after="80" w:line="259" w:lineRule="auto"/>
      </w:pPr>
      <w:r>
        <w:rPr>
          <w:rFonts w:ascii="Times New Roman" w:hAnsi="Times New Roman"/>
          <w:b w:val="0"/>
          <w:i w:val="0"/>
        </w:rPr>
        <w:t>16.4 Credit and inclusion of tax not withheld as final</w:t>
      </w:r>
    </w:p>
    <w:p>
      <w:pPr>
        <w:spacing w:after="80" w:line="259" w:lineRule="auto"/>
      </w:pPr>
      <w:r>
        <w:rPr>
          <w:rFonts w:ascii="Times New Roman" w:hAnsi="Times New Roman"/>
          <w:b w:val="0"/>
          <w:i w:val="0"/>
        </w:rPr>
        <w:t>Section 93 provides that where tax is withheld from a payment, the withheld tax is treated as part of the payment for the purpose of computing the amount of that payment. Therefore, the payer generally records the gross payment and the recipient includes the gross amount in income. Tax withheld, or tax deemed withheld and deposited under Section 90(3), is treated as advance tax paid by the person subject to tax withholding and may be credited against the person subject to tax withholding's tax liability, unless the withholding is final.</w:t>
      </w:r>
    </w:p>
    <w:tbl>
      <w:tblPr>
        <w:tblStyle w:val="TableGrid"/>
        <w:tblW w:type="auto" w:w="0"/>
        <w:jc w:val="center"/>
        <w:tblLook w:firstColumn="1" w:firstRow="1" w:lastColumn="0" w:lastRow="0" w:noHBand="0" w:noVBand="1" w:val="04A0"/>
      </w:tblPr>
      <w:tblGrid>
        <w:gridCol w:w="5184"/>
        <w:gridCol w:w="5184"/>
      </w:tblGrid>
      <w:tr>
        <w:trPr>
          <w:tblHeader w:val="true"/>
        </w:trPr>
        <w:tc>
          <w:tcPr>
            <w:tcW w:type="dxa" w:w="1152"/>
            <w:vAlign w:val="center"/>
            <w:tcBorders>
              <w:top w:sz="4" w:val="single" w:color="BFBFBF"/>
              <w:left w:sz="4" w:val="single" w:color="BFBFBF"/>
              <w:bottom w:sz="4" w:val="single" w:color="BFBFBF"/>
              <w:right w:sz="4" w:val="single" w:color="BFBFBF"/>
            </w:tcBorders>
            <w:shd w:fill="D9EAF7"/>
          </w:tcPr>
          <w:p>
            <w:pPr>
              <w:spacing w:after="0" w:line="240" w:lineRule="auto"/>
            </w:pPr>
            <w:r>
              <w:rPr>
                <w:rFonts w:ascii="Times New Roman" w:hAnsi="Times New Roman"/>
                <w:b/>
                <w:sz w:val="15"/>
              </w:rPr>
              <w:t>Example</w:t>
            </w:r>
          </w:p>
        </w:tc>
        <w:tc>
          <w:tcPr>
            <w:tcW w:type="dxa" w:w="8496"/>
            <w:vAlign w:val="center"/>
            <w:tcBorders>
              <w:top w:sz="4" w:val="single" w:color="BFBFBF"/>
              <w:left w:sz="4" w:val="single" w:color="BFBFBF"/>
              <w:bottom w:sz="4" w:val="single" w:color="BFBFBF"/>
              <w:right w:sz="4" w:val="single" w:color="BFBFBF"/>
            </w:tcBorders>
            <w:shd w:fill="D9EAF7"/>
          </w:tcPr>
          <w:p>
            <w:pPr>
              <w:spacing w:after="0" w:line="240" w:lineRule="auto"/>
            </w:pPr>
            <w:r>
              <w:rPr>
                <w:rFonts w:ascii="Times New Roman" w:hAnsi="Times New Roman"/>
                <w:b/>
                <w:sz w:val="15"/>
              </w:rPr>
              <w:t>Translation / conclusion</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16.4.1</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A company pays consultancy fee of Rs. 50,000 after withholding Rs. 7,500 and paying Rs. 42,500 to the consultant. The full Rs. 50,000 is treated as the payment. The payer may claim Rs. 50,000 as expense and the consultant must include Rs. 50,000 as income.</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16.4.2</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The Rs. 7,500 withheld from consultancy fee is treated as advance tax of the consultant and may be credited against the consultant's tax liability. If the payer failed to withhold but later deposited the amount under Section 90(3), it is also treated as tax paid for the recipient.</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16.4.3</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A company pays monthly house rent of Rs. 50,000 and withholds Rs. 5,000 per month. If the landlord's tax liability for 2080/81 is Rs. 100,000, the Rs. 60,000 withheld during the year is credited and only Rs. 40,000 remains payable.</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16.4.4</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If the landlord's liability is only Rs. 50,000 and Rs. 60,000 was withheld, the excess Rs. 10,000 may be carried forward or claimed as refund under Section 113.</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16.4.5</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If the taxpayer omitted to claim the withholding credit in the same income year, the credit cannot be claimed in a later income year; however, refund of excess tax may be claimed under Section 113 as applicable.</w:t>
            </w:r>
          </w:p>
        </w:tc>
      </w:tr>
    </w:tbl>
    <w:p>
      <w:pPr>
        <w:pStyle w:val="Heading2"/>
        <w:spacing w:after="80" w:line="259" w:lineRule="auto"/>
      </w:pPr>
      <w:r>
        <w:rPr>
          <w:rFonts w:ascii="Times New Roman" w:hAnsi="Times New Roman"/>
          <w:b w:val="0"/>
          <w:i w:val="0"/>
        </w:rPr>
        <w:t>16.5 Statement and payment of tax withheld</w:t>
      </w:r>
    </w:p>
    <w:p>
      <w:pPr>
        <w:spacing w:after="80" w:line="259" w:lineRule="auto"/>
      </w:pPr>
      <w:r>
        <w:rPr>
          <w:rFonts w:ascii="Times New Roman" w:hAnsi="Times New Roman"/>
          <w:b w:val="0"/>
          <w:i w:val="0"/>
        </w:rPr>
        <w:t>Under Section 90, every person required to withhold advance tax must file a statement in the manner and format prescribed by the Department within 25 days from the end of each month. The withholding statement is to be filed electronically through the Department's website by E-TDS or otherwise with the concerned office as prescribed. The withheld tax, or tax deemed to have been withheld, must be deposited with the Department or in the revenue account operated by a bank within the same period. Revenue account details according to withholding tax headings are provided in the schedules to the Directive.</w:t>
      </w:r>
    </w:p>
    <w:p>
      <w:pPr>
        <w:spacing w:after="80" w:line="259" w:lineRule="auto"/>
      </w:pPr>
      <w:r>
        <w:rPr>
          <w:rFonts w:ascii="Times New Roman" w:hAnsi="Times New Roman"/>
          <w:b w:val="0"/>
          <w:i w:val="0"/>
        </w:rPr>
        <w:t>If a person required to withhold tax fails to withhold, the Department may recover the tax from that person under Section 90(3). Where tax should have been withheld under Sections 87, 88, 88A or 89 but was not withheld, the tax is treated as withheld, and the person subject to tax withholding must deposit the tax within 25 days after the period specified in Section 90(1) in the cases specified by the Act. Where the person withholding advance tax has deposited an amount in respect of tax withheld or deemed to have been withheld, any claim by the person subject to tax withholding in relation to that payment is treated as if the amount had been paid to the person subject to tax withholding. If the person withholding advance tax deposits tax not actually withheld, the person withholding advance tax may recover the corresponding amount from the person subject to tax withholding. The Department may, by written order, direct a person withholding advance tax not to recover such amount from the person subject to tax withholding; before giving such order, the person must be given 15 days' written notice to submit evidence and explanation.</w:t>
      </w:r>
    </w:p>
    <w:tbl>
      <w:tblPr>
        <w:tblStyle w:val="TableGrid"/>
        <w:tblW w:type="auto" w:w="0"/>
        <w:jc w:val="center"/>
        <w:tblLook w:firstColumn="1" w:firstRow="1" w:lastColumn="0" w:lastRow="0" w:noHBand="0" w:noVBand="1" w:val="04A0"/>
      </w:tblPr>
      <w:tblGrid>
        <w:gridCol w:w="5184"/>
        <w:gridCol w:w="5184"/>
      </w:tblGrid>
      <w:tr>
        <w:trPr>
          <w:tblHeader w:val="true"/>
        </w:trPr>
        <w:tc>
          <w:tcPr>
            <w:tcW w:type="dxa" w:w="1152"/>
            <w:vAlign w:val="center"/>
            <w:tcBorders>
              <w:top w:sz="4" w:val="single" w:color="BFBFBF"/>
              <w:left w:sz="4" w:val="single" w:color="BFBFBF"/>
              <w:bottom w:sz="4" w:val="single" w:color="BFBFBF"/>
              <w:right w:sz="4" w:val="single" w:color="BFBFBF"/>
            </w:tcBorders>
            <w:shd w:fill="D9EAF7"/>
          </w:tcPr>
          <w:p>
            <w:pPr>
              <w:spacing w:after="0" w:line="240" w:lineRule="auto"/>
            </w:pPr>
            <w:r>
              <w:rPr>
                <w:rFonts w:ascii="Times New Roman" w:hAnsi="Times New Roman"/>
                <w:b/>
                <w:sz w:val="15"/>
              </w:rPr>
              <w:t>Example</w:t>
            </w:r>
          </w:p>
        </w:tc>
        <w:tc>
          <w:tcPr>
            <w:tcW w:type="dxa" w:w="8496"/>
            <w:vAlign w:val="center"/>
            <w:tcBorders>
              <w:top w:sz="4" w:val="single" w:color="BFBFBF"/>
              <w:left w:sz="4" w:val="single" w:color="BFBFBF"/>
              <w:bottom w:sz="4" w:val="single" w:color="BFBFBF"/>
              <w:right w:sz="4" w:val="single" w:color="BFBFBF"/>
            </w:tcBorders>
            <w:shd w:fill="D9EAF7"/>
          </w:tcPr>
          <w:p>
            <w:pPr>
              <w:spacing w:after="0" w:line="240" w:lineRule="auto"/>
            </w:pPr>
            <w:r>
              <w:rPr>
                <w:rFonts w:ascii="Times New Roman" w:hAnsi="Times New Roman"/>
                <w:b/>
                <w:sz w:val="15"/>
              </w:rPr>
              <w:t>Translation / conclusion</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16.5.1</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Kalpana &amp; Sons Pvt. Ltd. withholds Rs. 50,000 from employees' Falgun remuneration and Rs. 10,000 from Rs. 100,000 house rent paid in the same month. It must file the withholding statement in the prescribed manner and format by 25 Chaitra.</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16.5.2</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The tax withheld in Example 16.5.1 must also be deposited by 25 Chaitra.</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16.5.3</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Kalpana &amp; Sons purchases goods under a contract from a VAT-registered supplier for Rs. 100,000 but does not withhold. Tax of 1.5%, i.e. Rs. 1,500, is treated as having been withheld.</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16.5.4</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A company fails to withhold Rs. 15,000 from a service charge of Rs. 100,000. On audit, Rs. 15,000 is treated as withheld under Sections 90(3) and 90(8), and a fee of 50% of the tax, i.e. Rs. 7,500, is imposed under Section 120(a).</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16.5.5</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Tax withheld from Chaitra remuneration must be filed and deposited by 25 Baisakh. Even where required withholding was not made, the payment is deemed to have been subject to withholding and must be deposited within the statutory time.</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16.5.6</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If Rs. 10,000 withholding tax on house rent is deposited by the payer, that amount is treated as payment to the landlord in relation to the rent payment.</w:t>
            </w:r>
          </w:p>
        </w:tc>
      </w:tr>
      <w:tr>
        <w:tc>
          <w:tcPr>
            <w:tcW w:type="dxa" w:w="115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16.5.7</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If a bank pays a director meeting allowance without withholding but deposits Rs. 750 tax at 15%, the bank may recover Rs. 750 from the director. However, any interest and fee paid to the Department in connection with the failure to withhold cannot be recovered from the director unless permitted by law.</w:t>
            </w:r>
          </w:p>
        </w:tc>
      </w:tr>
    </w:tbl>
    <w:p>
      <w:pPr>
        <w:pStyle w:val="Heading2"/>
        <w:spacing w:after="80" w:line="259" w:lineRule="auto"/>
      </w:pPr>
      <w:r>
        <w:rPr>
          <w:rFonts w:ascii="Times New Roman" w:hAnsi="Times New Roman"/>
          <w:b w:val="0"/>
          <w:i w:val="0"/>
        </w:rPr>
        <w:t>16.6 Withholding certificate</w:t>
      </w:r>
    </w:p>
    <w:p>
      <w:pPr>
        <w:spacing w:after="80" w:line="259" w:lineRule="auto"/>
      </w:pPr>
      <w:r>
        <w:rPr>
          <w:rFonts w:ascii="Times New Roman" w:hAnsi="Times New Roman"/>
          <w:b w:val="0"/>
          <w:i w:val="0"/>
        </w:rPr>
        <w:t>Under Section 91, a person withholding advance tax must provide a withholding certificate to the person subject to tax withholding. The certificate must be authenticated in the manner prescribed by the Department, if any, and must state the tax withheld under Sections 87, 88, 88A or 89 and the relevant payment amounts. The certificate must be provided within 25 days from the end of the month in which advance tax was withheld, stating the period of withholding.</w:t>
      </w:r>
    </w:p>
    <w:p>
      <w:pPr>
        <w:spacing w:after="80" w:line="259" w:lineRule="auto"/>
      </w:pPr>
      <w:r>
        <w:rPr>
          <w:rFonts w:ascii="Times New Roman" w:hAnsi="Times New Roman"/>
          <w:b w:val="0"/>
          <w:i w:val="0"/>
        </w:rPr>
        <w:t>In the case of tax withheld under Section 87 from employment income, the certificate is provided for the period during the income year in which the employee remained in employment. It must be provided within 30 days from the end of that year, or if the employee ceased employment during the year, within 30 days from the date employment ceased. A withholding certificate issued by the person withholding advance tax under Section 91 is treated as evidence of tax deposit, although the relevant records may be matched where necessary.</w:t>
      </w:r>
    </w:p>
    <w:p>
      <w:pPr>
        <w:pStyle w:val="Heading2"/>
        <w:spacing w:after="80" w:line="259" w:lineRule="auto"/>
      </w:pPr>
      <w:r>
        <w:rPr>
          <w:rFonts w:ascii="Times New Roman" w:hAnsi="Times New Roman"/>
          <w:b w:val="0"/>
          <w:i w:val="0"/>
        </w:rPr>
        <w:t>Example index retained in this chapter</w:t>
      </w:r>
    </w:p>
    <w:p>
      <w:pPr>
        <w:spacing w:after="80" w:line="259" w:lineRule="auto"/>
      </w:pPr>
      <w:r>
        <w:rPr>
          <w:rFonts w:ascii="Times New Roman" w:hAnsi="Times New Roman"/>
          <w:b w:val="0"/>
          <w:i w:val="0"/>
        </w:rPr>
        <w:t>The translation retains the numbering of the examples appearing in Chapter 16. For lengthy examples containing repeated computations or comparable conclusions, the legal effect and computation principle are presented in concise translated form while preserving the original sequence of examples.</w:t>
      </w:r>
    </w:p>
    <w:p>
      <w:r>
        <w:br w:type="page"/>
      </w:r>
    </w:p>
    <w:p>
      <w:pPr>
        <w:pStyle w:val="Title"/>
        <w:spacing w:after="80" w:line="259" w:lineRule="auto"/>
        <w:jc w:val="center"/>
      </w:pPr>
      <w:r>
        <w:rPr>
          <w:rFonts w:ascii="Times New Roman" w:hAnsi="Times New Roman"/>
          <w:b w:val="0"/>
          <w:i w:val="0"/>
        </w:rPr>
        <w:t>Income Tax Directive, 2066 (with Fifth Amendment, 2081)</w:t>
      </w:r>
    </w:p>
    <w:p>
      <w:pPr>
        <w:pStyle w:val="Title"/>
        <w:spacing w:after="80" w:line="259" w:lineRule="auto"/>
        <w:jc w:val="center"/>
      </w:pPr>
      <w:r>
        <w:rPr>
          <w:rFonts w:ascii="Times New Roman" w:hAnsi="Times New Roman"/>
          <w:b w:val="0"/>
          <w:i w:val="0"/>
        </w:rPr>
        <w:t>English Translation - Part 17</w:t>
      </w:r>
    </w:p>
    <w:p>
      <w:pPr>
        <w:pStyle w:val="Heading1"/>
        <w:spacing w:after="80" w:line="259" w:lineRule="auto"/>
        <w:jc w:val="center"/>
      </w:pPr>
      <w:r>
        <w:rPr>
          <w:rFonts w:ascii="Times New Roman" w:hAnsi="Times New Roman"/>
          <w:b w:val="0"/>
          <w:i w:val="0"/>
        </w:rPr>
        <w:t>Chapter 17: Computation of Income from Employment</w:t>
      </w:r>
    </w:p>
    <w:p>
      <w:pPr>
        <w:spacing w:after="80" w:line="259" w:lineRule="auto"/>
        <w:jc w:val="center"/>
      </w:pPr>
      <w:r>
        <w:rPr>
          <w:rFonts w:ascii="Times New Roman" w:hAnsi="Times New Roman"/>
          <w:b w:val="0"/>
          <w:i w:val="0"/>
        </w:rPr>
        <w:t>Source pages: Directive pages 276-322</w:t>
      </w:r>
    </w:p>
    <w:p>
      <w:pPr>
        <w:spacing w:after="80" w:line="259" w:lineRule="auto"/>
      </w:pPr>
      <w:r>
        <w:rPr>
          <w:rFonts w:ascii="Times New Roman" w:hAnsi="Times New Roman"/>
          <w:b w:val="0"/>
          <w:i/>
        </w:rPr>
        <w:t>Note: This working translation preserves the sequence, section numbering, examples and tabular presentation of the Nepali directive as far as practicable in Word format. Statutory expressions have been aligned, where applicable, with the official English terminology of the Income Tax Act, 2002 (2058).</w:t>
      </w:r>
    </w:p>
    <w:p>
      <w:pPr>
        <w:pStyle w:val="Heading1"/>
        <w:spacing w:after="80" w:line="259" w:lineRule="auto"/>
      </w:pPr>
      <w:r>
        <w:rPr>
          <w:rFonts w:ascii="Times New Roman" w:hAnsi="Times New Roman"/>
          <w:b w:val="0"/>
          <w:i w:val="0"/>
        </w:rPr>
        <w:t>Chapter 17</w:t>
      </w:r>
    </w:p>
    <w:p>
      <w:pPr>
        <w:pStyle w:val="Heading1"/>
        <w:spacing w:after="80" w:line="259" w:lineRule="auto"/>
      </w:pPr>
      <w:r>
        <w:rPr>
          <w:rFonts w:ascii="Times New Roman" w:hAnsi="Times New Roman"/>
          <w:b w:val="0"/>
          <w:i w:val="0"/>
        </w:rPr>
        <w:t>Computation of Income from Employment</w:t>
      </w:r>
    </w:p>
    <w:p>
      <w:pPr>
        <w:pStyle w:val="Heading2"/>
        <w:spacing w:after="80" w:line="259" w:lineRule="auto"/>
      </w:pPr>
      <w:r>
        <w:rPr>
          <w:rFonts w:ascii="Times New Roman" w:hAnsi="Times New Roman"/>
          <w:b w:val="0"/>
          <w:i w:val="0"/>
        </w:rPr>
        <w:t>17.1 Introduction</w:t>
      </w:r>
    </w:p>
    <w:p>
      <w:pPr>
        <w:spacing w:after="80" w:line="259" w:lineRule="auto"/>
      </w:pPr>
      <w:r>
        <w:rPr>
          <w:rFonts w:ascii="Times New Roman" w:hAnsi="Times New Roman"/>
          <w:b w:val="0"/>
          <w:i w:val="0"/>
        </w:rPr>
        <w:t>The Income Tax Act, 2058 classifies income under four heads: business, employment, investment and windfall gain. This chapter presents, in a consolidated manner, the provisions of the Act relevant to the computation of income from employment. It also covers the scope of employment, payments connected with employment, retirement fund payments, and matters specific to natural persons.</w:t>
      </w:r>
    </w:p>
    <w:p>
      <w:pPr>
        <w:pStyle w:val="Heading2"/>
        <w:spacing w:after="80" w:line="259" w:lineRule="auto"/>
      </w:pPr>
      <w:r>
        <w:rPr>
          <w:rFonts w:ascii="Times New Roman" w:hAnsi="Times New Roman"/>
          <w:b w:val="0"/>
          <w:i w:val="0"/>
        </w:rPr>
        <w:t>17.2 Computation of Income from Employment</w:t>
      </w:r>
    </w:p>
    <w:p>
      <w:pPr>
        <w:spacing w:after="80" w:line="259" w:lineRule="auto"/>
      </w:pPr>
      <w:r>
        <w:rPr>
          <w:rFonts w:ascii="Times New Roman" w:hAnsi="Times New Roman"/>
          <w:b w:val="0"/>
          <w:i w:val="0"/>
        </w:rPr>
        <w:t>Section 8(1) provides that remuneration derived by a natural person from employment in an income year shall be computed as that person's income from employment for that year. Under Section 2, employment includes past, present and prospective employment. Employment income therefore covers cash, benefits in kind and other benefits received by a natural person for providing services by using knowledge, experience, skill, effort and labour under employment terms.</w:t>
      </w:r>
    </w:p>
    <w:p>
      <w:pPr>
        <w:spacing w:after="80" w:line="259" w:lineRule="auto"/>
      </w:pPr>
      <w:r>
        <w:rPr>
          <w:rFonts w:ascii="Times New Roman" w:hAnsi="Times New Roman"/>
          <w:b w:val="0"/>
          <w:i w:val="0"/>
        </w:rPr>
        <w:t>The Directive distinguishes employment from consultancy. A contract of service indicates employment, whereas a contract for service generally indicates consultancy or service-charge income. Where the relationship of employer and employee exists, the payment is employment income; where a person is engaged to deliver an independent service or report, the payment is generally service charge/business income of the recipient.</w:t>
      </w:r>
    </w:p>
    <w:tbl>
      <w:tblPr>
        <w:tblStyle w:val="TableGrid"/>
        <w:tblW w:type="auto" w:w="0"/>
        <w:jc w:val="center"/>
        <w:tblLook w:firstColumn="1" w:firstRow="1" w:lastColumn="0" w:lastRow="0" w:noHBand="0" w:noVBand="1" w:val="04A0"/>
      </w:tblPr>
      <w:tblGrid>
        <w:gridCol w:w="5184"/>
        <w:gridCol w:w="5184"/>
      </w:tblGrid>
      <w:tr>
        <w:trPr>
          <w:tblHeader w:val="true"/>
        </w:trPr>
        <w:tc>
          <w:tcPr>
            <w:tcW w:type="dxa" w:w="1080"/>
            <w:vAlign w:val="center"/>
            <w:tcBorders>
              <w:top w:sz="4" w:val="single" w:color="BFBFBF"/>
              <w:left w:sz="4" w:val="single" w:color="BFBFBF"/>
              <w:bottom w:sz="4" w:val="single" w:color="BFBFBF"/>
              <w:right w:sz="4" w:val="single" w:color="BFBFBF"/>
            </w:tcBorders>
            <w:shd w:fill="D9EAF7"/>
          </w:tcPr>
          <w:p>
            <w:pPr>
              <w:spacing w:after="0" w:line="240" w:lineRule="auto"/>
            </w:pPr>
            <w:r>
              <w:rPr>
                <w:rFonts w:ascii="Times New Roman" w:hAnsi="Times New Roman"/>
                <w:b/>
                <w:sz w:val="16"/>
              </w:rPr>
              <w:t>Example</w:t>
            </w:r>
          </w:p>
        </w:tc>
        <w:tc>
          <w:tcPr>
            <w:tcW w:type="dxa" w:w="8496"/>
            <w:vAlign w:val="center"/>
            <w:tcBorders>
              <w:top w:sz="4" w:val="single" w:color="BFBFBF"/>
              <w:left w:sz="4" w:val="single" w:color="BFBFBF"/>
              <w:bottom w:sz="4" w:val="single" w:color="BFBFBF"/>
              <w:right w:sz="4" w:val="single" w:color="BFBFBF"/>
            </w:tcBorders>
            <w:shd w:fill="D9EAF7"/>
          </w:tcPr>
          <w:p>
            <w:pPr>
              <w:spacing w:after="0" w:line="240" w:lineRule="auto"/>
            </w:pPr>
            <w:r>
              <w:rPr>
                <w:rFonts w:ascii="Times New Roman" w:hAnsi="Times New Roman"/>
                <w:b/>
                <w:sz w:val="16"/>
              </w:rPr>
              <w:t>Translated point</w:t>
            </w:r>
          </w:p>
        </w:tc>
      </w:tr>
      <w:tr>
        <w:tc>
          <w:tcPr>
            <w:tcW w:type="dxa" w:w="10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17.2.1</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Ramila is appointed for six months at monthly remuneration of Rs. 50,000. Hanif is appointed to study market conditions and submit a report within six months for total remuneration of Rs. 300,000, paid monthly at Rs. 50,000. Ramila receives employment income under a contract of service. Hanif receives service-charge income under a contract for service and must include the gross amount before tax in business income, claiming the tax withheld as advance tax.</w:t>
            </w:r>
          </w:p>
        </w:tc>
      </w:tr>
      <w:tr>
        <w:tc>
          <w:tcPr>
            <w:tcW w:type="dxa" w:w="10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17.2.2</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Katrina, a former storekeeper of Sajha Sansthan, receives unpaid salary of Rs. 480,000 on 10 Shrawan 2080 after leaving the organisation. Since employment income is accounted on a cash basis, the amount is included in income of FY 2080/81 as income from past employment.</w:t>
            </w:r>
          </w:p>
        </w:tc>
      </w:tr>
      <w:tr>
        <w:tc>
          <w:tcPr>
            <w:tcW w:type="dxa" w:w="10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17.2.3</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Katrina later works for Bikash Bank Ltd. Payments received from the bank are income from present employment and are included in employment income.</w:t>
            </w:r>
          </w:p>
        </w:tc>
      </w:tr>
      <w:tr>
        <w:tc>
          <w:tcPr>
            <w:tcW w:type="dxa" w:w="10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17.2.4</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While employed at Bikash Bank Ltd., Katrina signs a contract with Bank of Nepal to work from Baisakh 2078 and receives Rs. 100,000 at signing, deductible from future remuneration. This is income from prospective employment and is included under Section 8.</w:t>
            </w:r>
          </w:p>
        </w:tc>
      </w:tr>
      <w:tr>
        <w:tc>
          <w:tcPr>
            <w:tcW w:type="dxa" w:w="10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17.2.5</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Where an industry spends Rs. 500,000 to train an employee to operate machinery used in its production process, the expenditure is for the employer's business and is not included in the employee's income. If the education expense is unrelated to the employer's business, it is included in the employee's income.</w:t>
            </w:r>
          </w:p>
        </w:tc>
      </w:tr>
    </w:tbl>
    <w:p>
      <w:pPr>
        <w:pStyle w:val="Heading2"/>
        <w:spacing w:after="80" w:line="259" w:lineRule="auto"/>
      </w:pPr>
      <w:r>
        <w:rPr>
          <w:rFonts w:ascii="Times New Roman" w:hAnsi="Times New Roman"/>
          <w:b w:val="0"/>
          <w:i w:val="0"/>
        </w:rPr>
        <w:t>17.3 Amounts Included in Computing Income from Employment</w:t>
      </w:r>
    </w:p>
    <w:p>
      <w:pPr>
        <w:spacing w:after="80" w:line="259" w:lineRule="auto"/>
      </w:pPr>
      <w:r>
        <w:rPr>
          <w:rFonts w:ascii="Times New Roman" w:hAnsi="Times New Roman"/>
          <w:b w:val="0"/>
          <w:i w:val="0"/>
        </w:rPr>
        <w:t>In computing employment income, the employee must include cash, benefits in kind, facilities and amounts received directly or indirectly from the employer in connection with employment. Section 8(2) lists the payments that must be included in remuneration.</w:t>
      </w:r>
    </w:p>
    <w:p>
      <w:pPr>
        <w:pStyle w:val="Heading3"/>
        <w:spacing w:after="80" w:line="259" w:lineRule="auto"/>
      </w:pPr>
      <w:r>
        <w:rPr>
          <w:rFonts w:ascii="Times New Roman" w:hAnsi="Times New Roman"/>
          <w:b w:val="0"/>
          <w:i w:val="0"/>
        </w:rPr>
        <w:t>17.3.1 Wages, salary, leave payment, overtime, fees, commission, prizes, gifts, bonus and other facilities</w:t>
      </w:r>
    </w:p>
    <w:p>
      <w:pPr>
        <w:spacing w:after="80" w:line="259" w:lineRule="auto"/>
      </w:pPr>
      <w:r>
        <w:rPr>
          <w:rFonts w:ascii="Times New Roman" w:hAnsi="Times New Roman"/>
          <w:b w:val="0"/>
          <w:i w:val="0"/>
        </w:rPr>
        <w:t>Wages and salary are treated alike for income tax purposes. Salary commonly refers to remuneration for administrative or office work, while wages may refer to remuneration for production workers, piece-rate workers or contract labourers. For income-tax computation, both fall under employment income. Payments for accumulated leave not used by an employee, job-joining fees or similar fees, commission linked to sales or targets, performance bonus, statutory bonus, prizes and gifts from the employer are included in employment income. If a prize or gift is obtained through an open competition in which employees and non-employees can participate, the receipt is not employment income merely because the winner is also an employee; it is treated according to its character, for example as windfall gain.</w:t>
      </w:r>
    </w:p>
    <w:tbl>
      <w:tblPr>
        <w:tblStyle w:val="TableGrid"/>
        <w:tblW w:type="auto" w:w="0"/>
        <w:jc w:val="center"/>
        <w:tblLook w:firstColumn="1" w:firstRow="1" w:lastColumn="0" w:lastRow="0" w:noHBand="0" w:noVBand="1" w:val="04A0"/>
      </w:tblPr>
      <w:tblGrid>
        <w:gridCol w:w="5184"/>
        <w:gridCol w:w="5184"/>
      </w:tblGrid>
      <w:tr>
        <w:trPr>
          <w:tblHeader w:val="true"/>
        </w:trPr>
        <w:tc>
          <w:tcPr>
            <w:tcW w:type="dxa" w:w="1080"/>
            <w:vAlign w:val="center"/>
            <w:tcBorders>
              <w:top w:sz="4" w:val="single" w:color="BFBFBF"/>
              <w:left w:sz="4" w:val="single" w:color="BFBFBF"/>
              <w:bottom w:sz="4" w:val="single" w:color="BFBFBF"/>
              <w:right w:sz="4" w:val="single" w:color="BFBFBF"/>
            </w:tcBorders>
            <w:shd w:fill="D9EAF7"/>
          </w:tcPr>
          <w:p>
            <w:pPr>
              <w:spacing w:after="0" w:line="240" w:lineRule="auto"/>
            </w:pPr>
            <w:r>
              <w:rPr>
                <w:rFonts w:ascii="Times New Roman" w:hAnsi="Times New Roman"/>
                <w:b/>
                <w:sz w:val="16"/>
              </w:rPr>
              <w:t>Example</w:t>
            </w:r>
          </w:p>
        </w:tc>
        <w:tc>
          <w:tcPr>
            <w:tcW w:type="dxa" w:w="8496"/>
            <w:vAlign w:val="center"/>
            <w:tcBorders>
              <w:top w:sz="4" w:val="single" w:color="BFBFBF"/>
              <w:left w:sz="4" w:val="single" w:color="BFBFBF"/>
              <w:bottom w:sz="4" w:val="single" w:color="BFBFBF"/>
              <w:right w:sz="4" w:val="single" w:color="BFBFBF"/>
            </w:tcBorders>
            <w:shd w:fill="D9EAF7"/>
          </w:tcPr>
          <w:p>
            <w:pPr>
              <w:spacing w:after="0" w:line="240" w:lineRule="auto"/>
            </w:pPr>
            <w:r>
              <w:rPr>
                <w:rFonts w:ascii="Times New Roman" w:hAnsi="Times New Roman"/>
                <w:b/>
                <w:sz w:val="16"/>
              </w:rPr>
              <w:t>Translated point</w:t>
            </w:r>
          </w:p>
        </w:tc>
      </w:tr>
      <w:tr>
        <w:tc>
          <w:tcPr>
            <w:tcW w:type="dxa" w:w="10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17.3.1</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A commercial bank gives Rs. 10,000 cash prize to an outstanding employee on its anniversary. The prize is included in the employee's employment income.</w:t>
            </w:r>
          </w:p>
        </w:tc>
      </w:tr>
      <w:tr>
        <w:tc>
          <w:tcPr>
            <w:tcW w:type="dxa" w:w="10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17.3.2</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The same bank, in coordination with the National Sports Council, organises a national running competition open to the public and employees. If a bank employee wins Rs. 20,000 as an athlete, the prize is not received in the capacity of employee and is not employment income; it is windfall gain.</w:t>
            </w:r>
          </w:p>
        </w:tc>
      </w:tr>
    </w:tbl>
    <w:p>
      <w:pPr>
        <w:pStyle w:val="Heading3"/>
        <w:spacing w:after="80" w:line="259" w:lineRule="auto"/>
      </w:pPr>
      <w:r>
        <w:rPr>
          <w:rFonts w:ascii="Times New Roman" w:hAnsi="Times New Roman"/>
          <w:b w:val="0"/>
          <w:i w:val="0"/>
        </w:rPr>
        <w:t>17.3.2 Personal allowances and personal expenses</w:t>
      </w:r>
    </w:p>
    <w:p>
      <w:pPr>
        <w:spacing w:after="80" w:line="259" w:lineRule="auto"/>
      </w:pPr>
      <w:r>
        <w:rPr>
          <w:rFonts w:ascii="Times New Roman" w:hAnsi="Times New Roman"/>
          <w:b w:val="0"/>
          <w:i w:val="0"/>
        </w:rPr>
        <w:t>Section 8(2)(b) includes payments of dearness allowance, cost-of-living allowance, rent allowance, entertainment allowance, transportation allowance and any other personal allowance. Section 8(2)(c) includes payments made to settle or reimburse expenses incurred by the employee or the employee's associate for personal purposes. An associate, in the context of an employee, includes relatives as defined in the Act, such as spouse, children, parents, grandparents, siblings, in-laws and grandchildren.</w:t>
      </w:r>
    </w:p>
    <w:tbl>
      <w:tblPr>
        <w:tblStyle w:val="TableGrid"/>
        <w:tblW w:type="auto" w:w="0"/>
        <w:jc w:val="center"/>
        <w:tblLook w:firstColumn="1" w:firstRow="1" w:lastColumn="0" w:lastRow="0" w:noHBand="0" w:noVBand="1" w:val="04A0"/>
      </w:tblPr>
      <w:tblGrid>
        <w:gridCol w:w="5184"/>
        <w:gridCol w:w="5184"/>
      </w:tblGrid>
      <w:tr>
        <w:trPr>
          <w:tblHeader w:val="true"/>
        </w:trPr>
        <w:tc>
          <w:tcPr>
            <w:tcW w:type="dxa" w:w="1080"/>
            <w:vAlign w:val="center"/>
            <w:tcBorders>
              <w:top w:sz="4" w:val="single" w:color="BFBFBF"/>
              <w:left w:sz="4" w:val="single" w:color="BFBFBF"/>
              <w:bottom w:sz="4" w:val="single" w:color="BFBFBF"/>
              <w:right w:sz="4" w:val="single" w:color="BFBFBF"/>
            </w:tcBorders>
            <w:shd w:fill="D9EAF7"/>
          </w:tcPr>
          <w:p>
            <w:pPr>
              <w:spacing w:after="0" w:line="240" w:lineRule="auto"/>
            </w:pPr>
            <w:r>
              <w:rPr>
                <w:rFonts w:ascii="Times New Roman" w:hAnsi="Times New Roman"/>
                <w:b/>
                <w:sz w:val="16"/>
              </w:rPr>
              <w:t>Example</w:t>
            </w:r>
          </w:p>
        </w:tc>
        <w:tc>
          <w:tcPr>
            <w:tcW w:type="dxa" w:w="8496"/>
            <w:vAlign w:val="center"/>
            <w:tcBorders>
              <w:top w:sz="4" w:val="single" w:color="BFBFBF"/>
              <w:left w:sz="4" w:val="single" w:color="BFBFBF"/>
              <w:bottom w:sz="4" w:val="single" w:color="BFBFBF"/>
              <w:right w:sz="4" w:val="single" w:color="BFBFBF"/>
            </w:tcBorders>
            <w:shd w:fill="D9EAF7"/>
          </w:tcPr>
          <w:p>
            <w:pPr>
              <w:spacing w:after="0" w:line="240" w:lineRule="auto"/>
            </w:pPr>
            <w:r>
              <w:rPr>
                <w:rFonts w:ascii="Times New Roman" w:hAnsi="Times New Roman"/>
                <w:b/>
                <w:sz w:val="16"/>
              </w:rPr>
              <w:t>Translated point</w:t>
            </w:r>
          </w:p>
        </w:tc>
      </w:tr>
      <w:tr>
        <w:tc>
          <w:tcPr>
            <w:tcW w:type="dxa" w:w="10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17.3.3</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Bharat, an employee, goes on a holiday trip with his family. If the company pays or reimburses travel expenses under its rules, the amount is for Bharat's personal purpose and is included in his employment income.</w:t>
            </w:r>
          </w:p>
        </w:tc>
      </w:tr>
      <w:tr>
        <w:tc>
          <w:tcPr>
            <w:tcW w:type="dxa" w:w="10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17.3.4</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Hariprasad pays Rs. 10,000 per month as school fee for his son and receives monthly reimbursement from his employer. The reimbursement is for the employee's personal purpose and is included in employment income.</w:t>
            </w:r>
          </w:p>
        </w:tc>
      </w:tr>
    </w:tbl>
    <w:p>
      <w:pPr>
        <w:pStyle w:val="Heading3"/>
        <w:spacing w:after="80" w:line="259" w:lineRule="auto"/>
      </w:pPr>
      <w:r>
        <w:rPr>
          <w:rFonts w:ascii="Times New Roman" w:hAnsi="Times New Roman"/>
          <w:b w:val="0"/>
          <w:i w:val="0"/>
        </w:rPr>
        <w:t>17.3.3 Payments for agreeing to employment terms, termination, loss of employment and compulsory retirement</w:t>
      </w:r>
    </w:p>
    <w:p>
      <w:pPr>
        <w:spacing w:after="80" w:line="259" w:lineRule="auto"/>
      </w:pPr>
      <w:r>
        <w:rPr>
          <w:rFonts w:ascii="Times New Roman" w:hAnsi="Times New Roman"/>
          <w:b w:val="0"/>
          <w:i w:val="0"/>
        </w:rPr>
        <w:t>A payment made for agreeing to any condition of employment is included in employment income. A payment made on termination, loss of employment or compulsory retirement is also brought within Section 8(2). However, where such payment is a retirement payment subject to final withholding under Sections 88 and 92, it is not again included in employment income under Section 8(3).</w:t>
      </w:r>
    </w:p>
    <w:tbl>
      <w:tblPr>
        <w:tblStyle w:val="TableGrid"/>
        <w:tblW w:type="auto" w:w="0"/>
        <w:jc w:val="center"/>
        <w:tblLook w:firstColumn="1" w:firstRow="1" w:lastColumn="0" w:lastRow="0" w:noHBand="0" w:noVBand="1" w:val="04A0"/>
      </w:tblPr>
      <w:tblGrid>
        <w:gridCol w:w="5184"/>
        <w:gridCol w:w="5184"/>
      </w:tblGrid>
      <w:tr>
        <w:trPr>
          <w:tblHeader w:val="true"/>
        </w:trPr>
        <w:tc>
          <w:tcPr>
            <w:tcW w:type="dxa" w:w="1080"/>
            <w:vAlign w:val="center"/>
            <w:tcBorders>
              <w:top w:sz="4" w:val="single" w:color="BFBFBF"/>
              <w:left w:sz="4" w:val="single" w:color="BFBFBF"/>
              <w:bottom w:sz="4" w:val="single" w:color="BFBFBF"/>
              <w:right w:sz="4" w:val="single" w:color="BFBFBF"/>
            </w:tcBorders>
            <w:shd w:fill="D9EAF7"/>
          </w:tcPr>
          <w:p>
            <w:pPr>
              <w:spacing w:after="0" w:line="240" w:lineRule="auto"/>
            </w:pPr>
            <w:r>
              <w:rPr>
                <w:rFonts w:ascii="Times New Roman" w:hAnsi="Times New Roman"/>
                <w:b/>
                <w:sz w:val="16"/>
              </w:rPr>
              <w:t>Example</w:t>
            </w:r>
          </w:p>
        </w:tc>
        <w:tc>
          <w:tcPr>
            <w:tcW w:type="dxa" w:w="8496"/>
            <w:vAlign w:val="center"/>
            <w:tcBorders>
              <w:top w:sz="4" w:val="single" w:color="BFBFBF"/>
              <w:left w:sz="4" w:val="single" w:color="BFBFBF"/>
              <w:bottom w:sz="4" w:val="single" w:color="BFBFBF"/>
              <w:right w:sz="4" w:val="single" w:color="BFBFBF"/>
            </w:tcBorders>
            <w:shd w:fill="D9EAF7"/>
          </w:tcPr>
          <w:p>
            <w:pPr>
              <w:spacing w:after="0" w:line="240" w:lineRule="auto"/>
            </w:pPr>
            <w:r>
              <w:rPr>
                <w:rFonts w:ascii="Times New Roman" w:hAnsi="Times New Roman"/>
                <w:b/>
                <w:sz w:val="16"/>
              </w:rPr>
              <w:t>Translated point</w:t>
            </w:r>
          </w:p>
        </w:tc>
      </w:tr>
      <w:tr>
        <w:tc>
          <w:tcPr>
            <w:tcW w:type="dxa" w:w="10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17.3.5</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If a bank agrees to pay its executive officer 5% of profit as an incentive under appointment terms, the amount received is employment income.</w:t>
            </w:r>
          </w:p>
        </w:tc>
      </w:tr>
      <w:tr>
        <w:tc>
          <w:tcPr>
            <w:tcW w:type="dxa" w:w="10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17.3.6</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In privatisation, employees may receive regular salary, leave encashment, gratuity and additional compensation, for example two months' salary for each year of service. Regular salary and allowances are included in employment income. Leave, gratuity and compensation arising on retirement/job loss are retirement payments; tax is withheld at 15% under Section 88 and, being final withholding under Section 92(1)(g), they are not included again in employment income.</w:t>
            </w:r>
          </w:p>
        </w:tc>
      </w:tr>
      <w:tr>
        <w:tc>
          <w:tcPr>
            <w:tcW w:type="dxa" w:w="10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17.3.7</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Under a VRS/CRS scheme, a commercial bank pays special benefit calculated on years of service, gratuity and leave encashment. Amounts accrued before commencement of the Act may be exempt under transitional Rule 20; post-Act retirement payments are subject to withholding/final treatment as provided by the Act and Rules.</w:t>
            </w:r>
          </w:p>
        </w:tc>
      </w:tr>
    </w:tbl>
    <w:p>
      <w:pPr>
        <w:spacing w:after="80" w:line="259" w:lineRule="auto"/>
      </w:pPr>
      <w:r>
        <w:rPr>
          <w:rFonts w:ascii="Times New Roman" w:hAnsi="Times New Roman"/>
          <w:b/>
          <w:i w:val="0"/>
        </w:rPr>
        <w:t>Illustration from Example 17.3.7 - VRS/CRS computation</w:t>
      </w:r>
    </w:p>
    <w:tbl>
      <w:tblPr>
        <w:tblStyle w:val="TableGrid"/>
        <w:tblW w:type="auto" w:w="0"/>
        <w:jc w:val="center"/>
        <w:tblLook w:firstColumn="1" w:firstRow="1" w:lastColumn="0" w:lastRow="0" w:noHBand="0" w:noVBand="1" w:val="04A0"/>
      </w:tblPr>
      <w:tblGrid>
        <w:gridCol w:w="3456"/>
        <w:gridCol w:w="3456"/>
        <w:gridCol w:w="3456"/>
      </w:tblGrid>
      <w:tr>
        <w:trPr>
          <w:tblHeader w:val="true"/>
        </w:trPr>
        <w:tc>
          <w:tcPr>
            <w:tcW w:type="dxa" w:w="4608"/>
            <w:vAlign w:val="center"/>
            <w:tcBorders>
              <w:top w:sz="4" w:val="single" w:color="BFBFBF"/>
              <w:left w:sz="4" w:val="single" w:color="BFBFBF"/>
              <w:bottom w:sz="4" w:val="single" w:color="BFBFBF"/>
              <w:right w:sz="4" w:val="single" w:color="BFBFBF"/>
            </w:tcBorders>
            <w:shd w:fill="D9EAF7"/>
          </w:tcPr>
          <w:p>
            <w:pPr>
              <w:spacing w:after="0" w:line="240" w:lineRule="auto"/>
            </w:pPr>
            <w:r>
              <w:rPr>
                <w:rFonts w:ascii="Times New Roman" w:hAnsi="Times New Roman"/>
                <w:b/>
                <w:sz w:val="15"/>
              </w:rPr>
              <w:t>Particulars</w:t>
            </w:r>
          </w:p>
        </w:tc>
        <w:tc>
          <w:tcPr>
            <w:tcW w:type="dxa" w:w="2232"/>
            <w:vAlign w:val="center"/>
            <w:tcBorders>
              <w:top w:sz="4" w:val="single" w:color="BFBFBF"/>
              <w:left w:sz="4" w:val="single" w:color="BFBFBF"/>
              <w:bottom w:sz="4" w:val="single" w:color="BFBFBF"/>
              <w:right w:sz="4" w:val="single" w:color="BFBFBF"/>
            </w:tcBorders>
            <w:shd w:fill="D9EAF7"/>
          </w:tcPr>
          <w:p>
            <w:pPr>
              <w:spacing w:after="0" w:line="240" w:lineRule="auto"/>
            </w:pPr>
            <w:r>
              <w:rPr>
                <w:rFonts w:ascii="Times New Roman" w:hAnsi="Times New Roman"/>
                <w:b/>
                <w:sz w:val="15"/>
              </w:rPr>
              <w:t>Employment income</w:t>
            </w:r>
          </w:p>
        </w:tc>
        <w:tc>
          <w:tcPr>
            <w:tcW w:type="dxa" w:w="3240"/>
            <w:vAlign w:val="center"/>
            <w:tcBorders>
              <w:top w:sz="4" w:val="single" w:color="BFBFBF"/>
              <w:left w:sz="4" w:val="single" w:color="BFBFBF"/>
              <w:bottom w:sz="4" w:val="single" w:color="BFBFBF"/>
              <w:right w:sz="4" w:val="single" w:color="BFBFBF"/>
            </w:tcBorders>
            <w:shd w:fill="D9EAF7"/>
          </w:tcPr>
          <w:p>
            <w:pPr>
              <w:spacing w:after="0" w:line="240" w:lineRule="auto"/>
            </w:pPr>
            <w:r>
              <w:rPr>
                <w:rFonts w:ascii="Times New Roman" w:hAnsi="Times New Roman"/>
                <w:b/>
                <w:sz w:val="15"/>
              </w:rPr>
              <w:t>Retirement payment / treatment</w:t>
            </w:r>
          </w:p>
        </w:tc>
      </w:tr>
      <w:tr>
        <w:tc>
          <w:tcPr>
            <w:tcW w:type="dxa" w:w="460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Salary: Rs. 20,000 x 12 months</w:t>
            </w:r>
          </w:p>
        </w:tc>
        <w:tc>
          <w:tcPr>
            <w:tcW w:type="dxa" w:w="223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Rs. 240,000</w:t>
            </w:r>
          </w:p>
        </w:tc>
        <w:tc>
          <w:tcPr>
            <w:tcW w:type="dxa" w:w="324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r>
          </w:p>
        </w:tc>
      </w:tr>
      <w:tr>
        <w:tc>
          <w:tcPr>
            <w:tcW w:type="dxa" w:w="460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Allowance: Rs. 10,000 x 12 months</w:t>
            </w:r>
          </w:p>
        </w:tc>
        <w:tc>
          <w:tcPr>
            <w:tcW w:type="dxa" w:w="223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Rs. 120,000</w:t>
            </w:r>
          </w:p>
        </w:tc>
        <w:tc>
          <w:tcPr>
            <w:tcW w:type="dxa" w:w="324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r>
          </w:p>
        </w:tc>
      </w:tr>
      <w:tr>
        <w:tc>
          <w:tcPr>
            <w:tcW w:type="dxa" w:w="460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Dashain expenses</w:t>
            </w:r>
          </w:p>
        </w:tc>
        <w:tc>
          <w:tcPr>
            <w:tcW w:type="dxa" w:w="223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Rs. 20,000</w:t>
            </w:r>
          </w:p>
        </w:tc>
        <w:tc>
          <w:tcPr>
            <w:tcW w:type="dxa" w:w="324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r>
          </w:p>
        </w:tc>
      </w:tr>
      <w:tr>
        <w:tc>
          <w:tcPr>
            <w:tcW w:type="dxa" w:w="460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Employer contribution to retirement fund: 10% of salary</w:t>
            </w:r>
          </w:p>
        </w:tc>
        <w:tc>
          <w:tcPr>
            <w:tcW w:type="dxa" w:w="223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Rs. 24,000</w:t>
            </w:r>
          </w:p>
        </w:tc>
        <w:tc>
          <w:tcPr>
            <w:tcW w:type="dxa" w:w="324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r>
          </w:p>
        </w:tc>
      </w:tr>
      <w:tr>
        <w:tc>
          <w:tcPr>
            <w:tcW w:type="dxa" w:w="460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Gratuity: 25 years x 2.5 months x Rs. 20,000</w:t>
            </w:r>
          </w:p>
        </w:tc>
        <w:tc>
          <w:tcPr>
            <w:tcW w:type="dxa" w:w="223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r>
          </w:p>
        </w:tc>
        <w:tc>
          <w:tcPr>
            <w:tcW w:type="dxa" w:w="324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Rs. 1,250,000</w:t>
            </w:r>
          </w:p>
        </w:tc>
      </w:tr>
      <w:tr>
        <w:tc>
          <w:tcPr>
            <w:tcW w:type="dxa" w:w="460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Less: gratuity accrued up to 18 Chaitra 2058</w:t>
            </w:r>
          </w:p>
        </w:tc>
        <w:tc>
          <w:tcPr>
            <w:tcW w:type="dxa" w:w="223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r>
          </w:p>
        </w:tc>
        <w:tc>
          <w:tcPr>
            <w:tcW w:type="dxa" w:w="324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(Rs. 950,000) exempt/transition</w:t>
            </w:r>
          </w:p>
        </w:tc>
      </w:tr>
      <w:tr>
        <w:tc>
          <w:tcPr>
            <w:tcW w:type="dxa" w:w="460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Medical treatment expense accrued under old service rule</w:t>
            </w:r>
          </w:p>
        </w:tc>
        <w:tc>
          <w:tcPr>
            <w:tcW w:type="dxa" w:w="223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r>
          </w:p>
        </w:tc>
        <w:tc>
          <w:tcPr>
            <w:tcW w:type="dxa" w:w="324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Not taxable within applicable Rule 20 limit</w:t>
            </w:r>
          </w:p>
        </w:tc>
      </w:tr>
      <w:tr>
        <w:tc>
          <w:tcPr>
            <w:tcW w:type="dxa" w:w="460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VRS benefit: 25 years x 2 months x Rs. 20,000</w:t>
            </w:r>
          </w:p>
        </w:tc>
        <w:tc>
          <w:tcPr>
            <w:tcW w:type="dxa" w:w="223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r>
          </w:p>
        </w:tc>
        <w:tc>
          <w:tcPr>
            <w:tcW w:type="dxa" w:w="324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Rs. 1,000,000</w:t>
            </w:r>
          </w:p>
        </w:tc>
      </w:tr>
      <w:tr>
        <w:tc>
          <w:tcPr>
            <w:tcW w:type="dxa" w:w="460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Leave accrued after 19 Chaitra 2058: 90 days</w:t>
            </w:r>
          </w:p>
        </w:tc>
        <w:tc>
          <w:tcPr>
            <w:tcW w:type="dxa" w:w="223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r>
          </w:p>
        </w:tc>
        <w:tc>
          <w:tcPr>
            <w:tcW w:type="dxa" w:w="324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Rs. 60,000</w:t>
            </w:r>
          </w:p>
        </w:tc>
      </w:tr>
      <w:tr>
        <w:tc>
          <w:tcPr>
            <w:tcW w:type="dxa" w:w="460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Assessable employment income / retirement payment</w:t>
            </w:r>
          </w:p>
        </w:tc>
        <w:tc>
          <w:tcPr>
            <w:tcW w:type="dxa" w:w="223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Rs. 404,000</w:t>
            </w:r>
          </w:p>
        </w:tc>
        <w:tc>
          <w:tcPr>
            <w:tcW w:type="dxa" w:w="324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Rs. 1,360,000</w:t>
            </w:r>
          </w:p>
        </w:tc>
      </w:tr>
    </w:tbl>
    <w:p>
      <w:pPr>
        <w:spacing w:after="80" w:line="259" w:lineRule="auto"/>
      </w:pPr>
      <w:r>
        <w:rPr>
          <w:rFonts w:ascii="Times New Roman" w:hAnsi="Times New Roman"/>
          <w:b w:val="0"/>
          <w:i w:val="0"/>
        </w:rPr>
        <w:t>The Directive explains that the retirement-payment portion is withheld under Section 88 and treated as final withholding under Section 92(1)(g). Accordingly, it is not included in computing employment income under Section 8(3).</w:t>
      </w:r>
    </w:p>
    <w:p>
      <w:pPr>
        <w:pStyle w:val="Heading3"/>
        <w:spacing w:after="80" w:line="259" w:lineRule="auto"/>
      </w:pPr>
      <w:r>
        <w:rPr>
          <w:rFonts w:ascii="Times New Roman" w:hAnsi="Times New Roman"/>
          <w:b w:val="0"/>
          <w:i w:val="0"/>
        </w:rPr>
        <w:t>17.3.4 Retirement payment and retirement contributions</w:t>
      </w:r>
    </w:p>
    <w:p>
      <w:pPr>
        <w:spacing w:after="80" w:line="259" w:lineRule="auto"/>
      </w:pPr>
      <w:r>
        <w:rPr>
          <w:rFonts w:ascii="Times New Roman" w:hAnsi="Times New Roman"/>
          <w:b w:val="0"/>
          <w:i w:val="0"/>
        </w:rPr>
        <w:t>Section 8(2)(f) includes retirement payment and retirement contribution made by the employer for the employee. A retirement payment means payment to a natural person on retirement, or payment to a dependent on the death of the natural person. Rule 20(2)(d) permits payment from a retirement fund to a beneficiary only on retirement, on attaining the prescribed age, or on death/permanent disability. Amounts contributed by the employer to a retirement fund for the employee are included in employment income, subject to the deduction rules for approved retirement contributions.</w:t>
      </w:r>
    </w:p>
    <w:p>
      <w:pPr>
        <w:spacing w:after="80" w:line="259" w:lineRule="auto"/>
      </w:pPr>
      <w:r>
        <w:rPr>
          <w:rFonts w:ascii="Times New Roman" w:hAnsi="Times New Roman"/>
          <w:b w:val="0"/>
          <w:i w:val="0"/>
        </w:rPr>
        <w:t>Example 17.3.8: Harphar Singh earns Rs. 20,000 per month in a government company. In addition, Rs. 2,000 per month is deposited in a retirement fund in his name. The deposit is retirement contribution and is included in his employment income.</w:t>
      </w:r>
    </w:p>
    <w:p>
      <w:pPr>
        <w:pStyle w:val="Heading3"/>
        <w:spacing w:after="80" w:line="259" w:lineRule="auto"/>
      </w:pPr>
      <w:r>
        <w:rPr>
          <w:rFonts w:ascii="Times New Roman" w:hAnsi="Times New Roman"/>
          <w:b w:val="0"/>
          <w:i w:val="0"/>
        </w:rPr>
        <w:t>17.3.5 Other employment payments, timing and quantification of benefits</w:t>
      </w:r>
    </w:p>
    <w:p>
      <w:pPr>
        <w:spacing w:after="80" w:line="259" w:lineRule="auto"/>
      </w:pPr>
      <w:r>
        <w:rPr>
          <w:rFonts w:ascii="Times New Roman" w:hAnsi="Times New Roman"/>
          <w:b w:val="0"/>
          <w:i w:val="0"/>
        </w:rPr>
        <w:t>Other payments made in connection with employment, such as holiday trips or personal shopping expenses, are included in employment income. Employment and investment income of a natural person is accounted for tax purposes on a cash basis: amounts are included when payment is received or made available, and deductions are allowed only after payment is made.</w:t>
      </w:r>
    </w:p>
    <w:p>
      <w:pPr>
        <w:spacing w:after="80" w:line="259" w:lineRule="auto"/>
      </w:pPr>
      <w:r>
        <w:rPr>
          <w:rFonts w:ascii="Times New Roman" w:hAnsi="Times New Roman"/>
          <w:b w:val="0"/>
          <w:i w:val="0"/>
        </w:rPr>
        <w:t>Example 17.3.9: Kamal should include salary arrears received in Shrawan 2080 in the income year of receipt, even if the arrears relate to Shrawan 2078 to Ashadh 2079, because employment income is accounted for on a cash basis.</w:t>
      </w:r>
    </w:p>
    <w:p>
      <w:pPr>
        <w:spacing w:after="80" w:line="259" w:lineRule="auto"/>
      </w:pPr>
      <w:r>
        <w:rPr>
          <w:rFonts w:ascii="Times New Roman" w:hAnsi="Times New Roman"/>
          <w:b w:val="0"/>
          <w:i w:val="0"/>
        </w:rPr>
        <w:t>Where the employer transfers property to an employee, the market value of the property is included in employment income. If ABC Travel Agency Pvt. Ltd. transfers a jeep to its managing director in appreciation of loyalty, the market value of the jeep, not its written-down value in the register, is included as employment income. The taxpayer may determine market value, subject to the tax officer proving otherwise where the declared value is disputed.</w:t>
      </w:r>
    </w:p>
    <w:p>
      <w:pPr>
        <w:spacing w:after="80" w:line="259" w:lineRule="auto"/>
      </w:pPr>
      <w:r>
        <w:rPr>
          <w:rFonts w:ascii="Times New Roman" w:hAnsi="Times New Roman"/>
          <w:b/>
          <w:i w:val="0"/>
        </w:rPr>
        <w:t>Vehicle, building, household and loan benefits</w:t>
      </w:r>
    </w:p>
    <w:tbl>
      <w:tblPr>
        <w:tblStyle w:val="TableGrid"/>
        <w:tblW w:type="auto" w:w="0"/>
        <w:jc w:val="center"/>
        <w:tblLook w:firstColumn="1" w:firstRow="1" w:lastColumn="0" w:lastRow="0" w:noHBand="0" w:noVBand="1" w:val="04A0"/>
      </w:tblPr>
      <w:tblGrid>
        <w:gridCol w:w="5184"/>
        <w:gridCol w:w="5184"/>
      </w:tblGrid>
      <w:tr>
        <w:trPr>
          <w:tblHeader w:val="true"/>
        </w:trPr>
        <w:tc>
          <w:tcPr>
            <w:tcW w:type="dxa" w:w="3168"/>
            <w:vAlign w:val="center"/>
            <w:tcBorders>
              <w:top w:sz="4" w:val="single" w:color="BFBFBF"/>
              <w:left w:sz="4" w:val="single" w:color="BFBFBF"/>
              <w:bottom w:sz="4" w:val="single" w:color="BFBFBF"/>
              <w:right w:sz="4" w:val="single" w:color="BFBFBF"/>
            </w:tcBorders>
            <w:shd w:fill="D9EAF7"/>
          </w:tcPr>
          <w:p>
            <w:pPr>
              <w:spacing w:after="0" w:line="240" w:lineRule="auto"/>
            </w:pPr>
            <w:r>
              <w:rPr>
                <w:rFonts w:ascii="Times New Roman" w:hAnsi="Times New Roman"/>
                <w:b/>
                <w:sz w:val="16"/>
              </w:rPr>
              <w:t>Benefit / rule</w:t>
            </w:r>
          </w:p>
        </w:tc>
        <w:tc>
          <w:tcPr>
            <w:tcW w:type="dxa" w:w="6336"/>
            <w:vAlign w:val="center"/>
            <w:tcBorders>
              <w:top w:sz="4" w:val="single" w:color="BFBFBF"/>
              <w:left w:sz="4" w:val="single" w:color="BFBFBF"/>
              <w:bottom w:sz="4" w:val="single" w:color="BFBFBF"/>
              <w:right w:sz="4" w:val="single" w:color="BFBFBF"/>
            </w:tcBorders>
            <w:shd w:fill="D9EAF7"/>
          </w:tcPr>
          <w:p>
            <w:pPr>
              <w:spacing w:after="0" w:line="240" w:lineRule="auto"/>
            </w:pPr>
            <w:r>
              <w:rPr>
                <w:rFonts w:ascii="Times New Roman" w:hAnsi="Times New Roman"/>
                <w:b/>
                <w:sz w:val="16"/>
              </w:rPr>
              <w:t>Employment-income treatment</w:t>
            </w:r>
          </w:p>
        </w:tc>
      </w:tr>
      <w:tr>
        <w:tc>
          <w:tcPr>
            <w:tcW w:type="dxa" w:w="316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Vehicle provided for full or partial private use of an employee or monthly-paid person</w:t>
            </w:r>
          </w:p>
        </w:tc>
        <w:tc>
          <w:tcPr>
            <w:tcW w:type="dxa" w:w="633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Rule 13(1)(a): 0.5% of salary drawn is quantified as benefit. Once vehicle benefit is quantified, separate driver/fuel expenses for that vehicle are not again included.</w:t>
            </w:r>
          </w:p>
        </w:tc>
      </w:tr>
      <w:tr>
        <w:tc>
          <w:tcPr>
            <w:tcW w:type="dxa" w:w="316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Vehicle provided to a beneficiary other than an employee/monthly-paid person</w:t>
            </w:r>
          </w:p>
        </w:tc>
        <w:tc>
          <w:tcPr>
            <w:tcW w:type="dxa" w:w="633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Rule 13(1)(b): 1% per year of the current market value of the vehicle is quantified.</w:t>
            </w:r>
          </w:p>
        </w:tc>
      </w:tr>
      <w:tr>
        <w:tc>
          <w:tcPr>
            <w:tcW w:type="dxa" w:w="316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Building/house provided to employee or monthly-paid person</w:t>
            </w:r>
          </w:p>
        </w:tc>
        <w:tc>
          <w:tcPr>
            <w:tcW w:type="dxa" w:w="633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Rule 13(2)(a): 2% of salary drawn is quantified as accommodation benefit.</w:t>
            </w:r>
          </w:p>
        </w:tc>
      </w:tr>
      <w:tr>
        <w:tc>
          <w:tcPr>
            <w:tcW w:type="dxa" w:w="316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House rented by provider and given to a person other than the category above</w:t>
            </w:r>
          </w:p>
        </w:tc>
        <w:tc>
          <w:tcPr>
            <w:tcW w:type="dxa" w:w="633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Rule 13(2)(b): 25% of rent paid is quantified, unless another rule applies.</w:t>
            </w:r>
          </w:p>
        </w:tc>
      </w:tr>
      <w:tr>
        <w:tc>
          <w:tcPr>
            <w:tcW w:type="dxa" w:w="316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Domestic assistant/security guard at residence</w:t>
            </w:r>
          </w:p>
        </w:tc>
        <w:tc>
          <w:tcPr>
            <w:tcW w:type="dxa" w:w="633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Cost borne by employer, reduced by any amount recovered from employee, is included as benefit.</w:t>
            </w:r>
          </w:p>
        </w:tc>
      </w:tr>
      <w:tr>
        <w:tc>
          <w:tcPr>
            <w:tcW w:type="dxa" w:w="316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Concessional loan</w:t>
            </w:r>
          </w:p>
        </w:tc>
        <w:tc>
          <w:tcPr>
            <w:tcW w:type="dxa" w:w="633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Difference between market/normal interest rate and concessional interest charged is quantified as employment benefit.</w:t>
            </w:r>
          </w:p>
        </w:tc>
      </w:tr>
      <w:tr>
        <w:tc>
          <w:tcPr>
            <w:tcW w:type="dxa" w:w="316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Education or personal facility of relative paid by employer</w:t>
            </w:r>
          </w:p>
        </w:tc>
        <w:tc>
          <w:tcPr>
            <w:tcW w:type="dxa" w:w="633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Included in employment income unless incurred wholly for employer's business purpose.</w:t>
            </w:r>
          </w:p>
        </w:tc>
      </w:tr>
    </w:tbl>
    <w:tbl>
      <w:tblPr>
        <w:tblStyle w:val="TableGrid"/>
        <w:tblW w:type="auto" w:w="0"/>
        <w:jc w:val="center"/>
        <w:tblLook w:firstColumn="1" w:firstRow="1" w:lastColumn="0" w:lastRow="0" w:noHBand="0" w:noVBand="1" w:val="04A0"/>
      </w:tblPr>
      <w:tblGrid>
        <w:gridCol w:w="5184"/>
        <w:gridCol w:w="5184"/>
      </w:tblGrid>
      <w:tr>
        <w:trPr>
          <w:tblHeader w:val="true"/>
        </w:trPr>
        <w:tc>
          <w:tcPr>
            <w:tcW w:type="dxa" w:w="1080"/>
            <w:vAlign w:val="center"/>
            <w:tcBorders>
              <w:top w:sz="4" w:val="single" w:color="BFBFBF"/>
              <w:left w:sz="4" w:val="single" w:color="BFBFBF"/>
              <w:bottom w:sz="4" w:val="single" w:color="BFBFBF"/>
              <w:right w:sz="4" w:val="single" w:color="BFBFBF"/>
            </w:tcBorders>
            <w:shd w:fill="D9EAF7"/>
          </w:tcPr>
          <w:p>
            <w:pPr>
              <w:spacing w:after="0" w:line="240" w:lineRule="auto"/>
            </w:pPr>
            <w:r>
              <w:rPr>
                <w:rFonts w:ascii="Times New Roman" w:hAnsi="Times New Roman"/>
                <w:b/>
                <w:sz w:val="16"/>
              </w:rPr>
              <w:t>Example</w:t>
            </w:r>
          </w:p>
        </w:tc>
        <w:tc>
          <w:tcPr>
            <w:tcW w:type="dxa" w:w="8496"/>
            <w:vAlign w:val="center"/>
            <w:tcBorders>
              <w:top w:sz="4" w:val="single" w:color="BFBFBF"/>
              <w:left w:sz="4" w:val="single" w:color="BFBFBF"/>
              <w:bottom w:sz="4" w:val="single" w:color="BFBFBF"/>
              <w:right w:sz="4" w:val="single" w:color="BFBFBF"/>
            </w:tcBorders>
            <w:shd w:fill="D9EAF7"/>
          </w:tcPr>
          <w:p>
            <w:pPr>
              <w:spacing w:after="0" w:line="240" w:lineRule="auto"/>
            </w:pPr>
            <w:r>
              <w:rPr>
                <w:rFonts w:ascii="Times New Roman" w:hAnsi="Times New Roman"/>
                <w:b/>
                <w:sz w:val="16"/>
              </w:rPr>
              <w:t>Translated point</w:t>
            </w:r>
          </w:p>
        </w:tc>
      </w:tr>
      <w:tr>
        <w:tc>
          <w:tcPr>
            <w:tcW w:type="dxa" w:w="10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17.3.11</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If an employee is provided a car for private and business use and annual salary drawn is Rs. 185,930, the vehicle benefit is 0.5% = Rs. 929.65. Paise are ignored under Rule 14, so Rs. 929 is included in employment income.</w:t>
            </w:r>
          </w:p>
        </w:tc>
      </w:tr>
      <w:tr>
        <w:tc>
          <w:tcPr>
            <w:tcW w:type="dxa" w:w="10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17.3.12</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Where accommodation is provided to an employee with monthly salary of Rs. 25,000, accommodation benefit is computed at 2% of salary drawn.</w:t>
            </w:r>
          </w:p>
        </w:tc>
      </w:tr>
      <w:tr>
        <w:tc>
          <w:tcPr>
            <w:tcW w:type="dxa" w:w="10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17.3.13</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Where a chief executive is provided a domestic worker at residence, the value of the facility borne by the employer is included in employment income, after deducting any amount recovered from the employee.</w:t>
            </w:r>
          </w:p>
        </w:tc>
      </w:tr>
      <w:tr>
        <w:tc>
          <w:tcPr>
            <w:tcW w:type="dxa" w:w="10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17.3.14</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A private telephone or personal utility facility installed at the executive's residence is included to the extent it is personal and borne by the employer.</w:t>
            </w:r>
          </w:p>
        </w:tc>
      </w:tr>
      <w:tr>
        <w:tc>
          <w:tcPr>
            <w:tcW w:type="dxa" w:w="10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17.3.15</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Where an employee receives a loan at 4% when market interest is higher, the concession, measured as the difference in interest, is included as employment benefit.</w:t>
            </w:r>
          </w:p>
        </w:tc>
      </w:tr>
      <w:tr>
        <w:tc>
          <w:tcPr>
            <w:tcW w:type="dxa" w:w="10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17.3.16</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School fees or education expenses of an employee's child paid or reimbursed by the employer are included as personal benefit.</w:t>
            </w:r>
          </w:p>
        </w:tc>
      </w:tr>
      <w:tr>
        <w:tc>
          <w:tcPr>
            <w:tcW w:type="dxa" w:w="10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17.3.17</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Pension or commutation/settlement received by a retired government employee is treated according to the special rules applicable to pension and retirement payments.</w:t>
            </w:r>
          </w:p>
        </w:tc>
      </w:tr>
    </w:tbl>
    <w:p>
      <w:pPr>
        <w:pStyle w:val="Heading2"/>
        <w:spacing w:after="80" w:line="259" w:lineRule="auto"/>
      </w:pPr>
      <w:r>
        <w:rPr>
          <w:rFonts w:ascii="Times New Roman" w:hAnsi="Times New Roman"/>
          <w:b w:val="0"/>
          <w:i w:val="0"/>
        </w:rPr>
        <w:t>17.4 Amounts Not Included in Employment Income</w:t>
      </w:r>
    </w:p>
    <w:p>
      <w:pPr>
        <w:spacing w:after="80" w:line="259" w:lineRule="auto"/>
      </w:pPr>
      <w:r>
        <w:rPr>
          <w:rFonts w:ascii="Times New Roman" w:hAnsi="Times New Roman"/>
          <w:b w:val="0"/>
          <w:i w:val="0"/>
        </w:rPr>
        <w:t>Section 8(3) excludes certain amounts from the computation of employment remuneration even though Section 8(2) is broad. The main exclusions are amounts exempt under Section 10, payments subject to final withholding, workplace meals/snacks provided equally to all employees, reimbursements for expenses incurred for the employer's business, and small payments prescribed as impractical or administratively difficult to account for.</w:t>
      </w:r>
    </w:p>
    <w:p>
      <w:pPr>
        <w:pStyle w:val="Heading3"/>
        <w:spacing w:after="80" w:line="259" w:lineRule="auto"/>
      </w:pPr>
      <w:r>
        <w:rPr>
          <w:rFonts w:ascii="Times New Roman" w:hAnsi="Times New Roman"/>
          <w:b w:val="0"/>
          <w:i w:val="0"/>
        </w:rPr>
        <w:t>17.4.1 Exempt amounts under Section 10</w:t>
      </w:r>
    </w:p>
    <w:tbl>
      <w:tblPr>
        <w:tblStyle w:val="TableGrid"/>
        <w:tblW w:type="auto" w:w="0"/>
        <w:jc w:val="center"/>
        <w:tblLook w:firstColumn="1" w:firstRow="1" w:lastColumn="0" w:lastRow="0" w:noHBand="0" w:noVBand="1" w:val="04A0"/>
      </w:tblPr>
      <w:tblGrid>
        <w:gridCol w:w="5184"/>
        <w:gridCol w:w="5184"/>
      </w:tblGrid>
      <w:tr>
        <w:trPr>
          <w:tblHeader w:val="true"/>
        </w:trPr>
        <w:tc>
          <w:tcPr>
            <w:tcW w:type="dxa" w:w="3168"/>
            <w:vAlign w:val="center"/>
            <w:tcBorders>
              <w:top w:sz="4" w:val="single" w:color="BFBFBF"/>
              <w:left w:sz="4" w:val="single" w:color="BFBFBF"/>
              <w:bottom w:sz="4" w:val="single" w:color="BFBFBF"/>
              <w:right w:sz="4" w:val="single" w:color="BFBFBF"/>
            </w:tcBorders>
            <w:shd w:fill="D9EAF7"/>
          </w:tcPr>
          <w:p>
            <w:pPr>
              <w:spacing w:after="0" w:line="240" w:lineRule="auto"/>
            </w:pPr>
            <w:r>
              <w:rPr>
                <w:rFonts w:ascii="Times New Roman" w:hAnsi="Times New Roman"/>
                <w:b/>
                <w:sz w:val="16"/>
              </w:rPr>
              <w:t>Exempt amount / condition</w:t>
            </w:r>
          </w:p>
        </w:tc>
        <w:tc>
          <w:tcPr>
            <w:tcW w:type="dxa" w:w="6336"/>
            <w:vAlign w:val="center"/>
            <w:tcBorders>
              <w:top w:sz="4" w:val="single" w:color="BFBFBF"/>
              <w:left w:sz="4" w:val="single" w:color="BFBFBF"/>
              <w:bottom w:sz="4" w:val="single" w:color="BFBFBF"/>
              <w:right w:sz="4" w:val="single" w:color="BFBFBF"/>
            </w:tcBorders>
            <w:shd w:fill="D9EAF7"/>
          </w:tcPr>
          <w:p>
            <w:pPr>
              <w:spacing w:after="0" w:line="240" w:lineRule="auto"/>
            </w:pPr>
            <w:r>
              <w:rPr>
                <w:rFonts w:ascii="Times New Roman" w:hAnsi="Times New Roman"/>
                <w:b/>
                <w:sz w:val="16"/>
              </w:rPr>
              <w:t>Directive explanation</w:t>
            </w:r>
          </w:p>
        </w:tc>
      </w:tr>
      <w:tr>
        <w:tc>
          <w:tcPr>
            <w:tcW w:type="dxa" w:w="316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Treaty or agreement exemption</w:t>
            </w:r>
          </w:p>
        </w:tc>
        <w:tc>
          <w:tcPr>
            <w:tcW w:type="dxa" w:w="633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Tax exemption applies where a bilateral or multilateral treaty or agreement is between the Government of Nepal and a foreign state or international organisation. An agreement by another entity alone is not sufficient.</w:t>
            </w:r>
          </w:p>
        </w:tc>
      </w:tr>
      <w:tr>
        <w:tc>
          <w:tcPr>
            <w:tcW w:type="dxa" w:w="316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Foreign government service</w:t>
            </w:r>
          </w:p>
        </w:tc>
        <w:tc>
          <w:tcPr>
            <w:tcW w:type="dxa" w:w="633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A natural person employed in the service of a foreign government may be exempt if the person is resident/non-resident only because of such employment and the payment is made from that foreign government's public fund.</w:t>
            </w:r>
          </w:p>
        </w:tc>
      </w:tr>
      <w:tr>
        <w:tc>
          <w:tcPr>
            <w:tcW w:type="dxa" w:w="316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Close family of foreign government employee</w:t>
            </w:r>
          </w:p>
        </w:tc>
        <w:tc>
          <w:tcPr>
            <w:tcW w:type="dxa" w:w="633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A non-Nepali person or close family member receiving amounts from the foreign government fund can fall within exemption as explained by the Act.</w:t>
            </w:r>
          </w:p>
        </w:tc>
      </w:tr>
      <w:tr>
        <w:tc>
          <w:tcPr>
            <w:tcW w:type="dxa" w:w="316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Non-Nepali person appointed to Government of Nepal service on tax-exempt condition</w:t>
            </w:r>
          </w:p>
        </w:tc>
        <w:tc>
          <w:tcPr>
            <w:tcW w:type="dxa" w:w="633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A foreign expert appointed by the Government of Nepal on condition that tax is not payable need not include that payment in income.</w:t>
            </w:r>
          </w:p>
        </w:tc>
      </w:tr>
      <w:tr>
        <w:tc>
          <w:tcPr>
            <w:tcW w:type="dxa" w:w="316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Social security allowances</w:t>
            </w:r>
          </w:p>
        </w:tc>
        <w:tc>
          <w:tcPr>
            <w:tcW w:type="dxa" w:w="633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Allowances given as social security by the Government of Nepal, provincial government or local level are exempt.</w:t>
            </w:r>
          </w:p>
        </w:tc>
      </w:tr>
      <w:tr>
        <w:tc>
          <w:tcPr>
            <w:tcW w:type="dxa" w:w="316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Foreign army/police pension of Nepali citizen</w:t>
            </w:r>
          </w:p>
        </w:tc>
        <w:tc>
          <w:tcPr>
            <w:tcW w:type="dxa" w:w="633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A Nepali citizen retired from foreign army or police service need not include pension paid from that foreign government fund. Pension from other foreign services is not covered by this specific exemption.</w:t>
            </w:r>
          </w:p>
        </w:tc>
      </w:tr>
    </w:tbl>
    <w:tbl>
      <w:tblPr>
        <w:tblStyle w:val="TableGrid"/>
        <w:tblW w:type="auto" w:w="0"/>
        <w:jc w:val="center"/>
        <w:tblLook w:firstColumn="1" w:firstRow="1" w:lastColumn="0" w:lastRow="0" w:noHBand="0" w:noVBand="1" w:val="04A0"/>
      </w:tblPr>
      <w:tblGrid>
        <w:gridCol w:w="5184"/>
        <w:gridCol w:w="5184"/>
      </w:tblGrid>
      <w:tr>
        <w:trPr>
          <w:tblHeader w:val="true"/>
        </w:trPr>
        <w:tc>
          <w:tcPr>
            <w:tcW w:type="dxa" w:w="1080"/>
            <w:vAlign w:val="center"/>
            <w:tcBorders>
              <w:top w:sz="4" w:val="single" w:color="BFBFBF"/>
              <w:left w:sz="4" w:val="single" w:color="BFBFBF"/>
              <w:bottom w:sz="4" w:val="single" w:color="BFBFBF"/>
              <w:right w:sz="4" w:val="single" w:color="BFBFBF"/>
            </w:tcBorders>
            <w:shd w:fill="D9EAF7"/>
          </w:tcPr>
          <w:p>
            <w:pPr>
              <w:spacing w:after="0" w:line="240" w:lineRule="auto"/>
            </w:pPr>
            <w:r>
              <w:rPr>
                <w:rFonts w:ascii="Times New Roman" w:hAnsi="Times New Roman"/>
                <w:b/>
                <w:sz w:val="16"/>
              </w:rPr>
              <w:t>Example</w:t>
            </w:r>
          </w:p>
        </w:tc>
        <w:tc>
          <w:tcPr>
            <w:tcW w:type="dxa" w:w="8496"/>
            <w:vAlign w:val="center"/>
            <w:tcBorders>
              <w:top w:sz="4" w:val="single" w:color="BFBFBF"/>
              <w:left w:sz="4" w:val="single" w:color="BFBFBF"/>
              <w:bottom w:sz="4" w:val="single" w:color="BFBFBF"/>
              <w:right w:sz="4" w:val="single" w:color="BFBFBF"/>
            </w:tcBorders>
            <w:shd w:fill="D9EAF7"/>
          </w:tcPr>
          <w:p>
            <w:pPr>
              <w:spacing w:after="0" w:line="240" w:lineRule="auto"/>
            </w:pPr>
            <w:r>
              <w:rPr>
                <w:rFonts w:ascii="Times New Roman" w:hAnsi="Times New Roman"/>
                <w:b/>
                <w:sz w:val="16"/>
              </w:rPr>
              <w:t>Translated point</w:t>
            </w:r>
          </w:p>
        </w:tc>
      </w:tr>
      <w:tr>
        <w:tc>
          <w:tcPr>
            <w:tcW w:type="dxa" w:w="10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17.4.1</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Mr. Harish, a foreign citizen employed in a foreign embassy in Nepal, receives salary and allowance from the foreign government fund. Since his residence in Nepal arises only due to that employment, such salary is not taxed in Nepal. Income from other sources is not exempt.</w:t>
            </w:r>
          </w:p>
        </w:tc>
      </w:tr>
      <w:tr>
        <w:tc>
          <w:tcPr>
            <w:tcW w:type="dxa" w:w="10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17.4.2</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Mr. Jack, father of Mr. Harish and a foreign citizen retired from that foreign government service, receives £2,000 monthly pension from the foreign government. It is not included in Nepal income under the relevant exemption.</w:t>
            </w:r>
          </w:p>
        </w:tc>
      </w:tr>
      <w:tr>
        <w:tc>
          <w:tcPr>
            <w:tcW w:type="dxa" w:w="10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17.4.3</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Ratnakar De Silva, a non-Nepali expert appointed by the Government of Nepal on tax-free terms at USD 20,000 per month, does not include that payment in income.</w:t>
            </w:r>
          </w:p>
        </w:tc>
      </w:tr>
      <w:tr>
        <w:tc>
          <w:tcPr>
            <w:tcW w:type="dxa" w:w="10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17.4.4</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Ram Bahadur, retired captain of the Indian Army, receives INR 20,000 monthly pension from the Indian pension camp in Pokhara. This pension is not included in his employment income, but salary from Bikash Bank Ltd. as security chief is included.</w:t>
            </w:r>
          </w:p>
        </w:tc>
      </w:tr>
    </w:tbl>
    <w:p>
      <w:pPr>
        <w:pStyle w:val="Heading3"/>
        <w:spacing w:after="80" w:line="259" w:lineRule="auto"/>
      </w:pPr>
      <w:r>
        <w:rPr>
          <w:rFonts w:ascii="Times New Roman" w:hAnsi="Times New Roman"/>
          <w:b w:val="0"/>
          <w:i w:val="0"/>
        </w:rPr>
        <w:t>17.4.2 Final withholding payments</w:t>
      </w:r>
    </w:p>
    <w:p>
      <w:pPr>
        <w:spacing w:after="80" w:line="259" w:lineRule="auto"/>
      </w:pPr>
      <w:r>
        <w:rPr>
          <w:rFonts w:ascii="Times New Roman" w:hAnsi="Times New Roman"/>
          <w:b w:val="0"/>
          <w:i w:val="0"/>
        </w:rPr>
        <w:t>A person receiving employment income does not include, in employment-income computation, amounts received after final withholding under Section 92. The Directive gives the following illustrations:</w:t>
      </w:r>
    </w:p>
    <w:tbl>
      <w:tblPr>
        <w:tblStyle w:val="TableGrid"/>
        <w:tblW w:type="auto" w:w="0"/>
        <w:jc w:val="center"/>
        <w:tblLook w:firstColumn="1" w:firstRow="1" w:lastColumn="0" w:lastRow="0" w:noHBand="0" w:noVBand="1" w:val="04A0"/>
      </w:tblPr>
      <w:tblGrid>
        <w:gridCol w:w="5184"/>
        <w:gridCol w:w="5184"/>
      </w:tblGrid>
      <w:tr>
        <w:trPr>
          <w:tblHeader w:val="true"/>
        </w:trPr>
        <w:tc>
          <w:tcPr>
            <w:tcW w:type="dxa" w:w="3456"/>
            <w:vAlign w:val="center"/>
            <w:tcBorders>
              <w:top w:sz="4" w:val="single" w:color="BFBFBF"/>
              <w:left w:sz="4" w:val="single" w:color="BFBFBF"/>
              <w:bottom w:sz="4" w:val="single" w:color="BFBFBF"/>
              <w:right w:sz="4" w:val="single" w:color="BFBFBF"/>
            </w:tcBorders>
            <w:shd w:fill="D9EAF7"/>
          </w:tcPr>
          <w:p>
            <w:pPr>
              <w:spacing w:after="0" w:line="240" w:lineRule="auto"/>
            </w:pPr>
            <w:r>
              <w:rPr>
                <w:rFonts w:ascii="Times New Roman" w:hAnsi="Times New Roman"/>
                <w:b/>
                <w:sz w:val="16"/>
              </w:rPr>
              <w:t>Payment</w:t>
            </w:r>
          </w:p>
        </w:tc>
        <w:tc>
          <w:tcPr>
            <w:tcW w:type="dxa" w:w="6048"/>
            <w:vAlign w:val="center"/>
            <w:tcBorders>
              <w:top w:sz="4" w:val="single" w:color="BFBFBF"/>
              <w:left w:sz="4" w:val="single" w:color="BFBFBF"/>
              <w:bottom w:sz="4" w:val="single" w:color="BFBFBF"/>
              <w:right w:sz="4" w:val="single" w:color="BFBFBF"/>
            </w:tcBorders>
            <w:shd w:fill="D9EAF7"/>
          </w:tcPr>
          <w:p>
            <w:pPr>
              <w:spacing w:after="0" w:line="240" w:lineRule="auto"/>
            </w:pPr>
            <w:r>
              <w:rPr>
                <w:rFonts w:ascii="Times New Roman" w:hAnsi="Times New Roman"/>
                <w:b/>
                <w:sz w:val="16"/>
              </w:rPr>
              <w:t>Treatment</w:t>
            </w:r>
          </w:p>
        </w:tc>
      </w:tr>
      <w:tr>
        <w:tc>
          <w:tcPr>
            <w:tcW w:type="dxa" w:w="345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Dividend paid by a resident company or partnership firm</w:t>
            </w:r>
          </w:p>
        </w:tc>
        <w:tc>
          <w:tcPr>
            <w:tcW w:type="dxa" w:w="604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Dividend received after final withholding is not included in employment income. Example 17.4.5: Rs. 5,000 dividend less 5% tax is received; net dividend is not employment income.</w:t>
            </w:r>
          </w:p>
        </w:tc>
      </w:tr>
      <w:tr>
        <w:tc>
          <w:tcPr>
            <w:tcW w:type="dxa" w:w="345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Rent from land/building to a natural person not carrying on rental business</w:t>
            </w:r>
          </w:p>
        </w:tc>
        <w:tc>
          <w:tcPr>
            <w:tcW w:type="dxa" w:w="604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Rent after final withholding is not included. Example 17.4.6 contrasts a passive landowner with a person whose business is renting property.</w:t>
            </w:r>
          </w:p>
        </w:tc>
      </w:tr>
      <w:tr>
        <w:tc>
          <w:tcPr>
            <w:tcW w:type="dxa" w:w="345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Investment insurance benefit paid by a resident person</w:t>
            </w:r>
          </w:p>
        </w:tc>
        <w:tc>
          <w:tcPr>
            <w:tcW w:type="dxa" w:w="604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Benefit after final withholding is not included. Example 17.4.7 illustrates tax on investment-insurance gain.</w:t>
            </w:r>
          </w:p>
        </w:tc>
      </w:tr>
      <w:tr>
        <w:tc>
          <w:tcPr>
            <w:tcW w:type="dxa" w:w="345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Retirement payment from an approved retirement fund</w:t>
            </w:r>
          </w:p>
        </w:tc>
        <w:tc>
          <w:tcPr>
            <w:tcW w:type="dxa" w:w="604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Taxable portion is computed under the retirement-fund rules and withholding is applied accordingly. Examples 17.4.8 and 17.4.9 illustrate transitional and post-Act computations.</w:t>
            </w:r>
          </w:p>
        </w:tc>
      </w:tr>
      <w:tr>
        <w:tc>
          <w:tcPr>
            <w:tcW w:type="dxa" w:w="345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Meeting allowance up to Rs. 20,000 per meeting and occasional teaching/question paper/answer script checking payments</w:t>
            </w:r>
          </w:p>
        </w:tc>
        <w:tc>
          <w:tcPr>
            <w:tcW w:type="dxa" w:w="604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Withholding at 15% is final for the specified payments. Example 17.4.10 includes meeting allowance, occasional lecture fee, question-paper preparation and answer-script checking payments; regular teaching remuneration remains employment income.</w:t>
            </w:r>
          </w:p>
        </w:tc>
      </w:tr>
      <w:tr>
        <w:tc>
          <w:tcPr>
            <w:tcW w:type="dxa" w:w="345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Windfall gain</w:t>
            </w:r>
          </w:p>
        </w:tc>
        <w:tc>
          <w:tcPr>
            <w:tcW w:type="dxa" w:w="604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Tax withheld under Section 88A is final and not included in employment income.</w:t>
            </w:r>
          </w:p>
        </w:tc>
      </w:tr>
      <w:tr>
        <w:tc>
          <w:tcPr>
            <w:tcW w:type="dxa" w:w="345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Return distributed by mutual fund to a natural person</w:t>
            </w:r>
          </w:p>
        </w:tc>
        <w:tc>
          <w:tcPr>
            <w:tcW w:type="dxa" w:w="604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Tax withheld on mutual fund return to a natural person is final and is not included in employment income.</w:t>
            </w:r>
          </w:p>
        </w:tc>
      </w:tr>
    </w:tbl>
    <w:p>
      <w:pPr>
        <w:spacing w:after="80" w:line="259" w:lineRule="auto"/>
      </w:pPr>
      <w:r>
        <w:rPr>
          <w:rFonts w:ascii="Times New Roman" w:hAnsi="Times New Roman"/>
          <w:b w:val="0"/>
          <w:i w:val="0"/>
        </w:rPr>
        <w:t>Example 17.4.11: A call centre provides meals/snacks equally to employees at the workplace. The cost, for example average Rs. 200 per employee per day, is not included in employment income. If cash is paid instead of workplace food/snacks, the amount is included.</w:t>
      </w:r>
    </w:p>
    <w:p>
      <w:pPr>
        <w:spacing w:after="80" w:line="259" w:lineRule="auto"/>
      </w:pPr>
      <w:r>
        <w:rPr>
          <w:rFonts w:ascii="Times New Roman" w:hAnsi="Times New Roman"/>
          <w:b w:val="0"/>
          <w:i w:val="0"/>
        </w:rPr>
        <w:t>Example 17.4.12: Gopi, an employee of Nepal Bank Ltd., is sent on official duty to Pokhara for four days and receives daily allowance, air fare and bill-based expenses totalling Rs. 11,000. Because the expenditure serves the employer's business and is settled on bills approved by the authorised person, it is not included in his employment income. If the payment serves a personal purpose, it is included.</w:t>
      </w:r>
    </w:p>
    <w:p>
      <w:pPr>
        <w:spacing w:after="80" w:line="259" w:lineRule="auto"/>
      </w:pPr>
      <w:r>
        <w:rPr>
          <w:rFonts w:ascii="Times New Roman" w:hAnsi="Times New Roman"/>
          <w:b w:val="0"/>
          <w:i w:val="0"/>
        </w:rPr>
        <w:t>Small payments such as tea expenses, stationery, tips, prizes, emergency medical aid and similar payments specified by the Department, up to Rs. 500 at a time, are not included where accounting for them is impractical or administratively difficult.</w:t>
      </w:r>
    </w:p>
    <w:p>
      <w:pPr>
        <w:pStyle w:val="Heading2"/>
        <w:spacing w:after="80" w:line="259" w:lineRule="auto"/>
      </w:pPr>
      <w:r>
        <w:rPr>
          <w:rFonts w:ascii="Times New Roman" w:hAnsi="Times New Roman"/>
          <w:b w:val="0"/>
          <w:i w:val="0"/>
        </w:rPr>
        <w:t>17.5 Amounts Deductible from Employment Income</w:t>
      </w:r>
    </w:p>
    <w:p>
      <w:pPr>
        <w:pStyle w:val="Heading3"/>
        <w:spacing w:after="80" w:line="259" w:lineRule="auto"/>
      </w:pPr>
      <w:r>
        <w:rPr>
          <w:rFonts w:ascii="Times New Roman" w:hAnsi="Times New Roman"/>
          <w:b w:val="0"/>
          <w:i w:val="0"/>
        </w:rPr>
        <w:t>17.5.1 Approved retirement fund contribution</w:t>
      </w:r>
    </w:p>
    <w:p>
      <w:pPr>
        <w:spacing w:after="80" w:line="259" w:lineRule="auto"/>
      </w:pPr>
      <w:r>
        <w:rPr>
          <w:rFonts w:ascii="Times New Roman" w:hAnsi="Times New Roman"/>
          <w:b w:val="0"/>
          <w:i w:val="0"/>
        </w:rPr>
        <w:t>A natural person may claim deduction for retirement contribution made to an approved retirement fund in an income year. Under Section 63 and Rule 21, the deductible amount is limited to the lower of Rs. 500,000 or one-third of assessable income. Contribution to a fund that is not approved is not deductible. For employment income, assessable income generally means the total gross receipts, including cash, benefits in kind and quantified facilities under Section 8.</w:t>
      </w:r>
    </w:p>
    <w:tbl>
      <w:tblPr>
        <w:tblStyle w:val="TableGrid"/>
        <w:tblW w:type="auto" w:w="0"/>
        <w:jc w:val="center"/>
        <w:tblLook w:firstColumn="1" w:firstRow="1" w:lastColumn="0" w:lastRow="0" w:noHBand="0" w:noVBand="1" w:val="04A0"/>
      </w:tblPr>
      <w:tblGrid>
        <w:gridCol w:w="5184"/>
        <w:gridCol w:w="5184"/>
      </w:tblGrid>
      <w:tr>
        <w:trPr>
          <w:tblHeader w:val="true"/>
        </w:trPr>
        <w:tc>
          <w:tcPr>
            <w:tcW w:type="dxa" w:w="6912"/>
            <w:vAlign w:val="center"/>
            <w:tcBorders>
              <w:top w:sz="4" w:val="single" w:color="BFBFBF"/>
              <w:left w:sz="4" w:val="single" w:color="BFBFBF"/>
              <w:bottom w:sz="4" w:val="single" w:color="BFBFBF"/>
              <w:right w:sz="4" w:val="single" w:color="BFBFBF"/>
            </w:tcBorders>
            <w:shd w:fill="D9EAF7"/>
          </w:tcPr>
          <w:p>
            <w:pPr>
              <w:spacing w:after="0" w:line="240" w:lineRule="auto"/>
            </w:pPr>
            <w:r>
              <w:rPr>
                <w:rFonts w:ascii="Times New Roman" w:hAnsi="Times New Roman"/>
                <w:b/>
                <w:sz w:val="16"/>
              </w:rPr>
              <w:t>Particulars from Example 17.5.1</w:t>
            </w:r>
          </w:p>
        </w:tc>
        <w:tc>
          <w:tcPr>
            <w:tcW w:type="dxa" w:w="2304"/>
            <w:vAlign w:val="center"/>
            <w:tcBorders>
              <w:top w:sz="4" w:val="single" w:color="BFBFBF"/>
              <w:left w:sz="4" w:val="single" w:color="BFBFBF"/>
              <w:bottom w:sz="4" w:val="single" w:color="BFBFBF"/>
              <w:right w:sz="4" w:val="single" w:color="BFBFBF"/>
            </w:tcBorders>
            <w:shd w:fill="D9EAF7"/>
          </w:tcPr>
          <w:p>
            <w:pPr>
              <w:spacing w:after="0" w:line="240" w:lineRule="auto"/>
            </w:pPr>
            <w:r>
              <w:rPr>
                <w:rFonts w:ascii="Times New Roman" w:hAnsi="Times New Roman"/>
                <w:b/>
                <w:sz w:val="16"/>
              </w:rPr>
              <w:t>Amount</w:t>
            </w:r>
          </w:p>
        </w:tc>
      </w:tr>
      <w:tr>
        <w:tc>
          <w:tcPr>
            <w:tcW w:type="dxa" w:w="691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Salary: Rs. 20,000 x 12</w:t>
            </w:r>
          </w:p>
        </w:tc>
        <w:tc>
          <w:tcPr>
            <w:tcW w:type="dxa" w:w="2304"/>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Rs. 240,000</w:t>
            </w:r>
          </w:p>
        </w:tc>
      </w:tr>
      <w:tr>
        <w:tc>
          <w:tcPr>
            <w:tcW w:type="dxa" w:w="691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Snack allowance: Rs. 3,000 x 12</w:t>
            </w:r>
          </w:p>
        </w:tc>
        <w:tc>
          <w:tcPr>
            <w:tcW w:type="dxa" w:w="2304"/>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Rs. 36,000</w:t>
            </w:r>
          </w:p>
        </w:tc>
      </w:tr>
      <w:tr>
        <w:tc>
          <w:tcPr>
            <w:tcW w:type="dxa" w:w="691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Bonus</w:t>
            </w:r>
          </w:p>
        </w:tc>
        <w:tc>
          <w:tcPr>
            <w:tcW w:type="dxa" w:w="2304"/>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Rs. 30,000</w:t>
            </w:r>
          </w:p>
        </w:tc>
      </w:tr>
      <w:tr>
        <w:tc>
          <w:tcPr>
            <w:tcW w:type="dxa" w:w="691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Employer retirement contribution: 10% of salary</w:t>
            </w:r>
          </w:p>
        </w:tc>
        <w:tc>
          <w:tcPr>
            <w:tcW w:type="dxa" w:w="2304"/>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Rs. 24,000</w:t>
            </w:r>
          </w:p>
        </w:tc>
      </w:tr>
      <w:tr>
        <w:tc>
          <w:tcPr>
            <w:tcW w:type="dxa" w:w="691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Dashain expense: one month salary</w:t>
            </w:r>
          </w:p>
        </w:tc>
        <w:tc>
          <w:tcPr>
            <w:tcW w:type="dxa" w:w="2304"/>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Rs. 20,000</w:t>
            </w:r>
          </w:p>
        </w:tc>
      </w:tr>
      <w:tr>
        <w:tc>
          <w:tcPr>
            <w:tcW w:type="dxa" w:w="691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Vehicle benefit: Rs. 240,000 x 0.5%</w:t>
            </w:r>
          </w:p>
        </w:tc>
        <w:tc>
          <w:tcPr>
            <w:tcW w:type="dxa" w:w="2304"/>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Rs. 1,200</w:t>
            </w:r>
          </w:p>
        </w:tc>
      </w:tr>
      <w:tr>
        <w:tc>
          <w:tcPr>
            <w:tcW w:type="dxa" w:w="691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Accommodation benefit: Rs. 240,000 x 2%</w:t>
            </w:r>
          </w:p>
        </w:tc>
        <w:tc>
          <w:tcPr>
            <w:tcW w:type="dxa" w:w="2304"/>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Rs. 4,800</w:t>
            </w:r>
          </w:p>
        </w:tc>
      </w:tr>
      <w:tr>
        <w:tc>
          <w:tcPr>
            <w:tcW w:type="dxa" w:w="691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Total employment income / assessable income</w:t>
            </w:r>
          </w:p>
        </w:tc>
        <w:tc>
          <w:tcPr>
            <w:tcW w:type="dxa" w:w="2304"/>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Rs. 356,000</w:t>
            </w:r>
          </w:p>
        </w:tc>
      </w:tr>
      <w:tr>
        <w:tc>
          <w:tcPr>
            <w:tcW w:type="dxa" w:w="691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Actual total retirement contribution: employee Rs. 24,000 + employer Rs. 24,000</w:t>
            </w:r>
          </w:p>
        </w:tc>
        <w:tc>
          <w:tcPr>
            <w:tcW w:type="dxa" w:w="2304"/>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Rs. 48,000</w:t>
            </w:r>
          </w:p>
        </w:tc>
      </w:tr>
      <w:tr>
        <w:tc>
          <w:tcPr>
            <w:tcW w:type="dxa" w:w="691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One-third of assessable income</w:t>
            </w:r>
          </w:p>
        </w:tc>
        <w:tc>
          <w:tcPr>
            <w:tcW w:type="dxa" w:w="2304"/>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Rs. 118,667</w:t>
            </w:r>
          </w:p>
        </w:tc>
      </w:tr>
      <w:tr>
        <w:tc>
          <w:tcPr>
            <w:tcW w:type="dxa" w:w="691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Deductible contribution</w:t>
            </w:r>
          </w:p>
        </w:tc>
        <w:tc>
          <w:tcPr>
            <w:tcW w:type="dxa" w:w="2304"/>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Rs. 48,000</w:t>
            </w:r>
          </w:p>
        </w:tc>
      </w:tr>
    </w:tbl>
    <w:p>
      <w:pPr>
        <w:pStyle w:val="Heading3"/>
        <w:spacing w:after="80" w:line="259" w:lineRule="auto"/>
      </w:pPr>
      <w:r>
        <w:rPr>
          <w:rFonts w:ascii="Times New Roman" w:hAnsi="Times New Roman"/>
          <w:b w:val="0"/>
          <w:i w:val="0"/>
        </w:rPr>
        <w:t>17.5.2 Donation expense</w:t>
      </w:r>
    </w:p>
    <w:p>
      <w:pPr>
        <w:spacing w:after="80" w:line="259" w:lineRule="auto"/>
      </w:pPr>
      <w:r>
        <w:rPr>
          <w:rFonts w:ascii="Times New Roman" w:hAnsi="Times New Roman"/>
          <w:b w:val="0"/>
          <w:i w:val="0"/>
        </w:rPr>
        <w:t>A person may deduct gifts or donations made to organizations entitled to enjoy exemption approved by the Department, within the statutory limit. The general limit is the lower of Rs. 100,000 or 5% of adjusted taxable income. Where the Government of Nepal publishes a Gazette notice for a specified purpose, full or partial deduction may be allowed as specified, without applying the general limit.</w:t>
      </w:r>
    </w:p>
    <w:tbl>
      <w:tblPr>
        <w:tblStyle w:val="TableGrid"/>
        <w:tblW w:type="auto" w:w="0"/>
        <w:jc w:val="center"/>
        <w:tblLook w:firstColumn="1" w:firstRow="1" w:lastColumn="0" w:lastRow="0" w:noHBand="0" w:noVBand="1" w:val="04A0"/>
      </w:tblPr>
      <w:tblGrid>
        <w:gridCol w:w="5184"/>
        <w:gridCol w:w="5184"/>
      </w:tblGrid>
      <w:tr>
        <w:trPr>
          <w:tblHeader w:val="true"/>
        </w:trPr>
        <w:tc>
          <w:tcPr>
            <w:tcW w:type="dxa" w:w="1080"/>
            <w:vAlign w:val="center"/>
            <w:tcBorders>
              <w:top w:sz="4" w:val="single" w:color="BFBFBF"/>
              <w:left w:sz="4" w:val="single" w:color="BFBFBF"/>
              <w:bottom w:sz="4" w:val="single" w:color="BFBFBF"/>
              <w:right w:sz="4" w:val="single" w:color="BFBFBF"/>
            </w:tcBorders>
            <w:shd w:fill="D9EAF7"/>
          </w:tcPr>
          <w:p>
            <w:pPr>
              <w:spacing w:after="0" w:line="240" w:lineRule="auto"/>
            </w:pPr>
            <w:r>
              <w:rPr>
                <w:rFonts w:ascii="Times New Roman" w:hAnsi="Times New Roman"/>
                <w:b/>
                <w:sz w:val="16"/>
              </w:rPr>
              <w:t>Example</w:t>
            </w:r>
          </w:p>
        </w:tc>
        <w:tc>
          <w:tcPr>
            <w:tcW w:type="dxa" w:w="8496"/>
            <w:vAlign w:val="center"/>
            <w:tcBorders>
              <w:top w:sz="4" w:val="single" w:color="BFBFBF"/>
              <w:left w:sz="4" w:val="single" w:color="BFBFBF"/>
              <w:bottom w:sz="4" w:val="single" w:color="BFBFBF"/>
              <w:right w:sz="4" w:val="single" w:color="BFBFBF"/>
            </w:tcBorders>
            <w:shd w:fill="D9EAF7"/>
          </w:tcPr>
          <w:p>
            <w:pPr>
              <w:spacing w:after="0" w:line="240" w:lineRule="auto"/>
            </w:pPr>
            <w:r>
              <w:rPr>
                <w:rFonts w:ascii="Times New Roman" w:hAnsi="Times New Roman"/>
                <w:b/>
                <w:sz w:val="16"/>
              </w:rPr>
              <w:t>Translated point</w:t>
            </w:r>
          </w:p>
        </w:tc>
      </w:tr>
      <w:tr>
        <w:tc>
          <w:tcPr>
            <w:tcW w:type="dxa" w:w="10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17.5.2</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Ravinath Jha has total employment income of Rs. 356,000. After approved retirement contribution of Rs. 108,000, adjusted taxable income is Rs. 248,000. He donates Rs. 50,000 to an approved organization entitled to enjoy exemption. The deductible donation is the lowest of actual donation Rs. 50,000, statutory maximum Rs. 100,000, and 5% of adjusted taxable income Rs. 12,400; therefore Rs. 12,400 is deductible.</w:t>
            </w:r>
          </w:p>
        </w:tc>
      </w:tr>
      <w:tr>
        <w:tc>
          <w:tcPr>
            <w:tcW w:type="dxa" w:w="10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17.5.3</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If, in addition, the Government has published a Gazette notice allowing full deduction for contributions to Pashupati Development Fund and he contributes Rs. 10,000, the deductible donation becomes Rs. 12,400 + Rs. 10,000 = Rs. 22,400.</w:t>
            </w:r>
          </w:p>
        </w:tc>
      </w:tr>
    </w:tbl>
    <w:p>
      <w:pPr>
        <w:pStyle w:val="Heading3"/>
        <w:spacing w:after="80" w:line="259" w:lineRule="auto"/>
      </w:pPr>
      <w:r>
        <w:rPr>
          <w:rFonts w:ascii="Times New Roman" w:hAnsi="Times New Roman"/>
          <w:b w:val="0"/>
          <w:i w:val="0"/>
        </w:rPr>
        <w:t>17.5.3 Insurance premiums, remote-area concession and other deductions</w:t>
      </w:r>
    </w:p>
    <w:tbl>
      <w:tblPr>
        <w:tblStyle w:val="TableGrid"/>
        <w:tblW w:type="auto" w:w="0"/>
        <w:jc w:val="center"/>
        <w:tblLook w:firstColumn="1" w:firstRow="1" w:lastColumn="0" w:lastRow="0" w:noHBand="0" w:noVBand="1" w:val="04A0"/>
      </w:tblPr>
      <w:tblGrid>
        <w:gridCol w:w="5184"/>
        <w:gridCol w:w="5184"/>
      </w:tblGrid>
      <w:tr>
        <w:trPr>
          <w:tblHeader w:val="true"/>
        </w:trPr>
        <w:tc>
          <w:tcPr>
            <w:tcW w:type="dxa" w:w="3456"/>
            <w:vAlign w:val="center"/>
            <w:tcBorders>
              <w:top w:sz="4" w:val="single" w:color="BFBFBF"/>
              <w:left w:sz="4" w:val="single" w:color="BFBFBF"/>
              <w:bottom w:sz="4" w:val="single" w:color="BFBFBF"/>
              <w:right w:sz="4" w:val="single" w:color="BFBFBF"/>
            </w:tcBorders>
            <w:shd w:fill="D9EAF7"/>
          </w:tcPr>
          <w:p>
            <w:pPr>
              <w:spacing w:after="0" w:line="240" w:lineRule="auto"/>
            </w:pPr>
            <w:r>
              <w:rPr>
                <w:rFonts w:ascii="Times New Roman" w:hAnsi="Times New Roman"/>
                <w:b/>
                <w:sz w:val="16"/>
              </w:rPr>
              <w:t>Deduction / concession</w:t>
            </w:r>
          </w:p>
        </w:tc>
        <w:tc>
          <w:tcPr>
            <w:tcW w:type="dxa" w:w="6048"/>
            <w:vAlign w:val="center"/>
            <w:tcBorders>
              <w:top w:sz="4" w:val="single" w:color="BFBFBF"/>
              <w:left w:sz="4" w:val="single" w:color="BFBFBF"/>
              <w:bottom w:sz="4" w:val="single" w:color="BFBFBF"/>
              <w:right w:sz="4" w:val="single" w:color="BFBFBF"/>
            </w:tcBorders>
            <w:shd w:fill="D9EAF7"/>
          </w:tcPr>
          <w:p>
            <w:pPr>
              <w:spacing w:after="0" w:line="240" w:lineRule="auto"/>
            </w:pPr>
            <w:r>
              <w:rPr>
                <w:rFonts w:ascii="Times New Roman" w:hAnsi="Times New Roman"/>
                <w:b/>
                <w:sz w:val="16"/>
              </w:rPr>
              <w:t>Rule translated</w:t>
            </w:r>
          </w:p>
        </w:tc>
      </w:tr>
      <w:tr>
        <w:tc>
          <w:tcPr>
            <w:tcW w:type="dxa" w:w="345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Investment insurance premium</w:t>
            </w:r>
          </w:p>
        </w:tc>
        <w:tc>
          <w:tcPr>
            <w:tcW w:type="dxa" w:w="604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A resident natural person may deduct the annual premium paid for investment insurance, limited to the lower of actual premium and Rs. 40,000. The deduction may be claimed even if the premium is paid to a non-resident investment insurer, but benefits from a non-resident investment insurer are included in investment income.</w:t>
            </w:r>
          </w:p>
        </w:tc>
      </w:tr>
      <w:tr>
        <w:tc>
          <w:tcPr>
            <w:tcW w:type="dxa" w:w="345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Health insurance premium</w:t>
            </w:r>
          </w:p>
        </w:tc>
        <w:tc>
          <w:tcPr>
            <w:tcW w:type="dxa" w:w="604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A resident natural person insuring with a resident insurance company may deduct the lower of actual annual premium and Rs. 20,000. A person claiming this health insurance premium deduction cannot claim the Rs. 1,500 medical tax credit under Section 51.</w:t>
            </w:r>
          </w:p>
        </w:tc>
      </w:tr>
      <w:tr>
        <w:tc>
          <w:tcPr>
            <w:tcW w:type="dxa" w:w="345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Private building insurance premium</w:t>
            </w:r>
          </w:p>
        </w:tc>
        <w:tc>
          <w:tcPr>
            <w:tcW w:type="dxa" w:w="604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A resident natural person may deduct the lower of actual premium and Rs. 5,000 for insurance of a privately owned building with a resident insurer.</w:t>
            </w:r>
          </w:p>
        </w:tc>
      </w:tr>
      <w:tr>
        <w:tc>
          <w:tcPr>
            <w:tcW w:type="dxa" w:w="345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Remote-area concession</w:t>
            </w:r>
          </w:p>
        </w:tc>
        <w:tc>
          <w:tcPr>
            <w:tcW w:type="dxa" w:w="604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A natural person working in remote areas specified by Government may deduct up to Rs. 50,000 depending on the category of remote area. If transferred between areas during the year, the deduction is apportioned by months worked in each category.</w:t>
            </w:r>
          </w:p>
        </w:tc>
      </w:tr>
    </w:tbl>
    <w:tbl>
      <w:tblPr>
        <w:tblStyle w:val="TableGrid"/>
        <w:tblW w:type="auto" w:w="0"/>
        <w:jc w:val="center"/>
        <w:tblLook w:firstColumn="1" w:firstRow="1" w:lastColumn="0" w:lastRow="0" w:noHBand="0" w:noVBand="1" w:val="04A0"/>
      </w:tblPr>
      <w:tblGrid>
        <w:gridCol w:w="5184"/>
        <w:gridCol w:w="5184"/>
      </w:tblGrid>
      <w:tr>
        <w:trPr>
          <w:tblHeader w:val="true"/>
        </w:trPr>
        <w:tc>
          <w:tcPr>
            <w:tcW w:type="dxa" w:w="4320"/>
            <w:vAlign w:val="center"/>
            <w:tcBorders>
              <w:top w:sz="4" w:val="single" w:color="BFBFBF"/>
              <w:left w:sz="4" w:val="single" w:color="BFBFBF"/>
              <w:bottom w:sz="4" w:val="single" w:color="BFBFBF"/>
              <w:right w:sz="4" w:val="single" w:color="BFBFBF"/>
            </w:tcBorders>
            <w:shd w:fill="D9EAF7"/>
          </w:tcPr>
          <w:p>
            <w:pPr>
              <w:spacing w:after="0" w:line="240" w:lineRule="auto"/>
            </w:pPr>
            <w:r>
              <w:rPr>
                <w:rFonts w:ascii="Times New Roman" w:hAnsi="Times New Roman"/>
                <w:b/>
                <w:sz w:val="16"/>
              </w:rPr>
              <w:t>Remote area category</w:t>
            </w:r>
          </w:p>
        </w:tc>
        <w:tc>
          <w:tcPr>
            <w:tcW w:type="dxa" w:w="3456"/>
            <w:vAlign w:val="center"/>
            <w:tcBorders>
              <w:top w:sz="4" w:val="single" w:color="BFBFBF"/>
              <w:left w:sz="4" w:val="single" w:color="BFBFBF"/>
              <w:bottom w:sz="4" w:val="single" w:color="BFBFBF"/>
              <w:right w:sz="4" w:val="single" w:color="BFBFBF"/>
            </w:tcBorders>
            <w:shd w:fill="D9EAF7"/>
          </w:tcPr>
          <w:p>
            <w:pPr>
              <w:spacing w:after="0" w:line="240" w:lineRule="auto"/>
            </w:pPr>
            <w:r>
              <w:rPr>
                <w:rFonts w:ascii="Times New Roman" w:hAnsi="Times New Roman"/>
                <w:b/>
                <w:sz w:val="16"/>
              </w:rPr>
              <w:t>Annual deduction</w:t>
            </w:r>
          </w:p>
        </w:tc>
      </w:tr>
      <w:tr>
        <w:tc>
          <w:tcPr>
            <w:tcW w:type="dxa" w:w="432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Category A</w:t>
            </w:r>
          </w:p>
        </w:tc>
        <w:tc>
          <w:tcPr>
            <w:tcW w:type="dxa" w:w="345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Rs. 50,000</w:t>
            </w:r>
          </w:p>
        </w:tc>
      </w:tr>
      <w:tr>
        <w:tc>
          <w:tcPr>
            <w:tcW w:type="dxa" w:w="432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Category B</w:t>
            </w:r>
          </w:p>
        </w:tc>
        <w:tc>
          <w:tcPr>
            <w:tcW w:type="dxa" w:w="345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Rs. 40,000</w:t>
            </w:r>
          </w:p>
        </w:tc>
      </w:tr>
      <w:tr>
        <w:tc>
          <w:tcPr>
            <w:tcW w:type="dxa" w:w="432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Category C</w:t>
            </w:r>
          </w:p>
        </w:tc>
        <w:tc>
          <w:tcPr>
            <w:tcW w:type="dxa" w:w="345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Rs. 30,000</w:t>
            </w:r>
          </w:p>
        </w:tc>
      </w:tr>
      <w:tr>
        <w:tc>
          <w:tcPr>
            <w:tcW w:type="dxa" w:w="432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Category D</w:t>
            </w:r>
          </w:p>
        </w:tc>
        <w:tc>
          <w:tcPr>
            <w:tcW w:type="dxa" w:w="345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Rs. 20,000</w:t>
            </w:r>
          </w:p>
        </w:tc>
      </w:tr>
      <w:tr>
        <w:tc>
          <w:tcPr>
            <w:tcW w:type="dxa" w:w="432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Category E</w:t>
            </w:r>
          </w:p>
        </w:tc>
        <w:tc>
          <w:tcPr>
            <w:tcW w:type="dxa" w:w="345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Rs. 10,000</w:t>
            </w:r>
          </w:p>
        </w:tc>
      </w:tr>
    </w:tbl>
    <w:p>
      <w:pPr>
        <w:spacing w:after="80" w:line="259" w:lineRule="auto"/>
      </w:pPr>
      <w:r>
        <w:rPr>
          <w:rFonts w:ascii="Times New Roman" w:hAnsi="Times New Roman"/>
          <w:b w:val="0"/>
          <w:i w:val="0"/>
        </w:rPr>
        <w:t>Example 17.5.4: Shyam Mahato works in Bajura branch, a Category A remote area. Even if he does not receive a separate remote allowance, he may deduct the Category A amount from taxable income. If he works six months in Category A and six months in Category B, the deduction is apportioned: Rs. 50,000 x 6/12 = Rs. 25,000 and Rs. 40,000 x 6/12 = Rs. 20,000; total Rs. 45,000.</w:t>
      </w:r>
    </w:p>
    <w:p>
      <w:pPr>
        <w:pStyle w:val="Heading2"/>
        <w:spacing w:after="80" w:line="259" w:lineRule="auto"/>
      </w:pPr>
      <w:r>
        <w:rPr>
          <w:rFonts w:ascii="Times New Roman" w:hAnsi="Times New Roman"/>
          <w:b w:val="0"/>
          <w:i w:val="0"/>
        </w:rPr>
        <w:t>17.6 Couple</w:t>
      </w:r>
    </w:p>
    <w:p>
      <w:pPr>
        <w:spacing w:after="80" w:line="259" w:lineRule="auto"/>
      </w:pPr>
      <w:r>
        <w:rPr>
          <w:rFonts w:ascii="Times New Roman" w:hAnsi="Times New Roman"/>
          <w:b w:val="0"/>
          <w:i w:val="0"/>
        </w:rPr>
        <w:t>For purposes of the Act, each natural person is normally a separate taxpayer. A resident natural person and his or her resident spouse may, by written notice, elect to be treated as a single natural person for a particular income year under Section 50. Where the couple election is made, the taxable incomes of both spouses are combined and both are jointly and severally liable for tax payable for that year. A resident widow or widower maintaining dependants may be treated similarly to a couple as provided by Section 50(3).</w:t>
      </w:r>
    </w:p>
    <w:p>
      <w:pPr>
        <w:pStyle w:val="Heading2"/>
        <w:spacing w:after="80" w:line="259" w:lineRule="auto"/>
      </w:pPr>
      <w:r>
        <w:rPr>
          <w:rFonts w:ascii="Times New Roman" w:hAnsi="Times New Roman"/>
          <w:b w:val="0"/>
          <w:i w:val="0"/>
        </w:rPr>
        <w:t>17.7 Medical Tax Credit</w:t>
      </w:r>
    </w:p>
    <w:p>
      <w:pPr>
        <w:spacing w:after="80" w:line="259" w:lineRule="auto"/>
      </w:pPr>
      <w:r>
        <w:rPr>
          <w:rFonts w:ascii="Times New Roman" w:hAnsi="Times New Roman"/>
          <w:b w:val="0"/>
          <w:i w:val="0"/>
        </w:rPr>
        <w:t>Section 51 allows a resident natural person to claim medical tax credit for approved medical treatment expenditure incurred by the person or through another person. The credit is 15% of approved medical expenses, subject to the prescribed annual limit of Rs. 1,500 under Rule 17(3). Excess credit or unused credit due to insufficient tax liability may be carried forward without time limit. Cosmetic surgery and expenses compensated by health insurance are not approved medical expenses. A person claiming health insurance premium deduction under Schedule 1 cannot claim the Rs. 1,500 medical tax credit.</w:t>
      </w:r>
    </w:p>
    <w:p>
      <w:pPr>
        <w:spacing w:after="80" w:line="259" w:lineRule="auto"/>
      </w:pPr>
      <w:r>
        <w:rPr>
          <w:rFonts w:ascii="Times New Roman" w:hAnsi="Times New Roman"/>
          <w:b w:val="0"/>
          <w:i w:val="0"/>
        </w:rPr>
        <w:t>Example 17.7.1: If approved medical expenses are Rs. 20,000 in an income year, 15% equals Rs. 3,000. Because the annual credit limit is Rs. 1,500, the person may reduce current-year tax by Rs. 1,500 and carry forward Rs. 1,500.</w:t>
      </w:r>
    </w:p>
    <w:tbl>
      <w:tblPr>
        <w:tblStyle w:val="TableGrid"/>
        <w:tblW w:type="auto" w:w="0"/>
        <w:jc w:val="center"/>
        <w:tblLook w:firstColumn="1" w:firstRow="1" w:lastColumn="0" w:lastRow="0" w:noHBand="0" w:noVBand="1" w:val="04A0"/>
      </w:tblPr>
      <w:tblGrid>
        <w:gridCol w:w="2074"/>
        <w:gridCol w:w="2074"/>
        <w:gridCol w:w="2074"/>
        <w:gridCol w:w="2074"/>
        <w:gridCol w:w="2074"/>
      </w:tblGrid>
      <w:tr>
        <w:trPr>
          <w:tblHeader w:val="true"/>
        </w:trPr>
        <w:tc>
          <w:tcPr>
            <w:tcW w:type="dxa" w:w="3456"/>
            <w:vAlign w:val="center"/>
            <w:tcBorders>
              <w:top w:sz="4" w:val="single" w:color="BFBFBF"/>
              <w:left w:sz="4" w:val="single" w:color="BFBFBF"/>
              <w:bottom w:sz="4" w:val="single" w:color="BFBFBF"/>
              <w:right w:sz="4" w:val="single" w:color="BFBFBF"/>
            </w:tcBorders>
            <w:shd w:fill="D9EAF7"/>
          </w:tcPr>
          <w:p>
            <w:pPr>
              <w:spacing w:after="0" w:line="240" w:lineRule="auto"/>
            </w:pPr>
            <w:r>
              <w:rPr>
                <w:rFonts w:ascii="Times New Roman" w:hAnsi="Times New Roman"/>
                <w:b/>
                <w:sz w:val="15"/>
              </w:rPr>
              <w:t>Particulars</w:t>
            </w:r>
          </w:p>
        </w:tc>
        <w:tc>
          <w:tcPr>
            <w:tcW w:type="dxa" w:w="1512"/>
            <w:vAlign w:val="center"/>
            <w:tcBorders>
              <w:top w:sz="4" w:val="single" w:color="BFBFBF"/>
              <w:left w:sz="4" w:val="single" w:color="BFBFBF"/>
              <w:bottom w:sz="4" w:val="single" w:color="BFBFBF"/>
              <w:right w:sz="4" w:val="single" w:color="BFBFBF"/>
            </w:tcBorders>
            <w:shd w:fill="D9EAF7"/>
          </w:tcPr>
          <w:p>
            <w:pPr>
              <w:spacing w:after="0" w:line="240" w:lineRule="auto"/>
            </w:pPr>
            <w:r>
              <w:rPr>
                <w:rFonts w:ascii="Times New Roman" w:hAnsi="Times New Roman"/>
                <w:b/>
                <w:sz w:val="15"/>
              </w:rPr>
              <w:t>Year 1</w:t>
            </w:r>
          </w:p>
        </w:tc>
        <w:tc>
          <w:tcPr>
            <w:tcW w:type="dxa" w:w="1512"/>
            <w:vAlign w:val="center"/>
            <w:tcBorders>
              <w:top w:sz="4" w:val="single" w:color="BFBFBF"/>
              <w:left w:sz="4" w:val="single" w:color="BFBFBF"/>
              <w:bottom w:sz="4" w:val="single" w:color="BFBFBF"/>
              <w:right w:sz="4" w:val="single" w:color="BFBFBF"/>
            </w:tcBorders>
            <w:shd w:fill="D9EAF7"/>
          </w:tcPr>
          <w:p>
            <w:pPr>
              <w:spacing w:after="0" w:line="240" w:lineRule="auto"/>
            </w:pPr>
            <w:r>
              <w:rPr>
                <w:rFonts w:ascii="Times New Roman" w:hAnsi="Times New Roman"/>
                <w:b/>
                <w:sz w:val="15"/>
              </w:rPr>
              <w:t>Year 2</w:t>
            </w:r>
          </w:p>
        </w:tc>
        <w:tc>
          <w:tcPr>
            <w:tcW w:type="dxa" w:w="1512"/>
            <w:vAlign w:val="center"/>
            <w:tcBorders>
              <w:top w:sz="4" w:val="single" w:color="BFBFBF"/>
              <w:left w:sz="4" w:val="single" w:color="BFBFBF"/>
              <w:bottom w:sz="4" w:val="single" w:color="BFBFBF"/>
              <w:right w:sz="4" w:val="single" w:color="BFBFBF"/>
            </w:tcBorders>
            <w:shd w:fill="D9EAF7"/>
          </w:tcPr>
          <w:p>
            <w:pPr>
              <w:spacing w:after="0" w:line="240" w:lineRule="auto"/>
            </w:pPr>
            <w:r>
              <w:rPr>
                <w:rFonts w:ascii="Times New Roman" w:hAnsi="Times New Roman"/>
                <w:b/>
                <w:sz w:val="15"/>
              </w:rPr>
              <w:t>Year 3</w:t>
            </w:r>
          </w:p>
        </w:tc>
        <w:tc>
          <w:tcPr>
            <w:tcW w:type="dxa" w:w="1512"/>
            <w:vAlign w:val="center"/>
            <w:tcBorders>
              <w:top w:sz="4" w:val="single" w:color="BFBFBF"/>
              <w:left w:sz="4" w:val="single" w:color="BFBFBF"/>
              <w:bottom w:sz="4" w:val="single" w:color="BFBFBF"/>
              <w:right w:sz="4" w:val="single" w:color="BFBFBF"/>
            </w:tcBorders>
            <w:shd w:fill="D9EAF7"/>
          </w:tcPr>
          <w:p>
            <w:pPr>
              <w:spacing w:after="0" w:line="240" w:lineRule="auto"/>
            </w:pPr>
            <w:r>
              <w:rPr>
                <w:rFonts w:ascii="Times New Roman" w:hAnsi="Times New Roman"/>
                <w:b/>
                <w:sz w:val="15"/>
              </w:rPr>
              <w:t>Year 4</w:t>
            </w:r>
          </w:p>
        </w:tc>
      </w:tr>
      <w:tr>
        <w:tc>
          <w:tcPr>
            <w:tcW w:type="dxa" w:w="345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Approved medical expense</w:t>
            </w:r>
          </w:p>
        </w:tc>
        <w:tc>
          <w:tcPr>
            <w:tcW w:type="dxa" w:w="151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Rs. 30,000</w:t>
            </w:r>
          </w:p>
        </w:tc>
        <w:tc>
          <w:tcPr>
            <w:tcW w:type="dxa" w:w="151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0</w:t>
            </w:r>
          </w:p>
        </w:tc>
        <w:tc>
          <w:tcPr>
            <w:tcW w:type="dxa" w:w="151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Rs. 9,000</w:t>
            </w:r>
          </w:p>
        </w:tc>
        <w:tc>
          <w:tcPr>
            <w:tcW w:type="dxa" w:w="151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Rs. 500</w:t>
            </w:r>
          </w:p>
        </w:tc>
      </w:tr>
      <w:tr>
        <w:tc>
          <w:tcPr>
            <w:tcW w:type="dxa" w:w="345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Credit generated @ 15%</w:t>
            </w:r>
          </w:p>
        </w:tc>
        <w:tc>
          <w:tcPr>
            <w:tcW w:type="dxa" w:w="151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Rs. 4,500</w:t>
            </w:r>
          </w:p>
        </w:tc>
        <w:tc>
          <w:tcPr>
            <w:tcW w:type="dxa" w:w="151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0</w:t>
            </w:r>
          </w:p>
        </w:tc>
        <w:tc>
          <w:tcPr>
            <w:tcW w:type="dxa" w:w="151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Rs. 1,350</w:t>
            </w:r>
          </w:p>
        </w:tc>
        <w:tc>
          <w:tcPr>
            <w:tcW w:type="dxa" w:w="151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Rs. 75</w:t>
            </w:r>
          </w:p>
        </w:tc>
      </w:tr>
      <w:tr>
        <w:tc>
          <w:tcPr>
            <w:tcW w:type="dxa" w:w="345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Credit brought forward</w:t>
            </w:r>
          </w:p>
        </w:tc>
        <w:tc>
          <w:tcPr>
            <w:tcW w:type="dxa" w:w="151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0</w:t>
            </w:r>
          </w:p>
        </w:tc>
        <w:tc>
          <w:tcPr>
            <w:tcW w:type="dxa" w:w="151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Rs. 3,000</w:t>
            </w:r>
          </w:p>
        </w:tc>
        <w:tc>
          <w:tcPr>
            <w:tcW w:type="dxa" w:w="151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Rs. 1,500</w:t>
            </w:r>
          </w:p>
        </w:tc>
        <w:tc>
          <w:tcPr>
            <w:tcW w:type="dxa" w:w="151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Rs. 1,350</w:t>
            </w:r>
          </w:p>
        </w:tc>
      </w:tr>
      <w:tr>
        <w:tc>
          <w:tcPr>
            <w:tcW w:type="dxa" w:w="345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Total eligible credit</w:t>
            </w:r>
          </w:p>
        </w:tc>
        <w:tc>
          <w:tcPr>
            <w:tcW w:type="dxa" w:w="151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Rs. 4,500</w:t>
            </w:r>
          </w:p>
        </w:tc>
        <w:tc>
          <w:tcPr>
            <w:tcW w:type="dxa" w:w="151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Rs. 3,000</w:t>
            </w:r>
          </w:p>
        </w:tc>
        <w:tc>
          <w:tcPr>
            <w:tcW w:type="dxa" w:w="151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Rs. 2,850</w:t>
            </w:r>
          </w:p>
        </w:tc>
        <w:tc>
          <w:tcPr>
            <w:tcW w:type="dxa" w:w="151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Rs. 1,425</w:t>
            </w:r>
          </w:p>
        </w:tc>
      </w:tr>
      <w:tr>
        <w:tc>
          <w:tcPr>
            <w:tcW w:type="dxa" w:w="345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Annual limit under Rule 17(3)</w:t>
            </w:r>
          </w:p>
        </w:tc>
        <w:tc>
          <w:tcPr>
            <w:tcW w:type="dxa" w:w="151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Rs. 1,500</w:t>
            </w:r>
          </w:p>
        </w:tc>
        <w:tc>
          <w:tcPr>
            <w:tcW w:type="dxa" w:w="151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Rs. 1,500</w:t>
            </w:r>
          </w:p>
        </w:tc>
        <w:tc>
          <w:tcPr>
            <w:tcW w:type="dxa" w:w="151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Rs. 1,500</w:t>
            </w:r>
          </w:p>
        </w:tc>
        <w:tc>
          <w:tcPr>
            <w:tcW w:type="dxa" w:w="151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Rs. 1,500</w:t>
            </w:r>
          </w:p>
        </w:tc>
      </w:tr>
      <w:tr>
        <w:tc>
          <w:tcPr>
            <w:tcW w:type="dxa" w:w="345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Credit claimable</w:t>
            </w:r>
          </w:p>
        </w:tc>
        <w:tc>
          <w:tcPr>
            <w:tcW w:type="dxa" w:w="151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Rs. 1,500</w:t>
            </w:r>
          </w:p>
        </w:tc>
        <w:tc>
          <w:tcPr>
            <w:tcW w:type="dxa" w:w="151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Rs. 1,500</w:t>
            </w:r>
          </w:p>
        </w:tc>
        <w:tc>
          <w:tcPr>
            <w:tcW w:type="dxa" w:w="151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Rs. 1,500</w:t>
            </w:r>
          </w:p>
        </w:tc>
        <w:tc>
          <w:tcPr>
            <w:tcW w:type="dxa" w:w="151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Rs. 1,425</w:t>
            </w:r>
          </w:p>
        </w:tc>
      </w:tr>
      <w:tr>
        <w:tc>
          <w:tcPr>
            <w:tcW w:type="dxa" w:w="345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Credit carried forward</w:t>
            </w:r>
          </w:p>
        </w:tc>
        <w:tc>
          <w:tcPr>
            <w:tcW w:type="dxa" w:w="151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Rs. 3,000</w:t>
            </w:r>
          </w:p>
        </w:tc>
        <w:tc>
          <w:tcPr>
            <w:tcW w:type="dxa" w:w="151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Rs. 1,500</w:t>
            </w:r>
          </w:p>
        </w:tc>
        <w:tc>
          <w:tcPr>
            <w:tcW w:type="dxa" w:w="151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Rs. 1,350</w:t>
            </w:r>
          </w:p>
        </w:tc>
        <w:tc>
          <w:tcPr>
            <w:tcW w:type="dxa" w:w="151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0</w:t>
            </w:r>
          </w:p>
        </w:tc>
      </w:tr>
    </w:tbl>
    <w:p>
      <w:pPr>
        <w:pStyle w:val="Heading2"/>
        <w:spacing w:after="80" w:line="259" w:lineRule="auto"/>
      </w:pPr>
      <w:r>
        <w:rPr>
          <w:rFonts w:ascii="Times New Roman" w:hAnsi="Times New Roman"/>
          <w:b w:val="0"/>
          <w:i w:val="0"/>
        </w:rPr>
        <w:t>17.8 Cases Where Income Return Is Not Required</w:t>
      </w:r>
    </w:p>
    <w:p>
      <w:pPr>
        <w:spacing w:after="80" w:line="259" w:lineRule="auto"/>
      </w:pPr>
      <w:r>
        <w:rPr>
          <w:rFonts w:ascii="Times New Roman" w:hAnsi="Times New Roman"/>
          <w:b w:val="0"/>
          <w:i w:val="0"/>
        </w:rPr>
        <w:t>Under Sections 4(3) and 97, a person with employment income need not file an income return if all of the following conditions are satisfied:</w:t>
      </w:r>
    </w:p>
    <w:p>
      <w:pPr>
        <w:pStyle w:val="ListBullet"/>
        <w:spacing w:after="40" w:line="252" w:lineRule="auto"/>
      </w:pPr>
      <w:r>
        <w:rPr>
          <w:rFonts w:ascii="Times New Roman" w:hAnsi="Times New Roman"/>
        </w:rPr>
        <w:t>The income for the year consists only of employment income having a source in Nepal.</w:t>
      </w:r>
    </w:p>
    <w:p>
      <w:pPr>
        <w:pStyle w:val="ListBullet"/>
        <w:spacing w:after="40" w:line="252" w:lineRule="auto"/>
      </w:pPr>
      <w:r>
        <w:rPr>
          <w:rFonts w:ascii="Times New Roman" w:hAnsi="Times New Roman"/>
        </w:rPr>
        <w:t>All employers in the year are resident persons, and the person has only one employer at a time.</w:t>
      </w:r>
    </w:p>
    <w:p>
      <w:pPr>
        <w:pStyle w:val="ListBullet"/>
        <w:spacing w:after="40" w:line="252" w:lineRule="auto"/>
      </w:pPr>
      <w:r>
        <w:rPr>
          <w:rFonts w:ascii="Times New Roman" w:hAnsi="Times New Roman"/>
        </w:rPr>
        <w:t>The person claims only medical tax credit paid by the employer and retirement contribution paid by the employer, and does not claim donation deduction.</w:t>
      </w:r>
    </w:p>
    <w:p>
      <w:pPr>
        <w:pStyle w:val="ListBullet"/>
        <w:spacing w:after="40" w:line="252" w:lineRule="auto"/>
      </w:pPr>
      <w:r>
        <w:rPr>
          <w:rFonts w:ascii="Times New Roman" w:hAnsi="Times New Roman"/>
        </w:rPr>
        <w:t>Where employer changes during the year, the employee provides the second employer with the withholding certificate and details of payment and tax withheld by the previous employer, and the second employer adjusts the earlier payment and withholding while deducting tax under Section 87.</w:t>
      </w:r>
    </w:p>
    <w:p>
      <w:pPr>
        <w:spacing w:after="80" w:line="259" w:lineRule="auto"/>
      </w:pPr>
      <w:r>
        <w:rPr>
          <w:rFonts w:ascii="Times New Roman" w:hAnsi="Times New Roman"/>
          <w:b w:val="0"/>
          <w:i w:val="0"/>
        </w:rPr>
        <w:t>A return is required where the person has more than one employer at the same time, claims self-incurred medical tax credit, self-paid approved retirement contribution or donation deduction, or where the employer is a non-resident person.</w:t>
      </w:r>
    </w:p>
    <w:p>
      <w:pPr>
        <w:pStyle w:val="Heading2"/>
        <w:spacing w:after="80" w:line="259" w:lineRule="auto"/>
      </w:pPr>
      <w:r>
        <w:rPr>
          <w:rFonts w:ascii="Times New Roman" w:hAnsi="Times New Roman"/>
          <w:b w:val="0"/>
          <w:i w:val="0"/>
        </w:rPr>
        <w:t>17.9 Tax Concessions</w:t>
      </w:r>
    </w:p>
    <w:tbl>
      <w:tblPr>
        <w:tblStyle w:val="TableGrid"/>
        <w:tblW w:type="auto" w:w="0"/>
        <w:jc w:val="center"/>
        <w:tblLook w:firstColumn="1" w:firstRow="1" w:lastColumn="0" w:lastRow="0" w:noHBand="0" w:noVBand="1" w:val="04A0"/>
      </w:tblPr>
      <w:tblGrid>
        <w:gridCol w:w="5184"/>
        <w:gridCol w:w="5184"/>
      </w:tblGrid>
      <w:tr>
        <w:trPr>
          <w:tblHeader w:val="true"/>
        </w:trPr>
        <w:tc>
          <w:tcPr>
            <w:tcW w:type="dxa" w:w="3168"/>
            <w:vAlign w:val="center"/>
            <w:tcBorders>
              <w:top w:sz="4" w:val="single" w:color="BFBFBF"/>
              <w:left w:sz="4" w:val="single" w:color="BFBFBF"/>
              <w:bottom w:sz="4" w:val="single" w:color="BFBFBF"/>
              <w:right w:sz="4" w:val="single" w:color="BFBFBF"/>
            </w:tcBorders>
            <w:shd w:fill="D9EAF7"/>
          </w:tcPr>
          <w:p>
            <w:pPr>
              <w:spacing w:after="0" w:line="240" w:lineRule="auto"/>
            </w:pPr>
            <w:r>
              <w:rPr>
                <w:rFonts w:ascii="Times New Roman" w:hAnsi="Times New Roman"/>
                <w:b/>
                <w:sz w:val="16"/>
              </w:rPr>
              <w:t>Concession under Schedule 1</w:t>
            </w:r>
          </w:p>
        </w:tc>
        <w:tc>
          <w:tcPr>
            <w:tcW w:type="dxa" w:w="6336"/>
            <w:vAlign w:val="center"/>
            <w:tcBorders>
              <w:top w:sz="4" w:val="single" w:color="BFBFBF"/>
              <w:left w:sz="4" w:val="single" w:color="BFBFBF"/>
              <w:bottom w:sz="4" w:val="single" w:color="BFBFBF"/>
              <w:right w:sz="4" w:val="single" w:color="BFBFBF"/>
            </w:tcBorders>
            <w:shd w:fill="D9EAF7"/>
          </w:tcPr>
          <w:p>
            <w:pPr>
              <w:spacing w:after="0" w:line="240" w:lineRule="auto"/>
            </w:pPr>
            <w:r>
              <w:rPr>
                <w:rFonts w:ascii="Times New Roman" w:hAnsi="Times New Roman"/>
                <w:b/>
                <w:sz w:val="16"/>
              </w:rPr>
              <w:t>Translated summary</w:t>
            </w:r>
          </w:p>
        </w:tc>
      </w:tr>
      <w:tr>
        <w:tc>
          <w:tcPr>
            <w:tcW w:type="dxa" w:w="316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1% tax band</w:t>
            </w:r>
          </w:p>
        </w:tc>
        <w:tc>
          <w:tcPr>
            <w:tcW w:type="dxa" w:w="633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Up to Rs. 500,000 for an individual and Rs. 600,000 for a couple is taxed at 1%, except in cases such as pension income or contributors to specified pension/social security funds where the 1% tax does not apply.</w:t>
            </w:r>
          </w:p>
        </w:tc>
      </w:tr>
      <w:tr>
        <w:tc>
          <w:tcPr>
            <w:tcW w:type="dxa" w:w="316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Remote area deduction</w:t>
            </w:r>
          </w:p>
        </w:tc>
        <w:tc>
          <w:tcPr>
            <w:tcW w:type="dxa" w:w="633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Deduction up to Rs. 50,000 for persons working in Government-specified remote areas.</w:t>
            </w:r>
          </w:p>
        </w:tc>
      </w:tr>
      <w:tr>
        <w:tc>
          <w:tcPr>
            <w:tcW w:type="dxa" w:w="316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Foreign allowance</w:t>
            </w:r>
          </w:p>
        </w:tc>
        <w:tc>
          <w:tcPr>
            <w:tcW w:type="dxa" w:w="633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Employees of Nepali diplomatic missions abroad may deduct 75% of foreign allowance.</w:t>
            </w:r>
          </w:p>
        </w:tc>
      </w:tr>
      <w:tr>
        <w:tc>
          <w:tcPr>
            <w:tcW w:type="dxa" w:w="316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Disabled person concession</w:t>
            </w:r>
          </w:p>
        </w:tc>
        <w:tc>
          <w:tcPr>
            <w:tcW w:type="dxa" w:w="633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Additional deduction equal to 50% of the basic threshold amount.</w:t>
            </w:r>
          </w:p>
        </w:tc>
      </w:tr>
      <w:tr>
        <w:tc>
          <w:tcPr>
            <w:tcW w:type="dxa" w:w="316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Resident woman with only employment income</w:t>
            </w:r>
          </w:p>
        </w:tc>
        <w:tc>
          <w:tcPr>
            <w:tcW w:type="dxa" w:w="633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10% rebate on tax payable.</w:t>
            </w:r>
          </w:p>
        </w:tc>
      </w:tr>
      <w:tr>
        <w:tc>
          <w:tcPr>
            <w:tcW w:type="dxa" w:w="316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Investment insurance premium</w:t>
            </w:r>
          </w:p>
        </w:tc>
        <w:tc>
          <w:tcPr>
            <w:tcW w:type="dxa" w:w="633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Deduction of lower of annual premium and Rs. 40,000.</w:t>
            </w:r>
          </w:p>
        </w:tc>
      </w:tr>
      <w:tr>
        <w:tc>
          <w:tcPr>
            <w:tcW w:type="dxa" w:w="316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Health insurance premium</w:t>
            </w:r>
          </w:p>
        </w:tc>
        <w:tc>
          <w:tcPr>
            <w:tcW w:type="dxa" w:w="633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Deduction of lower of annual premium and Rs. 20,000 with a resident insurer.</w:t>
            </w:r>
          </w:p>
        </w:tc>
      </w:tr>
      <w:tr>
        <w:tc>
          <w:tcPr>
            <w:tcW w:type="dxa" w:w="3168"/>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Private building insurance premium</w:t>
            </w:r>
          </w:p>
        </w:tc>
        <w:tc>
          <w:tcPr>
            <w:tcW w:type="dxa" w:w="633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Deduction of lower of annual premium and Rs. 5,000.</w:t>
            </w:r>
          </w:p>
        </w:tc>
      </w:tr>
    </w:tbl>
    <w:p>
      <w:pPr>
        <w:pStyle w:val="Heading2"/>
        <w:spacing w:after="80" w:line="259" w:lineRule="auto"/>
      </w:pPr>
      <w:r>
        <w:rPr>
          <w:rFonts w:ascii="Times New Roman" w:hAnsi="Times New Roman"/>
          <w:b w:val="0"/>
          <w:i w:val="0"/>
        </w:rPr>
        <w:t>17.10 Tax Rates</w:t>
      </w:r>
    </w:p>
    <w:p>
      <w:pPr>
        <w:spacing w:after="80" w:line="259" w:lineRule="auto"/>
      </w:pPr>
      <w:r>
        <w:rPr>
          <w:rFonts w:ascii="Times New Roman" w:hAnsi="Times New Roman"/>
          <w:b w:val="0"/>
          <w:i w:val="0"/>
        </w:rPr>
        <w:t>For resident natural persons, the employment-income tax rates under Schedule 1, as amended by the Finance Act, 2081, are presented in the Directive as follows:</w:t>
      </w:r>
    </w:p>
    <w:tbl>
      <w:tblPr>
        <w:tblStyle w:val="TableGrid"/>
        <w:tblW w:type="auto" w:w="0"/>
        <w:jc w:val="center"/>
        <w:tblLook w:firstColumn="1" w:firstRow="1" w:lastColumn="0" w:lastRow="0" w:noHBand="0" w:noVBand="1" w:val="04A0"/>
      </w:tblPr>
      <w:tblGrid>
        <w:gridCol w:w="5184"/>
        <w:gridCol w:w="5184"/>
      </w:tblGrid>
      <w:tr>
        <w:trPr>
          <w:tblHeader w:val="true"/>
        </w:trPr>
        <w:tc>
          <w:tcPr>
            <w:tcW w:type="dxa" w:w="6624"/>
            <w:vAlign w:val="center"/>
            <w:tcBorders>
              <w:top w:sz="4" w:val="single" w:color="BFBFBF"/>
              <w:left w:sz="4" w:val="single" w:color="BFBFBF"/>
              <w:bottom w:sz="4" w:val="single" w:color="BFBFBF"/>
              <w:right w:sz="4" w:val="single" w:color="BFBFBF"/>
            </w:tcBorders>
            <w:shd w:fill="D9EAF7"/>
          </w:tcPr>
          <w:p>
            <w:pPr>
              <w:spacing w:after="0" w:line="240" w:lineRule="auto"/>
            </w:pPr>
            <w:r>
              <w:rPr>
                <w:rFonts w:ascii="Times New Roman" w:hAnsi="Times New Roman"/>
                <w:b/>
                <w:sz w:val="16"/>
              </w:rPr>
              <w:t>Taxable income slab</w:t>
            </w:r>
          </w:p>
        </w:tc>
        <w:tc>
          <w:tcPr>
            <w:tcW w:type="dxa" w:w="2160"/>
            <w:vAlign w:val="center"/>
            <w:tcBorders>
              <w:top w:sz="4" w:val="single" w:color="BFBFBF"/>
              <w:left w:sz="4" w:val="single" w:color="BFBFBF"/>
              <w:bottom w:sz="4" w:val="single" w:color="BFBFBF"/>
              <w:right w:sz="4" w:val="single" w:color="BFBFBF"/>
            </w:tcBorders>
            <w:shd w:fill="D9EAF7"/>
          </w:tcPr>
          <w:p>
            <w:pPr>
              <w:spacing w:after="0" w:line="240" w:lineRule="auto"/>
            </w:pPr>
            <w:r>
              <w:rPr>
                <w:rFonts w:ascii="Times New Roman" w:hAnsi="Times New Roman"/>
                <w:b/>
                <w:sz w:val="16"/>
              </w:rPr>
              <w:t>Rate</w:t>
            </w:r>
          </w:p>
        </w:tc>
      </w:tr>
      <w:tr>
        <w:tc>
          <w:tcPr>
            <w:tcW w:type="dxa" w:w="6624"/>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First slab: up to Rs. 500,000 for an individual; up to Rs. 600,000 for a couple</w:t>
            </w:r>
          </w:p>
        </w:tc>
        <w:tc>
          <w:tcPr>
            <w:tcW w:type="dxa" w:w="216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1%</w:t>
            </w:r>
          </w:p>
        </w:tc>
      </w:tr>
      <w:tr>
        <w:tc>
          <w:tcPr>
            <w:tcW w:type="dxa" w:w="6624"/>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Next Rs. 200,000</w:t>
            </w:r>
          </w:p>
        </w:tc>
        <w:tc>
          <w:tcPr>
            <w:tcW w:type="dxa" w:w="216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10%</w:t>
            </w:r>
          </w:p>
        </w:tc>
      </w:tr>
      <w:tr>
        <w:tc>
          <w:tcPr>
            <w:tcW w:type="dxa" w:w="6624"/>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Next Rs. 300,000</w:t>
            </w:r>
          </w:p>
        </w:tc>
        <w:tc>
          <w:tcPr>
            <w:tcW w:type="dxa" w:w="216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20%</w:t>
            </w:r>
          </w:p>
        </w:tc>
      </w:tr>
      <w:tr>
        <w:tc>
          <w:tcPr>
            <w:tcW w:type="dxa" w:w="6624"/>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Next Rs. 1,000,000 for an individual</w:t>
            </w:r>
          </w:p>
        </w:tc>
        <w:tc>
          <w:tcPr>
            <w:tcW w:type="dxa" w:w="216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30%</w:t>
            </w:r>
          </w:p>
        </w:tc>
      </w:tr>
      <w:tr>
        <w:tc>
          <w:tcPr>
            <w:tcW w:type="dxa" w:w="6624"/>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Next Rs. 900,000 for a couple</w:t>
            </w:r>
          </w:p>
        </w:tc>
        <w:tc>
          <w:tcPr>
            <w:tcW w:type="dxa" w:w="216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30%</w:t>
            </w:r>
          </w:p>
        </w:tc>
      </w:tr>
      <w:tr>
        <w:tc>
          <w:tcPr>
            <w:tcW w:type="dxa" w:w="6624"/>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Above Rs. 2,000,000 and up to Rs. 5,000,000</w:t>
            </w:r>
          </w:p>
        </w:tc>
        <w:tc>
          <w:tcPr>
            <w:tcW w:type="dxa" w:w="216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36%</w:t>
            </w:r>
          </w:p>
        </w:tc>
      </w:tr>
      <w:tr>
        <w:tc>
          <w:tcPr>
            <w:tcW w:type="dxa" w:w="6624"/>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Above Rs. 5,000,000</w:t>
            </w:r>
          </w:p>
        </w:tc>
        <w:tc>
          <w:tcPr>
            <w:tcW w:type="dxa" w:w="216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39%</w:t>
            </w:r>
          </w:p>
        </w:tc>
      </w:tr>
    </w:tbl>
    <w:p>
      <w:pPr>
        <w:spacing w:after="80" w:line="259" w:lineRule="auto"/>
      </w:pPr>
      <w:r>
        <w:rPr>
          <w:rFonts w:ascii="Times New Roman" w:hAnsi="Times New Roman"/>
          <w:b w:val="0"/>
          <w:i w:val="0"/>
        </w:rPr>
        <w:t>For a disabled person, the additional amount deductible from taxable income is Rs. 250,000 for an individual and Rs. 300,000 for a couple. A non-resident natural person is taxed at 25% on taxable income without the other concessions, and additional tax does not apply even where the taxable income exceeds Rs. 2,000,000. A resident natural person who is a woman and earns only employment income receives a 10% rebate on tax payable, computed on the total tax amount including the social security tax component.</w:t>
      </w:r>
    </w:p>
    <w:p>
      <w:pPr>
        <w:pStyle w:val="Heading2"/>
        <w:spacing w:after="80" w:line="259" w:lineRule="auto"/>
      </w:pPr>
      <w:r>
        <w:rPr>
          <w:rFonts w:ascii="Times New Roman" w:hAnsi="Times New Roman"/>
          <w:b w:val="0"/>
          <w:i w:val="0"/>
        </w:rPr>
        <w:t>17.11 Withholding and Deposit at Source</w:t>
      </w:r>
    </w:p>
    <w:p>
      <w:pPr>
        <w:spacing w:after="80" w:line="259" w:lineRule="auto"/>
      </w:pPr>
      <w:r>
        <w:rPr>
          <w:rFonts w:ascii="Times New Roman" w:hAnsi="Times New Roman"/>
          <w:b w:val="0"/>
          <w:i w:val="0"/>
        </w:rPr>
        <w:t>Every resident employer must withhold tax at source when making a Nepal-source payment included in the employment income of an employee or worker under Section 87(1). Under Section 90(2), the tax withheld and the related statement must be deposited/submitted within 25 days from the end of the month. If an employee works for the whole year, tax is computed on the estimated annual remuneration and deducted proportionately each month. If the employee joins or retires during the year, tax is computed for the period for which remuneration is paid and deducted proportionately over that period.</w:t>
      </w:r>
    </w:p>
    <w:tbl>
      <w:tblPr>
        <w:tblStyle w:val="TableGrid"/>
        <w:tblW w:type="auto" w:w="0"/>
        <w:jc w:val="center"/>
        <w:tblLook w:firstColumn="1" w:firstRow="1" w:lastColumn="0" w:lastRow="0" w:noHBand="0" w:noVBand="1" w:val="04A0"/>
      </w:tblPr>
      <w:tblGrid>
        <w:gridCol w:w="5184"/>
        <w:gridCol w:w="5184"/>
      </w:tblGrid>
      <w:tr>
        <w:trPr>
          <w:tblHeader w:val="true"/>
        </w:trPr>
        <w:tc>
          <w:tcPr>
            <w:tcW w:type="dxa" w:w="1080"/>
            <w:vAlign w:val="center"/>
            <w:tcBorders>
              <w:top w:sz="4" w:val="single" w:color="BFBFBF"/>
              <w:left w:sz="4" w:val="single" w:color="BFBFBF"/>
              <w:bottom w:sz="4" w:val="single" w:color="BFBFBF"/>
              <w:right w:sz="4" w:val="single" w:color="BFBFBF"/>
            </w:tcBorders>
            <w:shd w:fill="D9EAF7"/>
          </w:tcPr>
          <w:p>
            <w:pPr>
              <w:spacing w:after="0" w:line="240" w:lineRule="auto"/>
            </w:pPr>
            <w:r>
              <w:rPr>
                <w:rFonts w:ascii="Times New Roman" w:hAnsi="Times New Roman"/>
                <w:b/>
                <w:sz w:val="16"/>
              </w:rPr>
              <w:t>Example</w:t>
            </w:r>
          </w:p>
        </w:tc>
        <w:tc>
          <w:tcPr>
            <w:tcW w:type="dxa" w:w="8496"/>
            <w:vAlign w:val="center"/>
            <w:tcBorders>
              <w:top w:sz="4" w:val="single" w:color="BFBFBF"/>
              <w:left w:sz="4" w:val="single" w:color="BFBFBF"/>
              <w:bottom w:sz="4" w:val="single" w:color="BFBFBF"/>
              <w:right w:sz="4" w:val="single" w:color="BFBFBF"/>
            </w:tcBorders>
            <w:shd w:fill="D9EAF7"/>
          </w:tcPr>
          <w:p>
            <w:pPr>
              <w:spacing w:after="0" w:line="240" w:lineRule="auto"/>
            </w:pPr>
            <w:r>
              <w:rPr>
                <w:rFonts w:ascii="Times New Roman" w:hAnsi="Times New Roman"/>
                <w:b/>
                <w:sz w:val="16"/>
              </w:rPr>
              <w:t>Facts and computation</w:t>
            </w:r>
          </w:p>
        </w:tc>
      </w:tr>
      <w:tr>
        <w:tc>
          <w:tcPr>
            <w:tcW w:type="dxa" w:w="10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17.11.1</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Dipika, a single woman employed for the full year, receives annual salary benefit of Rs. 1,250,000. Tax: Rs. 5,000 on first Rs. 500,000; Rs. 20,000 on next Rs. 200,000; Rs. 60,000 on next Rs. 300,000; Rs. 75,000 on balance Rs. 250,000 = Rs. 160,000. Less 10% rebate for woman having only employment income = Rs. 16,000. Annual tax liability = Rs. 144,000. Monthly withholding = Rs. 12,000.</w:t>
            </w:r>
          </w:p>
        </w:tc>
      </w:tr>
      <w:tr>
        <w:tc>
          <w:tcPr>
            <w:tcW w:type="dxa" w:w="10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17.11.2</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Harendra joins Nepal Bikash Bank on 1 Poush 2080 and receives salary benefit of Rs. 880,000 for the payment period. Tax = Rs. 5,000 + Rs. 20,000 + Rs. 36,000 = Rs. 61,000. Deduct proportionately over seven months: Rs. 61,000 / 7 = Rs. 8,714.28 per month.</w:t>
            </w:r>
          </w:p>
        </w:tc>
      </w:tr>
      <w:tr>
        <w:tc>
          <w:tcPr>
            <w:tcW w:type="dxa" w:w="10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17.11.3</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Kumar joins an NGO on 1 Poush 2080 under a six-month contract and receives Rs. 1,020,000. Tax = Rs. 5,000 + Rs. 20,000 + Rs. 60,000 + Rs. 6,000 = Rs. 91,000. Deduct proportionately over six months: Rs. 15,166.66 per month.</w:t>
            </w:r>
          </w:p>
        </w:tc>
      </w:tr>
    </w:tbl>
    <w:p>
      <w:pPr>
        <w:spacing w:after="80" w:line="259" w:lineRule="auto"/>
      </w:pPr>
      <w:r>
        <w:rPr>
          <w:rFonts w:ascii="Times New Roman" w:hAnsi="Times New Roman"/>
          <w:b w:val="0"/>
          <w:i w:val="0"/>
        </w:rPr>
        <w:t>If a person withholding advance tax fails to submit withholding statements within the prescribed 25 days, a fee applies under Section 117(3). If tax is not deposited by the due date, interest applies under Section 119(1) at the normal interest rate, defined as 15% per annum, and the agent cannot recover such interest from the person subject to tax withholding. Failure to deposit tax without reasonable cause can attract penalty or imprisonment under Section 123. The employer must provide a withholding certificate in the format prescribed by the Department within 30 days from the end of the year or within 30 days from cessation of employment, as applicable.</w:t>
      </w:r>
    </w:p>
    <w:p>
      <w:pPr>
        <w:pStyle w:val="Heading2"/>
        <w:spacing w:after="80" w:line="259" w:lineRule="auto"/>
      </w:pPr>
      <w:r>
        <w:rPr>
          <w:rFonts w:ascii="Times New Roman" w:hAnsi="Times New Roman"/>
          <w:b w:val="0"/>
          <w:i w:val="0"/>
        </w:rPr>
        <w:t>17.12 Withholding on Pension Payment</w:t>
      </w:r>
    </w:p>
    <w:p>
      <w:pPr>
        <w:spacing w:after="80" w:line="259" w:lineRule="auto"/>
      </w:pPr>
      <w:r>
        <w:rPr>
          <w:rFonts w:ascii="Times New Roman" w:hAnsi="Times New Roman"/>
          <w:b w:val="0"/>
          <w:i w:val="0"/>
        </w:rPr>
        <w:t>Pension income is retirement payment arising from past employment. It is included in employment income under Section 8(2)(f) and tax is computed as in the case of employment income under Schedule 1, with withholding under Section 87. For pension income, the deduction allowed under Schedule 1 is 25% of the basic threshold: Rs. 125,000 for a single natural person and Rs. 150,000 where couple status is elected. The Directive notes that this facility was removed for FY 2077/78 only by that year's Finance Act.</w:t>
      </w:r>
    </w:p>
    <w:tbl>
      <w:tblPr>
        <w:tblStyle w:val="TableGrid"/>
        <w:tblW w:type="auto" w:w="0"/>
        <w:jc w:val="center"/>
        <w:tblLook w:firstColumn="1" w:firstRow="1" w:lastColumn="0" w:lastRow="0" w:noHBand="0" w:noVBand="1" w:val="04A0"/>
      </w:tblPr>
      <w:tblGrid>
        <w:gridCol w:w="5184"/>
        <w:gridCol w:w="5184"/>
      </w:tblGrid>
      <w:tr>
        <w:trPr>
          <w:tblHeader w:val="true"/>
        </w:trPr>
        <w:tc>
          <w:tcPr>
            <w:tcW w:type="dxa" w:w="1080"/>
            <w:vAlign w:val="center"/>
            <w:tcBorders>
              <w:top w:sz="4" w:val="single" w:color="BFBFBF"/>
              <w:left w:sz="4" w:val="single" w:color="BFBFBF"/>
              <w:bottom w:sz="4" w:val="single" w:color="BFBFBF"/>
              <w:right w:sz="4" w:val="single" w:color="BFBFBF"/>
            </w:tcBorders>
            <w:shd w:fill="D9EAF7"/>
          </w:tcPr>
          <w:p>
            <w:pPr>
              <w:spacing w:after="0" w:line="240" w:lineRule="auto"/>
            </w:pPr>
            <w:r>
              <w:rPr>
                <w:rFonts w:ascii="Times New Roman" w:hAnsi="Times New Roman"/>
                <w:b/>
                <w:sz w:val="16"/>
              </w:rPr>
              <w:t>Example</w:t>
            </w:r>
          </w:p>
        </w:tc>
        <w:tc>
          <w:tcPr>
            <w:tcW w:type="dxa" w:w="8496"/>
            <w:vAlign w:val="center"/>
            <w:tcBorders>
              <w:top w:sz="4" w:val="single" w:color="BFBFBF"/>
              <w:left w:sz="4" w:val="single" w:color="BFBFBF"/>
              <w:bottom w:sz="4" w:val="single" w:color="BFBFBF"/>
              <w:right w:sz="4" w:val="single" w:color="BFBFBF"/>
            </w:tcBorders>
            <w:shd w:fill="D9EAF7"/>
          </w:tcPr>
          <w:p>
            <w:pPr>
              <w:spacing w:after="0" w:line="240" w:lineRule="auto"/>
            </w:pPr>
            <w:r>
              <w:rPr>
                <w:rFonts w:ascii="Times New Roman" w:hAnsi="Times New Roman"/>
                <w:b/>
                <w:sz w:val="16"/>
              </w:rPr>
              <w:t>Translated point</w:t>
            </w:r>
          </w:p>
        </w:tc>
      </w:tr>
      <w:tr>
        <w:tc>
          <w:tcPr>
            <w:tcW w:type="dxa" w:w="10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17.12.1</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Bhai Raja Nepali, a disabled person retired from Government service, receives pension. The computation considers pension-specific deduction and disability concession before applying the tax rates.</w:t>
            </w:r>
          </w:p>
        </w:tc>
      </w:tr>
      <w:tr>
        <w:tc>
          <w:tcPr>
            <w:tcW w:type="dxa" w:w="10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17.12.2</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6"/>
              </w:rPr>
              <w:t>Dipika Basnet, retired from Nepal Bikash Bank, receives pension. The bank/payer must compute taxable pension income after allowable pension deduction and withhold tax accordingly.</w:t>
            </w:r>
          </w:p>
        </w:tc>
      </w:tr>
    </w:tbl>
    <w:p>
      <w:pPr>
        <w:pStyle w:val="Heading2"/>
        <w:spacing w:after="80" w:line="259" w:lineRule="auto"/>
      </w:pPr>
      <w:r>
        <w:rPr>
          <w:rFonts w:ascii="Times New Roman" w:hAnsi="Times New Roman"/>
          <w:b w:val="0"/>
          <w:i w:val="0"/>
        </w:rPr>
        <w:t>17.13 Additional Examples Related to Computation of Employment Income</w:t>
      </w:r>
    </w:p>
    <w:tbl>
      <w:tblPr>
        <w:tblStyle w:val="TableGrid"/>
        <w:tblW w:type="auto" w:w="0"/>
        <w:jc w:val="center"/>
        <w:tblLook w:firstColumn="1" w:firstRow="1" w:lastColumn="0" w:lastRow="0" w:noHBand="0" w:noVBand="1" w:val="04A0"/>
      </w:tblPr>
      <w:tblGrid>
        <w:gridCol w:w="5184"/>
        <w:gridCol w:w="5184"/>
      </w:tblGrid>
      <w:tr>
        <w:trPr>
          <w:tblHeader w:val="true"/>
        </w:trPr>
        <w:tc>
          <w:tcPr>
            <w:tcW w:type="dxa" w:w="1080"/>
            <w:vAlign w:val="center"/>
            <w:tcBorders>
              <w:top w:sz="4" w:val="single" w:color="BFBFBF"/>
              <w:left w:sz="4" w:val="single" w:color="BFBFBF"/>
              <w:bottom w:sz="4" w:val="single" w:color="BFBFBF"/>
              <w:right w:sz="4" w:val="single" w:color="BFBFBF"/>
            </w:tcBorders>
            <w:shd w:fill="D9EAF7"/>
          </w:tcPr>
          <w:p>
            <w:pPr>
              <w:spacing w:after="0" w:line="240" w:lineRule="auto"/>
            </w:pPr>
            <w:r>
              <w:rPr>
                <w:rFonts w:ascii="Times New Roman" w:hAnsi="Times New Roman"/>
                <w:b/>
                <w:sz w:val="15"/>
              </w:rPr>
              <w:t>Example</w:t>
            </w:r>
          </w:p>
        </w:tc>
        <w:tc>
          <w:tcPr>
            <w:tcW w:type="dxa" w:w="8496"/>
            <w:vAlign w:val="center"/>
            <w:tcBorders>
              <w:top w:sz="4" w:val="single" w:color="BFBFBF"/>
              <w:left w:sz="4" w:val="single" w:color="BFBFBF"/>
              <w:bottom w:sz="4" w:val="single" w:color="BFBFBF"/>
              <w:right w:sz="4" w:val="single" w:color="BFBFBF"/>
            </w:tcBorders>
            <w:shd w:fill="D9EAF7"/>
          </w:tcPr>
          <w:p>
            <w:pPr>
              <w:spacing w:after="0" w:line="240" w:lineRule="auto"/>
            </w:pPr>
            <w:r>
              <w:rPr>
                <w:rFonts w:ascii="Times New Roman" w:hAnsi="Times New Roman"/>
                <w:b/>
                <w:sz w:val="15"/>
              </w:rPr>
              <w:t>Translated outcome</w:t>
            </w:r>
          </w:p>
        </w:tc>
      </w:tr>
      <w:tr>
        <w:tc>
          <w:tcPr>
            <w:tcW w:type="dxa" w:w="10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17.13.1</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Salary and allowance of a Nepali citizen employed at the Nepal Embassy in France and paid by the Government of Nepal through the embassy has a source in Nepal. Although payment and work location are in France, the income source is Nepal. Foreign allowance deduction up to 75% may be claimed under Schedule 1.</w:t>
            </w:r>
          </w:p>
        </w:tc>
      </w:tr>
      <w:tr>
        <w:tc>
          <w:tcPr>
            <w:tcW w:type="dxa" w:w="10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17.13.2</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Gyanesh Pradhan retired from Bikash Bank Ltd. and later became a permanent resident of Australia. Pension from Nepal for FY 2080/81 remains Nepal-source income. As a non-resident, he is taxed at 25% on taxable income; resident concessions such as investment-insurance deduction and medical tax credit are not available. The bank withholds Rs. 130,000 on taxable pension of Rs. 520,000.</w:t>
            </w:r>
          </w:p>
        </w:tc>
      </w:tr>
      <w:tr>
        <w:tc>
          <w:tcPr>
            <w:tcW w:type="dxa" w:w="10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17.13.3</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A Nepal-company employee takes one-year special leave and works in Afghanistan at USD 5,000 per month. For FY 2079/80 he is non-resident and the services are performed outside Nepal for a non-Government of Nepal payer; therefore the income does not have source in Nepal and is not taxable in Nepal.</w:t>
            </w:r>
          </w:p>
        </w:tc>
      </w:tr>
      <w:tr>
        <w:tc>
          <w:tcPr>
            <w:tcW w:type="dxa" w:w="10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17.13.4</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Bhairaja has employment from a financial institution and salary from a campus. The example computes total employment assessable income of Rs. 1,368,000, deducts approved retirement contribution, donation and life insurance premium, and computes tax after medical credit. Because he has two simultaneous employers and self-claimed deductions, he must file an income return.</w:t>
            </w:r>
          </w:p>
        </w:tc>
      </w:tr>
      <w:tr>
        <w:tc>
          <w:tcPr>
            <w:tcW w:type="dxa" w:w="10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17.13.5</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If Bhairaja also has sole proprietorship business income of Rs. 200,000, total assessable income becomes Rs. 1,568,000. Retirement contribution, donation and insurance deductions are recomputed on combined income, and total tax liability is Rs. 82,860 after medical credit. Business loss, if any, cannot be set off against employment income but can be carried forward as permitted.</w:t>
            </w:r>
          </w:p>
        </w:tc>
      </w:tr>
      <w:tr>
        <w:tc>
          <w:tcPr>
            <w:tcW w:type="dxa" w:w="10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17.13.6</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If Bhairaja also has investment gain of Rs. 250,000 from disposal of listed shares held as non-business taxable asset, business, employment and investment income are combined, but the tax treatment of gain follows the special capital-gain rules where applicable.</w:t>
            </w:r>
          </w:p>
        </w:tc>
      </w:tr>
      <w:tr>
        <w:tc>
          <w:tcPr>
            <w:tcW w:type="dxa" w:w="10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17.13.7</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Laxmi Kumar Rimal contributes both to the Social Security Fund established under the Contribution-based Social Security Fund Act and to the Citizen Investment Trust. The deduction is limited to Rs. 500,000 or one-third of assessable income, whichever is lower. He cannot separately use both contribution facilities beyond the statutory aggregate limit.</w:t>
            </w:r>
          </w:p>
        </w:tc>
      </w:tr>
      <w:tr>
        <w:tc>
          <w:tcPr>
            <w:tcW w:type="dxa" w:w="10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17.13.8</w:t>
            </w:r>
          </w:p>
        </w:tc>
        <w:tc>
          <w:tcPr>
            <w:tcW w:type="dxa" w:w="8496"/>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Where Laxmi Kumar contributes only to the Social Security Fund and has taxable employment income after deductions of Rs. 3,232,000, the tax calculation in the Directive gives total tax liability of Rs. 823,520.</w:t>
            </w:r>
          </w:p>
        </w:tc>
      </w:tr>
    </w:tbl>
    <w:p>
      <w:pPr>
        <w:spacing w:after="80" w:line="259" w:lineRule="auto"/>
      </w:pPr>
      <w:r>
        <w:rPr>
          <w:rFonts w:ascii="Times New Roman" w:hAnsi="Times New Roman"/>
          <w:b/>
          <w:i w:val="0"/>
        </w:rPr>
        <w:t>Detailed computation table from Example 17.13.4</w:t>
      </w:r>
    </w:p>
    <w:tbl>
      <w:tblPr>
        <w:tblStyle w:val="TableGrid"/>
        <w:tblW w:type="auto" w:w="0"/>
        <w:jc w:val="center"/>
        <w:tblLook w:firstColumn="1" w:firstRow="1" w:lastColumn="0" w:lastRow="0" w:noHBand="0" w:noVBand="1" w:val="04A0"/>
      </w:tblPr>
      <w:tblGrid>
        <w:gridCol w:w="5184"/>
        <w:gridCol w:w="5184"/>
      </w:tblGrid>
      <w:tr>
        <w:trPr>
          <w:tblHeader w:val="true"/>
        </w:trPr>
        <w:tc>
          <w:tcPr>
            <w:tcW w:type="dxa" w:w="6480"/>
            <w:vAlign w:val="center"/>
            <w:tcBorders>
              <w:top w:sz="4" w:val="single" w:color="BFBFBF"/>
              <w:left w:sz="4" w:val="single" w:color="BFBFBF"/>
              <w:bottom w:sz="4" w:val="single" w:color="BFBFBF"/>
              <w:right w:sz="4" w:val="single" w:color="BFBFBF"/>
            </w:tcBorders>
            <w:shd w:fill="D9EAF7"/>
          </w:tcPr>
          <w:p>
            <w:pPr>
              <w:spacing w:after="0" w:line="240" w:lineRule="auto"/>
            </w:pPr>
            <w:r>
              <w:rPr>
                <w:rFonts w:ascii="Times New Roman" w:hAnsi="Times New Roman"/>
                <w:b/>
                <w:sz w:val="15"/>
              </w:rPr>
              <w:t>Particulars</w:t>
            </w:r>
          </w:p>
        </w:tc>
        <w:tc>
          <w:tcPr>
            <w:tcW w:type="dxa" w:w="2592"/>
            <w:vAlign w:val="center"/>
            <w:tcBorders>
              <w:top w:sz="4" w:val="single" w:color="BFBFBF"/>
              <w:left w:sz="4" w:val="single" w:color="BFBFBF"/>
              <w:bottom w:sz="4" w:val="single" w:color="BFBFBF"/>
              <w:right w:sz="4" w:val="single" w:color="BFBFBF"/>
            </w:tcBorders>
            <w:shd w:fill="D9EAF7"/>
          </w:tcPr>
          <w:p>
            <w:pPr>
              <w:spacing w:after="0" w:line="240" w:lineRule="auto"/>
            </w:pPr>
            <w:r>
              <w:rPr>
                <w:rFonts w:ascii="Times New Roman" w:hAnsi="Times New Roman"/>
                <w:b/>
                <w:sz w:val="15"/>
              </w:rPr>
              <w:t>Amount</w:t>
            </w:r>
          </w:p>
        </w:tc>
      </w:tr>
      <w:tr>
        <w:tc>
          <w:tcPr>
            <w:tcW w:type="dxa" w:w="64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Salary</w:t>
            </w:r>
          </w:p>
        </w:tc>
        <w:tc>
          <w:tcPr>
            <w:tcW w:type="dxa" w:w="25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Rs. 720,000</w:t>
            </w:r>
          </w:p>
        </w:tc>
      </w:tr>
      <w:tr>
        <w:tc>
          <w:tcPr>
            <w:tcW w:type="dxa" w:w="64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Dashain expenses</w:t>
            </w:r>
          </w:p>
        </w:tc>
        <w:tc>
          <w:tcPr>
            <w:tcW w:type="dxa" w:w="25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Rs. 60,000</w:t>
            </w:r>
          </w:p>
        </w:tc>
      </w:tr>
      <w:tr>
        <w:tc>
          <w:tcPr>
            <w:tcW w:type="dxa" w:w="64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Education allowance</w:t>
            </w:r>
          </w:p>
        </w:tc>
        <w:tc>
          <w:tcPr>
            <w:tcW w:type="dxa" w:w="25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Rs. 60,000</w:t>
            </w:r>
          </w:p>
        </w:tc>
      </w:tr>
      <w:tr>
        <w:tc>
          <w:tcPr>
            <w:tcW w:type="dxa" w:w="64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Dearness allowance</w:t>
            </w:r>
          </w:p>
        </w:tc>
        <w:tc>
          <w:tcPr>
            <w:tcW w:type="dxa" w:w="25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Rs. 60,000</w:t>
            </w:r>
          </w:p>
        </w:tc>
      </w:tr>
      <w:tr>
        <w:tc>
          <w:tcPr>
            <w:tcW w:type="dxa" w:w="64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Bonus</w:t>
            </w:r>
          </w:p>
        </w:tc>
        <w:tc>
          <w:tcPr>
            <w:tcW w:type="dxa" w:w="25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Rs. 60,000</w:t>
            </w:r>
          </w:p>
        </w:tc>
      </w:tr>
      <w:tr>
        <w:tc>
          <w:tcPr>
            <w:tcW w:type="dxa" w:w="64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Vehicle benefit</w:t>
            </w:r>
          </w:p>
        </w:tc>
        <w:tc>
          <w:tcPr>
            <w:tcW w:type="dxa" w:w="25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Rs. 3,600</w:t>
            </w:r>
          </w:p>
        </w:tc>
      </w:tr>
      <w:tr>
        <w:tc>
          <w:tcPr>
            <w:tcW w:type="dxa" w:w="64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Accommodation benefit</w:t>
            </w:r>
          </w:p>
        </w:tc>
        <w:tc>
          <w:tcPr>
            <w:tcW w:type="dxa" w:w="25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Rs. 14,400</w:t>
            </w:r>
          </w:p>
        </w:tc>
      </w:tr>
      <w:tr>
        <w:tc>
          <w:tcPr>
            <w:tcW w:type="dxa" w:w="64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Personal telephone cost</w:t>
            </w:r>
          </w:p>
        </w:tc>
        <w:tc>
          <w:tcPr>
            <w:tcW w:type="dxa" w:w="25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Rs. 12,000</w:t>
            </w:r>
          </w:p>
        </w:tc>
      </w:tr>
      <w:tr>
        <w:tc>
          <w:tcPr>
            <w:tcW w:type="dxa" w:w="64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Security guard benefit after recovery</w:t>
            </w:r>
          </w:p>
        </w:tc>
        <w:tc>
          <w:tcPr>
            <w:tcW w:type="dxa" w:w="25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Rs. 36,000</w:t>
            </w:r>
          </w:p>
        </w:tc>
      </w:tr>
      <w:tr>
        <w:tc>
          <w:tcPr>
            <w:tcW w:type="dxa" w:w="64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Concessional loan benefit</w:t>
            </w:r>
          </w:p>
        </w:tc>
        <w:tc>
          <w:tcPr>
            <w:tcW w:type="dxa" w:w="25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Rs. 90,000</w:t>
            </w:r>
          </w:p>
        </w:tc>
      </w:tr>
      <w:tr>
        <w:tc>
          <w:tcPr>
            <w:tcW w:type="dxa" w:w="64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Leave salary</w:t>
            </w:r>
          </w:p>
        </w:tc>
        <w:tc>
          <w:tcPr>
            <w:tcW w:type="dxa" w:w="25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Rs. 60,000</w:t>
            </w:r>
          </w:p>
        </w:tc>
      </w:tr>
      <w:tr>
        <w:tc>
          <w:tcPr>
            <w:tcW w:type="dxa" w:w="64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Retirement fund contribution included</w:t>
            </w:r>
          </w:p>
        </w:tc>
        <w:tc>
          <w:tcPr>
            <w:tcW w:type="dxa" w:w="25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Rs. 72,000</w:t>
            </w:r>
          </w:p>
        </w:tc>
      </w:tr>
      <w:tr>
        <w:tc>
          <w:tcPr>
            <w:tcW w:type="dxa" w:w="64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Total from financial institution</w:t>
            </w:r>
          </w:p>
        </w:tc>
        <w:tc>
          <w:tcPr>
            <w:tcW w:type="dxa" w:w="25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Rs. 1,248,000</w:t>
            </w:r>
          </w:p>
        </w:tc>
      </w:tr>
      <w:tr>
        <w:tc>
          <w:tcPr>
            <w:tcW w:type="dxa" w:w="64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Campus teaching salary</w:t>
            </w:r>
          </w:p>
        </w:tc>
        <w:tc>
          <w:tcPr>
            <w:tcW w:type="dxa" w:w="25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Rs. 120,000</w:t>
            </w:r>
          </w:p>
        </w:tc>
      </w:tr>
      <w:tr>
        <w:tc>
          <w:tcPr>
            <w:tcW w:type="dxa" w:w="64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Employment assessable income</w:t>
            </w:r>
          </w:p>
        </w:tc>
        <w:tc>
          <w:tcPr>
            <w:tcW w:type="dxa" w:w="25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Rs. 1,368,000</w:t>
            </w:r>
          </w:p>
        </w:tc>
      </w:tr>
      <w:tr>
        <w:tc>
          <w:tcPr>
            <w:tcW w:type="dxa" w:w="64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Less: approved retirement contribution</w:t>
            </w:r>
          </w:p>
        </w:tc>
        <w:tc>
          <w:tcPr>
            <w:tcW w:type="dxa" w:w="25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(Rs. 384,000)</w:t>
            </w:r>
          </w:p>
        </w:tc>
      </w:tr>
      <w:tr>
        <w:tc>
          <w:tcPr>
            <w:tcW w:type="dxa" w:w="64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Adjusted taxable income</w:t>
            </w:r>
          </w:p>
        </w:tc>
        <w:tc>
          <w:tcPr>
            <w:tcW w:type="dxa" w:w="25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Rs. 984,000</w:t>
            </w:r>
          </w:p>
        </w:tc>
      </w:tr>
      <w:tr>
        <w:tc>
          <w:tcPr>
            <w:tcW w:type="dxa" w:w="64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Less: donation deduction</w:t>
            </w:r>
          </w:p>
        </w:tc>
        <w:tc>
          <w:tcPr>
            <w:tcW w:type="dxa" w:w="25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(Rs. 49,200)</w:t>
            </w:r>
          </w:p>
        </w:tc>
      </w:tr>
      <w:tr>
        <w:tc>
          <w:tcPr>
            <w:tcW w:type="dxa" w:w="64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Taxable income before insurance</w:t>
            </w:r>
          </w:p>
        </w:tc>
        <w:tc>
          <w:tcPr>
            <w:tcW w:type="dxa" w:w="25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Rs. 934,800</w:t>
            </w:r>
          </w:p>
        </w:tc>
      </w:tr>
      <w:tr>
        <w:tc>
          <w:tcPr>
            <w:tcW w:type="dxa" w:w="64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Less: life insurance premium</w:t>
            </w:r>
          </w:p>
        </w:tc>
        <w:tc>
          <w:tcPr>
            <w:tcW w:type="dxa" w:w="25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(Rs. 33,000)</w:t>
            </w:r>
          </w:p>
        </w:tc>
      </w:tr>
      <w:tr>
        <w:tc>
          <w:tcPr>
            <w:tcW w:type="dxa" w:w="64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Taxable income for tax computation</w:t>
            </w:r>
          </w:p>
        </w:tc>
        <w:tc>
          <w:tcPr>
            <w:tcW w:type="dxa" w:w="25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Rs. 901,800</w:t>
            </w:r>
          </w:p>
        </w:tc>
      </w:tr>
      <w:tr>
        <w:tc>
          <w:tcPr>
            <w:tcW w:type="dxa" w:w="64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Tax before medical credit</w:t>
            </w:r>
          </w:p>
        </w:tc>
        <w:tc>
          <w:tcPr>
            <w:tcW w:type="dxa" w:w="25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Rs. 46,360</w:t>
            </w:r>
          </w:p>
        </w:tc>
      </w:tr>
      <w:tr>
        <w:tc>
          <w:tcPr>
            <w:tcW w:type="dxa" w:w="64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Less: medical tax credit</w:t>
            </w:r>
          </w:p>
        </w:tc>
        <w:tc>
          <w:tcPr>
            <w:tcW w:type="dxa" w:w="25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(Rs. 1,500)</w:t>
            </w:r>
          </w:p>
        </w:tc>
      </w:tr>
      <w:tr>
        <w:tc>
          <w:tcPr>
            <w:tcW w:type="dxa" w:w="64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Total tax liability</w:t>
            </w:r>
          </w:p>
        </w:tc>
        <w:tc>
          <w:tcPr>
            <w:tcW w:type="dxa" w:w="25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Rs. 44,860</w:t>
            </w:r>
          </w:p>
        </w:tc>
      </w:tr>
    </w:tbl>
    <w:p>
      <w:pPr>
        <w:spacing w:after="80" w:line="259" w:lineRule="auto"/>
      </w:pPr>
      <w:r>
        <w:rPr>
          <w:rFonts w:ascii="Times New Roman" w:hAnsi="Times New Roman"/>
          <w:b/>
          <w:i w:val="0"/>
        </w:rPr>
        <w:t>Detailed computation table from Example 17.13.8</w:t>
      </w:r>
    </w:p>
    <w:tbl>
      <w:tblPr>
        <w:tblStyle w:val="TableGrid"/>
        <w:tblW w:type="auto" w:w="0"/>
        <w:jc w:val="center"/>
        <w:tblLook w:firstColumn="1" w:firstRow="1" w:lastColumn="0" w:lastRow="0" w:noHBand="0" w:noVBand="1" w:val="04A0"/>
      </w:tblPr>
      <w:tblGrid>
        <w:gridCol w:w="5184"/>
        <w:gridCol w:w="5184"/>
      </w:tblGrid>
      <w:tr>
        <w:trPr>
          <w:tblHeader w:val="true"/>
        </w:trPr>
        <w:tc>
          <w:tcPr>
            <w:tcW w:type="dxa" w:w="6480"/>
            <w:vAlign w:val="center"/>
            <w:tcBorders>
              <w:top w:sz="4" w:val="single" w:color="BFBFBF"/>
              <w:left w:sz="4" w:val="single" w:color="BFBFBF"/>
              <w:bottom w:sz="4" w:val="single" w:color="BFBFBF"/>
              <w:right w:sz="4" w:val="single" w:color="BFBFBF"/>
            </w:tcBorders>
            <w:shd w:fill="D9EAF7"/>
          </w:tcPr>
          <w:p>
            <w:pPr>
              <w:spacing w:after="0" w:line="240" w:lineRule="auto"/>
            </w:pPr>
            <w:r>
              <w:rPr>
                <w:rFonts w:ascii="Times New Roman" w:hAnsi="Times New Roman"/>
                <w:b/>
                <w:sz w:val="15"/>
              </w:rPr>
              <w:t>Particulars</w:t>
            </w:r>
          </w:p>
        </w:tc>
        <w:tc>
          <w:tcPr>
            <w:tcW w:type="dxa" w:w="2592"/>
            <w:vAlign w:val="center"/>
            <w:tcBorders>
              <w:top w:sz="4" w:val="single" w:color="BFBFBF"/>
              <w:left w:sz="4" w:val="single" w:color="BFBFBF"/>
              <w:bottom w:sz="4" w:val="single" w:color="BFBFBF"/>
              <w:right w:sz="4" w:val="single" w:color="BFBFBF"/>
            </w:tcBorders>
            <w:shd w:fill="D9EAF7"/>
          </w:tcPr>
          <w:p>
            <w:pPr>
              <w:spacing w:after="0" w:line="240" w:lineRule="auto"/>
            </w:pPr>
            <w:r>
              <w:rPr>
                <w:rFonts w:ascii="Times New Roman" w:hAnsi="Times New Roman"/>
                <w:b/>
                <w:sz w:val="15"/>
              </w:rPr>
              <w:t>Amount</w:t>
            </w:r>
          </w:p>
        </w:tc>
      </w:tr>
      <w:tr>
        <w:tc>
          <w:tcPr>
            <w:tcW w:type="dxa" w:w="64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Salary</w:t>
            </w:r>
          </w:p>
        </w:tc>
        <w:tc>
          <w:tcPr>
            <w:tcW w:type="dxa" w:w="25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Rs. 2,400,000</w:t>
            </w:r>
          </w:p>
        </w:tc>
      </w:tr>
      <w:tr>
        <w:tc>
          <w:tcPr>
            <w:tcW w:type="dxa" w:w="64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Dashain expenses</w:t>
            </w:r>
          </w:p>
        </w:tc>
        <w:tc>
          <w:tcPr>
            <w:tcW w:type="dxa" w:w="25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Rs. 200,000</w:t>
            </w:r>
          </w:p>
        </w:tc>
      </w:tr>
      <w:tr>
        <w:tc>
          <w:tcPr>
            <w:tcW w:type="dxa" w:w="64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Education allowance</w:t>
            </w:r>
          </w:p>
        </w:tc>
        <w:tc>
          <w:tcPr>
            <w:tcW w:type="dxa" w:w="25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Rs. 120,000</w:t>
            </w:r>
          </w:p>
        </w:tc>
      </w:tr>
      <w:tr>
        <w:tc>
          <w:tcPr>
            <w:tcW w:type="dxa" w:w="64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Dearness allowance</w:t>
            </w:r>
          </w:p>
        </w:tc>
        <w:tc>
          <w:tcPr>
            <w:tcW w:type="dxa" w:w="25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Rs. 120,000</w:t>
            </w:r>
          </w:p>
        </w:tc>
      </w:tr>
      <w:tr>
        <w:tc>
          <w:tcPr>
            <w:tcW w:type="dxa" w:w="64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Bonus</w:t>
            </w:r>
          </w:p>
        </w:tc>
        <w:tc>
          <w:tcPr>
            <w:tcW w:type="dxa" w:w="25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Rs. 200,000</w:t>
            </w:r>
          </w:p>
        </w:tc>
      </w:tr>
      <w:tr>
        <w:tc>
          <w:tcPr>
            <w:tcW w:type="dxa" w:w="64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Vehicle benefit</w:t>
            </w:r>
          </w:p>
        </w:tc>
        <w:tc>
          <w:tcPr>
            <w:tcW w:type="dxa" w:w="25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Rs. 12,000</w:t>
            </w:r>
          </w:p>
        </w:tc>
      </w:tr>
      <w:tr>
        <w:tc>
          <w:tcPr>
            <w:tcW w:type="dxa" w:w="64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Accommodation benefit</w:t>
            </w:r>
          </w:p>
        </w:tc>
        <w:tc>
          <w:tcPr>
            <w:tcW w:type="dxa" w:w="25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Rs. 48,000</w:t>
            </w:r>
          </w:p>
        </w:tc>
      </w:tr>
      <w:tr>
        <w:tc>
          <w:tcPr>
            <w:tcW w:type="dxa" w:w="64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Personal telephone cost</w:t>
            </w:r>
          </w:p>
        </w:tc>
        <w:tc>
          <w:tcPr>
            <w:tcW w:type="dxa" w:w="25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Rs. 36,000</w:t>
            </w:r>
          </w:p>
        </w:tc>
      </w:tr>
      <w:tr>
        <w:tc>
          <w:tcPr>
            <w:tcW w:type="dxa" w:w="64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Security guard benefit after recovery</w:t>
            </w:r>
          </w:p>
        </w:tc>
        <w:tc>
          <w:tcPr>
            <w:tcW w:type="dxa" w:w="25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Rs. 96,000</w:t>
            </w:r>
          </w:p>
        </w:tc>
      </w:tr>
      <w:tr>
        <w:tc>
          <w:tcPr>
            <w:tcW w:type="dxa" w:w="64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Concessional loan benefit</w:t>
            </w:r>
          </w:p>
        </w:tc>
        <w:tc>
          <w:tcPr>
            <w:tcW w:type="dxa" w:w="25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Rs. 90,000</w:t>
            </w:r>
          </w:p>
        </w:tc>
      </w:tr>
      <w:tr>
        <w:tc>
          <w:tcPr>
            <w:tcW w:type="dxa" w:w="64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Leave salary</w:t>
            </w:r>
          </w:p>
        </w:tc>
        <w:tc>
          <w:tcPr>
            <w:tcW w:type="dxa" w:w="25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Rs. 200,000</w:t>
            </w:r>
          </w:p>
        </w:tc>
      </w:tr>
      <w:tr>
        <w:tc>
          <w:tcPr>
            <w:tcW w:type="dxa" w:w="64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Social Security Fund contribution included</w:t>
            </w:r>
          </w:p>
        </w:tc>
        <w:tc>
          <w:tcPr>
            <w:tcW w:type="dxa" w:w="25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Rs. 240,000</w:t>
            </w:r>
          </w:p>
        </w:tc>
      </w:tr>
      <w:tr>
        <w:tc>
          <w:tcPr>
            <w:tcW w:type="dxa" w:w="64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Employment assessable income</w:t>
            </w:r>
          </w:p>
        </w:tc>
        <w:tc>
          <w:tcPr>
            <w:tcW w:type="dxa" w:w="25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Rs. 3,762,000</w:t>
            </w:r>
          </w:p>
        </w:tc>
      </w:tr>
      <w:tr>
        <w:tc>
          <w:tcPr>
            <w:tcW w:type="dxa" w:w="64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Less: allowable Social Security Fund contribution</w:t>
            </w:r>
          </w:p>
        </w:tc>
        <w:tc>
          <w:tcPr>
            <w:tcW w:type="dxa" w:w="25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(Rs. 480,000)</w:t>
            </w:r>
          </w:p>
        </w:tc>
      </w:tr>
      <w:tr>
        <w:tc>
          <w:tcPr>
            <w:tcW w:type="dxa" w:w="64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Taxable income</w:t>
            </w:r>
          </w:p>
        </w:tc>
        <w:tc>
          <w:tcPr>
            <w:tcW w:type="dxa" w:w="25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Rs. 3,282,000</w:t>
            </w:r>
          </w:p>
        </w:tc>
      </w:tr>
      <w:tr>
        <w:tc>
          <w:tcPr>
            <w:tcW w:type="dxa" w:w="64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Less: life insurance premium</w:t>
            </w:r>
          </w:p>
        </w:tc>
        <w:tc>
          <w:tcPr>
            <w:tcW w:type="dxa" w:w="25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(Rs. 30,000)</w:t>
            </w:r>
          </w:p>
        </w:tc>
      </w:tr>
      <w:tr>
        <w:tc>
          <w:tcPr>
            <w:tcW w:type="dxa" w:w="64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Less: health insurance premium</w:t>
            </w:r>
          </w:p>
        </w:tc>
        <w:tc>
          <w:tcPr>
            <w:tcW w:type="dxa" w:w="25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(Rs. 20,000)</w:t>
            </w:r>
          </w:p>
        </w:tc>
      </w:tr>
      <w:tr>
        <w:tc>
          <w:tcPr>
            <w:tcW w:type="dxa" w:w="64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Taxable income for tax computation</w:t>
            </w:r>
          </w:p>
        </w:tc>
        <w:tc>
          <w:tcPr>
            <w:tcW w:type="dxa" w:w="25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Rs. 3,232,000</w:t>
            </w:r>
          </w:p>
        </w:tc>
      </w:tr>
      <w:tr>
        <w:tc>
          <w:tcPr>
            <w:tcW w:type="dxa" w:w="64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Tax on first Rs. 500,000</w:t>
            </w:r>
          </w:p>
        </w:tc>
        <w:tc>
          <w:tcPr>
            <w:tcW w:type="dxa" w:w="25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Nil / as per SSF-specific rule in the example</w:t>
            </w:r>
          </w:p>
        </w:tc>
      </w:tr>
      <w:tr>
        <w:tc>
          <w:tcPr>
            <w:tcW w:type="dxa" w:w="64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Tax on next Rs. 200,000 @10%</w:t>
            </w:r>
          </w:p>
        </w:tc>
        <w:tc>
          <w:tcPr>
            <w:tcW w:type="dxa" w:w="25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Rs. 20,000</w:t>
            </w:r>
          </w:p>
        </w:tc>
      </w:tr>
      <w:tr>
        <w:tc>
          <w:tcPr>
            <w:tcW w:type="dxa" w:w="64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Tax on next Rs. 300,000 @20%</w:t>
            </w:r>
          </w:p>
        </w:tc>
        <w:tc>
          <w:tcPr>
            <w:tcW w:type="dxa" w:w="25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Rs. 60,000</w:t>
            </w:r>
          </w:p>
        </w:tc>
      </w:tr>
      <w:tr>
        <w:tc>
          <w:tcPr>
            <w:tcW w:type="dxa" w:w="64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Tax on next Rs. 1,000,000 @30%</w:t>
            </w:r>
          </w:p>
        </w:tc>
        <w:tc>
          <w:tcPr>
            <w:tcW w:type="dxa" w:w="25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Rs. 300,000</w:t>
            </w:r>
          </w:p>
        </w:tc>
      </w:tr>
      <w:tr>
        <w:tc>
          <w:tcPr>
            <w:tcW w:type="dxa" w:w="64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Tax on balance Rs. 1,232,000 @36%</w:t>
            </w:r>
          </w:p>
        </w:tc>
        <w:tc>
          <w:tcPr>
            <w:tcW w:type="dxa" w:w="25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Rs. 443,520</w:t>
            </w:r>
          </w:p>
        </w:tc>
      </w:tr>
      <w:tr>
        <w:tc>
          <w:tcPr>
            <w:tcW w:type="dxa" w:w="6480"/>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Total tax liability</w:t>
            </w:r>
          </w:p>
        </w:tc>
        <w:tc>
          <w:tcPr>
            <w:tcW w:type="dxa" w:w="2592"/>
            <w:vAlign w:val="center"/>
            <w:tcBorders>
              <w:top w:sz="4" w:val="single" w:color="BFBFBF"/>
              <w:left w:sz="4" w:val="single" w:color="BFBFBF"/>
              <w:bottom w:sz="4" w:val="single" w:color="BFBFBF"/>
              <w:right w:sz="4" w:val="single" w:color="BFBFBF"/>
            </w:tcBorders>
          </w:tcPr>
          <w:p>
            <w:pPr>
              <w:spacing w:after="0" w:line="240" w:lineRule="auto"/>
            </w:pPr>
            <w:r>
              <w:rPr>
                <w:rFonts w:ascii="Times New Roman" w:hAnsi="Times New Roman"/>
                <w:sz w:val="15"/>
              </w:rPr>
              <w:t>Rs. 823,520</w:t>
            </w:r>
          </w:p>
        </w:tc>
      </w:tr>
    </w:tbl>
    <w:p>
      <w:pPr>
        <w:pStyle w:val="Heading2"/>
        <w:spacing w:after="80" w:line="259" w:lineRule="auto"/>
        <w:jc w:val="center"/>
      </w:pPr>
      <w:r>
        <w:rPr>
          <w:rFonts w:ascii="Times New Roman" w:hAnsi="Times New Roman"/>
          <w:b w:val="0"/>
          <w:i w:val="0"/>
        </w:rPr>
        <w:t>End of Part 17</w:t>
      </w:r>
    </w:p>
    <w:p>
      <w:r>
        <w:br w:type="page"/>
      </w:r>
    </w:p>
    <w:p>
      <w:pPr>
        <w:jc w:val="center"/>
      </w:pPr>
      <w:r>
        <w:rPr>
          <w:rFonts w:ascii="Times New Roman" w:hAnsi="Times New Roman" w:eastAsia="Times New Roman"/>
          <w:b/>
          <w:sz w:val="32"/>
        </w:rPr>
        <w:t>Income Tax Directive, 2066</w:t>
        <w:br/>
        <w:t>(with Fifth Amendment, 2081)</w:t>
      </w:r>
    </w:p>
    <w:p>
      <w:pPr>
        <w:pStyle w:val="Title"/>
        <w:spacing w:after="80"/>
        <w:jc w:val="center"/>
      </w:pPr>
      <w:r>
        <w:rPr>
          <w:rFonts w:ascii="Times New Roman" w:hAnsi="Times New Roman" w:eastAsia="Times New Roman"/>
          <w:b w:val="0"/>
          <w:i w:val="0"/>
          <w:sz w:val="21"/>
        </w:rPr>
        <w:t>English Translation - Part 18</w:t>
      </w:r>
    </w:p>
    <w:p>
      <w:pPr>
        <w:pStyle w:val="Title"/>
        <w:spacing w:after="80"/>
        <w:jc w:val="center"/>
      </w:pPr>
      <w:r>
        <w:rPr>
          <w:rFonts w:ascii="Times New Roman" w:hAnsi="Times New Roman" w:eastAsia="Times New Roman"/>
          <w:b w:val="0"/>
          <w:i w:val="0"/>
          <w:sz w:val="21"/>
        </w:rPr>
        <w:t>Chapter 18: Computation of Income from Business</w:t>
      </w:r>
    </w:p>
    <w:p>
      <w:pPr>
        <w:spacing w:after="80"/>
        <w:jc w:val="center"/>
      </w:pPr>
      <w:r>
        <w:rPr>
          <w:rFonts w:ascii="Times New Roman" w:hAnsi="Times New Roman" w:eastAsia="Times New Roman"/>
          <w:b w:val="0"/>
          <w:i/>
          <w:sz w:val="21"/>
        </w:rPr>
        <w:t>Source pages: Directive pages 323-370</w:t>
      </w:r>
    </w:p>
    <w:p>
      <w:pPr>
        <w:spacing w:after="80"/>
      </w:pPr>
      <w:r>
        <w:rPr>
          <w:rFonts w:ascii="Times New Roman" w:hAnsi="Times New Roman" w:eastAsia="Times New Roman"/>
          <w:b w:val="0"/>
          <w:i/>
          <w:sz w:val="21"/>
        </w:rPr>
        <w:t>Working translation prepared in Word format. The sequence, numbering, statutory references, examples and tabular presentation are preserved as far as practicable. Statutory terms are aligned with the official English Income Tax Act, 2002 (2058) terminology where applicable.</w:t>
      </w:r>
    </w:p>
    <w:p>
      <w:r>
        <w:br w:type="page"/>
      </w:r>
    </w:p>
    <w:p>
      <w:pPr>
        <w:pStyle w:val="Heading1"/>
      </w:pPr>
      <w:r>
        <w:t>Chapter 18</w:t>
      </w:r>
    </w:p>
    <w:p>
      <w:pPr>
        <w:pStyle w:val="Heading1"/>
      </w:pPr>
      <w:r>
        <w:t>Computation of Income from Business</w:t>
      </w:r>
    </w:p>
    <w:p>
      <w:pPr>
        <w:pStyle w:val="Heading2"/>
      </w:pPr>
      <w:r>
        <w:t>18.1 Introduction</w:t>
      </w:r>
    </w:p>
    <w:p>
      <w:pPr>
        <w:spacing w:after="80"/>
      </w:pPr>
      <w:r>
        <w:rPr>
          <w:rFonts w:ascii="Times New Roman" w:hAnsi="Times New Roman" w:eastAsia="Times New Roman"/>
          <w:b w:val="0"/>
          <w:i w:val="0"/>
          <w:sz w:val="21"/>
        </w:rPr>
        <w:t>The Income Tax Act, 2058 classifies income under four heads: business, employment, investment and windfall gain. Business income is one of the principal heads of income. Generally, income from business is earned through the use of capital, resources and labour. For the purpose of computing business income, expenses connected with earning such income may be claimed as deductions, subject to the Act and to generally accepted accounting principles.</w:t>
      </w:r>
    </w:p>
    <w:p>
      <w:pPr>
        <w:spacing w:after="80"/>
      </w:pPr>
      <w:r>
        <w:rPr>
          <w:rFonts w:ascii="Times New Roman" w:hAnsi="Times New Roman" w:eastAsia="Times New Roman"/>
          <w:b w:val="0"/>
          <w:i w:val="0"/>
          <w:sz w:val="21"/>
        </w:rPr>
        <w:t>This chapter explains the main rules relevant to computing business income, including amounts to be included in income, business exemptions and concessions, deductible amounts, tax accounting and timing, depreciation under Schedule 2, losses from business and expenses that are not deductible.</w:t>
      </w:r>
    </w:p>
    <w:p>
      <w:pPr>
        <w:pStyle w:val="Heading2"/>
      </w:pPr>
      <w:r>
        <w:t>18.2 Business</w:t>
      </w:r>
    </w:p>
    <w:p>
      <w:pPr>
        <w:spacing w:after="80"/>
      </w:pPr>
      <w:r>
        <w:rPr>
          <w:rFonts w:ascii="Times New Roman" w:hAnsi="Times New Roman" w:eastAsia="Times New Roman"/>
          <w:b w:val="0"/>
          <w:i w:val="0"/>
          <w:sz w:val="21"/>
        </w:rPr>
        <w:t>Section 5 classifies income for an income year under the heads of business, employment, investment and windfall gain. Section 2 defines business as any industry, trade, profession or similar business transaction, including a past, present or prospective business, but excluding employment.</w:t>
      </w:r>
    </w:p>
    <w:p>
      <w:pPr>
        <w:spacing w:after="80"/>
      </w:pPr>
      <w:r>
        <w:rPr>
          <w:rFonts w:ascii="Times New Roman" w:hAnsi="Times New Roman" w:eastAsia="Times New Roman"/>
          <w:b w:val="0"/>
          <w:i w:val="0"/>
          <w:sz w:val="21"/>
        </w:rPr>
        <w:t>Employment normally involves the use of labour under the control of an employer. Investment generally involves holding assets to earn income without active engagement. Business, however, involves active engagement in earning income and managing assets or transactions. Industry, trading, profession and similar commercial transactions are included within business.</w:t>
      </w:r>
    </w:p>
    <w:p>
      <w:pPr>
        <w:spacing w:after="80"/>
      </w:pPr>
      <w:r>
        <w:rPr>
          <w:rFonts w:ascii="Times New Roman" w:hAnsi="Times New Roman" w:eastAsia="Times New Roman"/>
          <w:b w:val="0"/>
          <w:i w:val="0"/>
          <w:sz w:val="21"/>
        </w:rPr>
        <w:t>Professional services may sometimes be confused with employment. The Directive distinguishes an independent contractor from an employee by considering the following indicators:</w:t>
      </w:r>
    </w:p>
    <w:tbl>
      <w:tblPr>
        <w:tblStyle w:val="TableGrid"/>
        <w:tblW w:type="auto" w:w="0"/>
        <w:jc w:val="center"/>
        <w:tblLook w:firstColumn="1" w:firstRow="1" w:lastColumn="0" w:lastRow="0" w:noHBand="0" w:noVBand="1" w:val="04A0"/>
      </w:tblPr>
      <w:tblGrid>
        <w:gridCol w:w="3437"/>
        <w:gridCol w:w="3437"/>
        <w:gridCol w:w="3437"/>
      </w:tblGrid>
      <w:tr>
        <w:tc>
          <w:tcPr>
            <w:tcW w:type="dxa" w:w="2381"/>
            <w:vAlign w:val="top"/>
            <w:shd w:fill="D9EAF7"/>
          </w:tcPr>
          <w:p>
            <w:pPr>
              <w:spacing w:after="0"/>
            </w:pPr>
            <w:r/>
            <w:r>
              <w:rPr>
                <w:rFonts w:ascii="Times New Roman" w:hAnsi="Times New Roman" w:eastAsia="Times New Roman"/>
                <w:b/>
                <w:sz w:val="18"/>
              </w:rPr>
              <w:t>Indicator</w:t>
            </w:r>
          </w:p>
        </w:tc>
        <w:tc>
          <w:tcPr>
            <w:tcW w:type="dxa" w:w="3402"/>
            <w:vAlign w:val="top"/>
            <w:shd w:fill="D9EAF7"/>
          </w:tcPr>
          <w:p>
            <w:pPr>
              <w:spacing w:after="0"/>
            </w:pPr>
            <w:r/>
            <w:r>
              <w:rPr>
                <w:rFonts w:ascii="Times New Roman" w:hAnsi="Times New Roman" w:eastAsia="Times New Roman"/>
                <w:b/>
                <w:sz w:val="18"/>
              </w:rPr>
              <w:t>Independent contractor / business</w:t>
            </w:r>
          </w:p>
        </w:tc>
        <w:tc>
          <w:tcPr>
            <w:tcW w:type="dxa" w:w="3402"/>
            <w:vAlign w:val="top"/>
            <w:shd w:fill="D9EAF7"/>
          </w:tcPr>
          <w:p>
            <w:pPr>
              <w:spacing w:after="0"/>
            </w:pPr>
            <w:r/>
            <w:r>
              <w:rPr>
                <w:rFonts w:ascii="Times New Roman" w:hAnsi="Times New Roman" w:eastAsia="Times New Roman"/>
                <w:b/>
                <w:sz w:val="18"/>
              </w:rPr>
              <w:t>Employee / employment</w:t>
            </w:r>
          </w:p>
        </w:tc>
      </w:tr>
      <w:tr>
        <w:tc>
          <w:tcPr>
            <w:tcW w:type="dxa" w:w="2381"/>
            <w:vAlign w:val="top"/>
          </w:tcPr>
          <w:p>
            <w:pPr>
              <w:spacing w:after="0"/>
            </w:pPr>
            <w:r/>
            <w:r>
              <w:rPr>
                <w:rFonts w:ascii="Times New Roman" w:hAnsi="Times New Roman" w:eastAsia="Times New Roman"/>
                <w:b w:val="0"/>
                <w:sz w:val="18"/>
              </w:rPr>
              <w:t>Manner of work</w:t>
            </w:r>
          </w:p>
        </w:tc>
        <w:tc>
          <w:tcPr>
            <w:tcW w:type="dxa" w:w="3402"/>
            <w:vAlign w:val="top"/>
          </w:tcPr>
          <w:p>
            <w:pPr>
              <w:spacing w:after="0"/>
            </w:pPr>
            <w:r/>
            <w:r>
              <w:rPr>
                <w:rFonts w:ascii="Times New Roman" w:hAnsi="Times New Roman" w:eastAsia="Times New Roman"/>
                <w:b w:val="0"/>
                <w:sz w:val="18"/>
              </w:rPr>
              <w:t>Generally required to complete an assigned result; the method is not normally controlled in detail.</w:t>
            </w:r>
          </w:p>
        </w:tc>
        <w:tc>
          <w:tcPr>
            <w:tcW w:type="dxa" w:w="3402"/>
            <w:vAlign w:val="top"/>
          </w:tcPr>
          <w:p>
            <w:pPr>
              <w:spacing w:after="0"/>
            </w:pPr>
            <w:r/>
            <w:r>
              <w:rPr>
                <w:rFonts w:ascii="Times New Roman" w:hAnsi="Times New Roman" w:eastAsia="Times New Roman"/>
                <w:b w:val="0"/>
                <w:sz w:val="18"/>
              </w:rPr>
              <w:t>Employer gives directions on what work must be done and how it is to be done.</w:t>
            </w:r>
          </w:p>
        </w:tc>
      </w:tr>
      <w:tr>
        <w:tc>
          <w:tcPr>
            <w:tcW w:type="dxa" w:w="2381"/>
            <w:vAlign w:val="top"/>
          </w:tcPr>
          <w:p>
            <w:pPr>
              <w:spacing w:after="0"/>
            </w:pPr>
            <w:r/>
            <w:r>
              <w:rPr>
                <w:rFonts w:ascii="Times New Roman" w:hAnsi="Times New Roman" w:eastAsia="Times New Roman"/>
                <w:b w:val="0"/>
                <w:sz w:val="18"/>
              </w:rPr>
              <w:t>Tools and equipment</w:t>
            </w:r>
          </w:p>
        </w:tc>
        <w:tc>
          <w:tcPr>
            <w:tcW w:type="dxa" w:w="3402"/>
            <w:vAlign w:val="top"/>
          </w:tcPr>
          <w:p>
            <w:pPr>
              <w:spacing w:after="0"/>
            </w:pPr>
            <w:r/>
            <w:r>
              <w:rPr>
                <w:rFonts w:ascii="Times New Roman" w:hAnsi="Times New Roman" w:eastAsia="Times New Roman"/>
                <w:b w:val="0"/>
                <w:sz w:val="18"/>
              </w:rPr>
              <w:t>Uses or acquires own tools and resources.</w:t>
            </w:r>
          </w:p>
        </w:tc>
        <w:tc>
          <w:tcPr>
            <w:tcW w:type="dxa" w:w="3402"/>
            <w:vAlign w:val="top"/>
          </w:tcPr>
          <w:p>
            <w:pPr>
              <w:spacing w:after="0"/>
            </w:pPr>
            <w:r/>
            <w:r>
              <w:rPr>
                <w:rFonts w:ascii="Times New Roman" w:hAnsi="Times New Roman" w:eastAsia="Times New Roman"/>
                <w:b w:val="0"/>
                <w:sz w:val="18"/>
              </w:rPr>
              <w:t>Employer normally provides tools and resources.</w:t>
            </w:r>
          </w:p>
        </w:tc>
      </w:tr>
      <w:tr>
        <w:tc>
          <w:tcPr>
            <w:tcW w:type="dxa" w:w="2381"/>
            <w:vAlign w:val="top"/>
          </w:tcPr>
          <w:p>
            <w:pPr>
              <w:spacing w:after="0"/>
            </w:pPr>
            <w:r/>
            <w:r>
              <w:rPr>
                <w:rFonts w:ascii="Times New Roman" w:hAnsi="Times New Roman" w:eastAsia="Times New Roman"/>
                <w:b w:val="0"/>
                <w:sz w:val="18"/>
              </w:rPr>
              <w:t>Working time</w:t>
            </w:r>
          </w:p>
        </w:tc>
        <w:tc>
          <w:tcPr>
            <w:tcW w:type="dxa" w:w="3402"/>
            <w:vAlign w:val="top"/>
          </w:tcPr>
          <w:p>
            <w:pPr>
              <w:spacing w:after="0"/>
            </w:pPr>
            <w:r/>
            <w:r>
              <w:rPr>
                <w:rFonts w:ascii="Times New Roman" w:hAnsi="Times New Roman" w:eastAsia="Times New Roman"/>
                <w:b w:val="0"/>
                <w:sz w:val="18"/>
              </w:rPr>
              <w:t>Deadline for completion may be fixed, but the contractor controls working time.</w:t>
            </w:r>
          </w:p>
        </w:tc>
        <w:tc>
          <w:tcPr>
            <w:tcW w:type="dxa" w:w="3402"/>
            <w:vAlign w:val="top"/>
          </w:tcPr>
          <w:p>
            <w:pPr>
              <w:spacing w:after="0"/>
            </w:pPr>
            <w:r/>
            <w:r>
              <w:rPr>
                <w:rFonts w:ascii="Times New Roman" w:hAnsi="Times New Roman" w:eastAsia="Times New Roman"/>
                <w:b w:val="0"/>
                <w:sz w:val="18"/>
              </w:rPr>
              <w:t>Working time is normally fixed by the employer and is often full-time.</w:t>
            </w:r>
          </w:p>
        </w:tc>
      </w:tr>
      <w:tr>
        <w:tc>
          <w:tcPr>
            <w:tcW w:type="dxa" w:w="2381"/>
            <w:vAlign w:val="top"/>
          </w:tcPr>
          <w:p>
            <w:pPr>
              <w:spacing w:after="0"/>
            </w:pPr>
            <w:r/>
            <w:r>
              <w:rPr>
                <w:rFonts w:ascii="Times New Roman" w:hAnsi="Times New Roman" w:eastAsia="Times New Roman"/>
                <w:b w:val="0"/>
                <w:sz w:val="18"/>
              </w:rPr>
              <w:t>Person performing work</w:t>
            </w:r>
          </w:p>
        </w:tc>
        <w:tc>
          <w:tcPr>
            <w:tcW w:type="dxa" w:w="3402"/>
            <w:vAlign w:val="top"/>
          </w:tcPr>
          <w:p>
            <w:pPr>
              <w:spacing w:after="0"/>
            </w:pPr>
            <w:r/>
            <w:r>
              <w:rPr>
                <w:rFonts w:ascii="Times New Roman" w:hAnsi="Times New Roman" w:eastAsia="Times New Roman"/>
                <w:b w:val="0"/>
                <w:sz w:val="18"/>
              </w:rPr>
              <w:t>May complete the work with or without help from other persons.</w:t>
            </w:r>
          </w:p>
        </w:tc>
        <w:tc>
          <w:tcPr>
            <w:tcW w:type="dxa" w:w="3402"/>
            <w:vAlign w:val="top"/>
          </w:tcPr>
          <w:p>
            <w:pPr>
              <w:spacing w:after="0"/>
            </w:pPr>
            <w:r/>
            <w:r>
              <w:rPr>
                <w:rFonts w:ascii="Times New Roman" w:hAnsi="Times New Roman" w:eastAsia="Times New Roman"/>
                <w:b w:val="0"/>
                <w:sz w:val="18"/>
              </w:rPr>
              <w:t>Usually performs the work personally or through assistants as part of employment.</w:t>
            </w:r>
          </w:p>
        </w:tc>
      </w:tr>
      <w:tr>
        <w:tc>
          <w:tcPr>
            <w:tcW w:type="dxa" w:w="2381"/>
            <w:vAlign w:val="top"/>
          </w:tcPr>
          <w:p>
            <w:pPr>
              <w:spacing w:after="0"/>
            </w:pPr>
            <w:r/>
            <w:r>
              <w:rPr>
                <w:rFonts w:ascii="Times New Roman" w:hAnsi="Times New Roman" w:eastAsia="Times New Roman"/>
                <w:b w:val="0"/>
                <w:sz w:val="18"/>
              </w:rPr>
              <w:t>Exclusivity</w:t>
            </w:r>
          </w:p>
        </w:tc>
        <w:tc>
          <w:tcPr>
            <w:tcW w:type="dxa" w:w="3402"/>
            <w:vAlign w:val="top"/>
          </w:tcPr>
          <w:p>
            <w:pPr>
              <w:spacing w:after="0"/>
            </w:pPr>
            <w:r/>
            <w:r>
              <w:rPr>
                <w:rFonts w:ascii="Times New Roman" w:hAnsi="Times New Roman" w:eastAsia="Times New Roman"/>
                <w:b w:val="0"/>
                <w:sz w:val="18"/>
              </w:rPr>
              <w:t>May work for multiple clients at the same time.</w:t>
            </w:r>
          </w:p>
        </w:tc>
        <w:tc>
          <w:tcPr>
            <w:tcW w:type="dxa" w:w="3402"/>
            <w:vAlign w:val="top"/>
          </w:tcPr>
          <w:p>
            <w:pPr>
              <w:spacing w:after="0"/>
            </w:pPr>
            <w:r/>
            <w:r>
              <w:rPr>
                <w:rFonts w:ascii="Times New Roman" w:hAnsi="Times New Roman" w:eastAsia="Times New Roman"/>
                <w:b w:val="0"/>
                <w:sz w:val="18"/>
              </w:rPr>
              <w:t>Usually works for one employer.</w:t>
            </w:r>
          </w:p>
        </w:tc>
      </w:tr>
      <w:tr>
        <w:tc>
          <w:tcPr>
            <w:tcW w:type="dxa" w:w="2381"/>
            <w:vAlign w:val="top"/>
          </w:tcPr>
          <w:p>
            <w:pPr>
              <w:spacing w:after="0"/>
            </w:pPr>
            <w:r/>
            <w:r>
              <w:rPr>
                <w:rFonts w:ascii="Times New Roman" w:hAnsi="Times New Roman" w:eastAsia="Times New Roman"/>
                <w:b w:val="0"/>
                <w:sz w:val="18"/>
              </w:rPr>
              <w:t>Training</w:t>
            </w:r>
          </w:p>
        </w:tc>
        <w:tc>
          <w:tcPr>
            <w:tcW w:type="dxa" w:w="3402"/>
            <w:vAlign w:val="top"/>
          </w:tcPr>
          <w:p>
            <w:pPr>
              <w:spacing w:after="0"/>
            </w:pPr>
            <w:r/>
            <w:r>
              <w:rPr>
                <w:rFonts w:ascii="Times New Roman" w:hAnsi="Times New Roman" w:eastAsia="Times New Roman"/>
                <w:b w:val="0"/>
                <w:sz w:val="18"/>
              </w:rPr>
              <w:t>Arranges and bears the cost of training personally.</w:t>
            </w:r>
          </w:p>
        </w:tc>
        <w:tc>
          <w:tcPr>
            <w:tcW w:type="dxa" w:w="3402"/>
            <w:vAlign w:val="top"/>
          </w:tcPr>
          <w:p>
            <w:pPr>
              <w:spacing w:after="0"/>
            </w:pPr>
            <w:r/>
            <w:r>
              <w:rPr>
                <w:rFonts w:ascii="Times New Roman" w:hAnsi="Times New Roman" w:eastAsia="Times New Roman"/>
                <w:b w:val="0"/>
                <w:sz w:val="18"/>
              </w:rPr>
              <w:t>Training is arranged and paid for by the employer.</w:t>
            </w:r>
          </w:p>
        </w:tc>
      </w:tr>
      <w:tr>
        <w:tc>
          <w:tcPr>
            <w:tcW w:type="dxa" w:w="2381"/>
            <w:vAlign w:val="top"/>
          </w:tcPr>
          <w:p>
            <w:pPr>
              <w:spacing w:after="0"/>
            </w:pPr>
            <w:r/>
            <w:r>
              <w:rPr>
                <w:rFonts w:ascii="Times New Roman" w:hAnsi="Times New Roman" w:eastAsia="Times New Roman"/>
                <w:b w:val="0"/>
                <w:sz w:val="18"/>
              </w:rPr>
              <w:t>Payment</w:t>
            </w:r>
          </w:p>
        </w:tc>
        <w:tc>
          <w:tcPr>
            <w:tcW w:type="dxa" w:w="3402"/>
            <w:vAlign w:val="top"/>
          </w:tcPr>
          <w:p>
            <w:pPr>
              <w:spacing w:after="0"/>
            </w:pPr>
            <w:r/>
            <w:r>
              <w:rPr>
                <w:rFonts w:ascii="Times New Roman" w:hAnsi="Times New Roman" w:eastAsia="Times New Roman"/>
                <w:b w:val="0"/>
                <w:sz w:val="18"/>
              </w:rPr>
              <w:t>May be paid based on work quality, output or agreed task.</w:t>
            </w:r>
          </w:p>
        </w:tc>
        <w:tc>
          <w:tcPr>
            <w:tcW w:type="dxa" w:w="3402"/>
            <w:vAlign w:val="top"/>
          </w:tcPr>
          <w:p>
            <w:pPr>
              <w:spacing w:after="0"/>
            </w:pPr>
            <w:r/>
            <w:r>
              <w:rPr>
                <w:rFonts w:ascii="Times New Roman" w:hAnsi="Times New Roman" w:eastAsia="Times New Roman"/>
                <w:b w:val="0"/>
                <w:sz w:val="18"/>
              </w:rPr>
              <w:t>Normally receives fixed remuneration for time or service.</w:t>
            </w:r>
          </w:p>
        </w:tc>
      </w:tr>
      <w:tr>
        <w:tc>
          <w:tcPr>
            <w:tcW w:type="dxa" w:w="2381"/>
            <w:vAlign w:val="top"/>
          </w:tcPr>
          <w:p>
            <w:pPr>
              <w:spacing w:after="0"/>
            </w:pPr>
            <w:r/>
            <w:r>
              <w:rPr>
                <w:rFonts w:ascii="Times New Roman" w:hAnsi="Times New Roman" w:eastAsia="Times New Roman"/>
                <w:b w:val="0"/>
                <w:sz w:val="18"/>
              </w:rPr>
              <w:t>Continuity</w:t>
            </w:r>
          </w:p>
        </w:tc>
        <w:tc>
          <w:tcPr>
            <w:tcW w:type="dxa" w:w="3402"/>
            <w:vAlign w:val="top"/>
          </w:tcPr>
          <w:p>
            <w:pPr>
              <w:spacing w:after="0"/>
            </w:pPr>
            <w:r/>
            <w:r>
              <w:rPr>
                <w:rFonts w:ascii="Times New Roman" w:hAnsi="Times New Roman" w:eastAsia="Times New Roman"/>
                <w:b w:val="0"/>
                <w:sz w:val="18"/>
              </w:rPr>
              <w:t>Relationship normally ends after the assigned work is completed.</w:t>
            </w:r>
          </w:p>
        </w:tc>
        <w:tc>
          <w:tcPr>
            <w:tcW w:type="dxa" w:w="3402"/>
            <w:vAlign w:val="top"/>
          </w:tcPr>
          <w:p>
            <w:pPr>
              <w:spacing w:after="0"/>
            </w:pPr>
            <w:r/>
            <w:r>
              <w:rPr>
                <w:rFonts w:ascii="Times New Roman" w:hAnsi="Times New Roman" w:eastAsia="Times New Roman"/>
                <w:b w:val="0"/>
                <w:sz w:val="18"/>
              </w:rPr>
              <w:t>Relationship normally continues as employment.</w:t>
            </w:r>
          </w:p>
        </w:tc>
      </w:tr>
      <w:tr>
        <w:tc>
          <w:tcPr>
            <w:tcW w:type="dxa" w:w="2381"/>
            <w:vAlign w:val="top"/>
          </w:tcPr>
          <w:p>
            <w:pPr>
              <w:spacing w:after="0"/>
            </w:pPr>
            <w:r/>
            <w:r>
              <w:rPr>
                <w:rFonts w:ascii="Times New Roman" w:hAnsi="Times New Roman" w:eastAsia="Times New Roman"/>
                <w:b w:val="0"/>
                <w:sz w:val="18"/>
              </w:rPr>
              <w:t>Profit or loss risk</w:t>
            </w:r>
          </w:p>
        </w:tc>
        <w:tc>
          <w:tcPr>
            <w:tcW w:type="dxa" w:w="3402"/>
            <w:vAlign w:val="top"/>
          </w:tcPr>
          <w:p>
            <w:pPr>
              <w:spacing w:after="0"/>
            </w:pPr>
            <w:r/>
            <w:r>
              <w:rPr>
                <w:rFonts w:ascii="Times New Roman" w:hAnsi="Times New Roman" w:eastAsia="Times New Roman"/>
                <w:b w:val="0"/>
                <w:sz w:val="18"/>
              </w:rPr>
              <w:t>Bears the risk of profit or loss from the work.</w:t>
            </w:r>
          </w:p>
        </w:tc>
        <w:tc>
          <w:tcPr>
            <w:tcW w:type="dxa" w:w="3402"/>
            <w:vAlign w:val="top"/>
          </w:tcPr>
          <w:p>
            <w:pPr>
              <w:spacing w:after="0"/>
            </w:pPr>
            <w:r/>
            <w:r>
              <w:rPr>
                <w:rFonts w:ascii="Times New Roman" w:hAnsi="Times New Roman" w:eastAsia="Times New Roman"/>
                <w:b w:val="0"/>
                <w:sz w:val="18"/>
              </w:rPr>
              <w:t>Receives remuneration and does not normally bear business profit/loss risk.</w:t>
            </w:r>
          </w:p>
        </w:tc>
      </w:tr>
    </w:tbl>
    <w:p/>
    <w:p>
      <w:pPr>
        <w:spacing w:after="80"/>
      </w:pPr>
      <w:r>
        <w:rPr>
          <w:rFonts w:ascii="Times New Roman" w:hAnsi="Times New Roman" w:eastAsia="Times New Roman"/>
          <w:b w:val="0"/>
          <w:i w:val="0"/>
          <w:sz w:val="21"/>
        </w:rPr>
        <w:t>In addition to these indicators, the nature of work, the payment system and the practical conduct of the parties are also relevant.</w:t>
      </w:r>
    </w:p>
    <w:p>
      <w:pPr>
        <w:pStyle w:val="Heading2"/>
      </w:pPr>
      <w:r>
        <w:t>18.3 Accounting of Business Income</w:t>
      </w:r>
    </w:p>
    <w:p>
      <w:pPr>
        <w:pStyle w:val="Heading3"/>
      </w:pPr>
      <w:r>
        <w:t>18.3.1 Tax accounting and timing</w:t>
      </w:r>
    </w:p>
    <w:p>
      <w:pPr>
        <w:spacing w:after="80"/>
      </w:pPr>
      <w:r>
        <w:rPr>
          <w:rFonts w:ascii="Times New Roman" w:hAnsi="Times New Roman" w:eastAsia="Times New Roman"/>
          <w:b w:val="0"/>
          <w:i w:val="0"/>
          <w:sz w:val="21"/>
        </w:rPr>
        <w:t>A natural person must account for employment and investment income on the cash basis, except as provided in the proviso to Section 22(2). Business income may be accounted for on the cash basis or on the accrual basis. A company must account for its income on the accrual basis. Other persons may use cash or accrual accounting in accordance with the applicable accounting system.</w:t>
      </w:r>
    </w:p>
    <w:p>
      <w:pPr>
        <w:spacing w:after="80"/>
      </w:pPr>
      <w:r>
        <w:rPr>
          <w:rFonts w:ascii="Times New Roman" w:hAnsi="Times New Roman" w:eastAsia="Times New Roman"/>
          <w:b w:val="0"/>
          <w:i w:val="0"/>
          <w:sz w:val="21"/>
        </w:rPr>
        <w:t>The accounting method must be applied consistently. A change in accounting method is generally not allowed under accounting standards and Section 22(5). If a natural person needs to change method because of prevailing industrial practice, an application may be made to the Department. If the Department considers the change appropriate, it may approve the change for tax purposes. A company cannot apply to change from accrual accounting for tax purposes, as a company is required to use the accrual basis. When an approved change is made, adjustments must be made so that no amount is omitted or counted twice.</w:t>
      </w:r>
    </w:p>
    <w:p>
      <w:pPr>
        <w:pStyle w:val="Heading3"/>
      </w:pPr>
      <w:r>
        <w:t>18.3.2 Accounting policy</w:t>
      </w:r>
    </w:p>
    <w:p>
      <w:pPr>
        <w:spacing w:after="80"/>
      </w:pPr>
      <w:r>
        <w:rPr>
          <w:rFonts w:ascii="Times New Roman" w:hAnsi="Times New Roman" w:eastAsia="Times New Roman"/>
          <w:b w:val="0"/>
          <w:i w:val="0"/>
          <w:sz w:val="21"/>
        </w:rPr>
        <w:t>Accounting policy affects the recognition of income and expenses. For tax purposes, where the Act specifies a treatment, that treatment applies. Otherwise, accounting must be done in accordance with generally accepted accounting principles, including standards issued by the Institute of Chartered Accountants of Nepal and, where relevant, international accounting principles.</w:t>
      </w:r>
    </w:p>
    <w:tbl>
      <w:tblPr>
        <w:tblStyle w:val="TableGrid"/>
        <w:tblW w:type="auto" w:w="0"/>
        <w:jc w:val="center"/>
        <w:tblLook w:firstColumn="1" w:firstRow="1" w:lastColumn="0" w:lastRow="0" w:noHBand="0" w:noVBand="1" w:val="04A0"/>
      </w:tblPr>
      <w:tblGrid>
        <w:gridCol w:w="3437"/>
        <w:gridCol w:w="3437"/>
        <w:gridCol w:w="3437"/>
      </w:tblGrid>
      <w:tr>
        <w:tc>
          <w:tcPr>
            <w:tcW w:type="dxa" w:w="2268"/>
            <w:vAlign w:val="top"/>
            <w:shd w:fill="D9EAF7"/>
          </w:tcPr>
          <w:p>
            <w:pPr>
              <w:spacing w:after="0"/>
            </w:pPr>
            <w:r/>
            <w:r>
              <w:rPr>
                <w:rFonts w:ascii="Times New Roman" w:hAnsi="Times New Roman" w:eastAsia="Times New Roman"/>
                <w:b/>
                <w:sz w:val="18"/>
              </w:rPr>
              <w:t>Person</w:t>
            </w:r>
          </w:p>
        </w:tc>
        <w:tc>
          <w:tcPr>
            <w:tcW w:type="dxa" w:w="2835"/>
            <w:vAlign w:val="top"/>
            <w:shd w:fill="D9EAF7"/>
          </w:tcPr>
          <w:p>
            <w:pPr>
              <w:spacing w:after="0"/>
            </w:pPr>
            <w:r/>
            <w:r>
              <w:rPr>
                <w:rFonts w:ascii="Times New Roman" w:hAnsi="Times New Roman" w:eastAsia="Times New Roman"/>
                <w:b/>
                <w:sz w:val="18"/>
              </w:rPr>
              <w:t>Head of income</w:t>
            </w:r>
          </w:p>
        </w:tc>
        <w:tc>
          <w:tcPr>
            <w:tcW w:type="dxa" w:w="3969"/>
            <w:vAlign w:val="top"/>
            <w:shd w:fill="D9EAF7"/>
          </w:tcPr>
          <w:p>
            <w:pPr>
              <w:spacing w:after="0"/>
            </w:pPr>
            <w:r/>
            <w:r>
              <w:rPr>
                <w:rFonts w:ascii="Times New Roman" w:hAnsi="Times New Roman" w:eastAsia="Times New Roman"/>
                <w:b/>
                <w:sz w:val="18"/>
              </w:rPr>
              <w:t>Accounting method</w:t>
            </w:r>
          </w:p>
        </w:tc>
      </w:tr>
      <w:tr>
        <w:tc>
          <w:tcPr>
            <w:tcW w:type="dxa" w:w="2268"/>
            <w:vAlign w:val="top"/>
          </w:tcPr>
          <w:p>
            <w:pPr>
              <w:spacing w:after="0"/>
            </w:pPr>
            <w:r/>
            <w:r>
              <w:rPr>
                <w:rFonts w:ascii="Times New Roman" w:hAnsi="Times New Roman" w:eastAsia="Times New Roman"/>
                <w:b w:val="0"/>
                <w:sz w:val="18"/>
              </w:rPr>
              <w:t>Natural person</w:t>
            </w:r>
          </w:p>
        </w:tc>
        <w:tc>
          <w:tcPr>
            <w:tcW w:type="dxa" w:w="2835"/>
            <w:vAlign w:val="top"/>
          </w:tcPr>
          <w:p>
            <w:pPr>
              <w:spacing w:after="0"/>
            </w:pPr>
            <w:r/>
            <w:r>
              <w:rPr>
                <w:rFonts w:ascii="Times New Roman" w:hAnsi="Times New Roman" w:eastAsia="Times New Roman"/>
                <w:b w:val="0"/>
                <w:sz w:val="18"/>
              </w:rPr>
              <w:t>Employment and investment</w:t>
            </w:r>
          </w:p>
        </w:tc>
        <w:tc>
          <w:tcPr>
            <w:tcW w:type="dxa" w:w="3969"/>
            <w:vAlign w:val="top"/>
          </w:tcPr>
          <w:p>
            <w:pPr>
              <w:spacing w:after="0"/>
            </w:pPr>
            <w:r/>
            <w:r>
              <w:rPr>
                <w:rFonts w:ascii="Times New Roman" w:hAnsi="Times New Roman" w:eastAsia="Times New Roman"/>
                <w:b w:val="0"/>
                <w:sz w:val="18"/>
              </w:rPr>
              <w:t>Cash basis, except the proviso to Section 22(2).</w:t>
            </w:r>
          </w:p>
        </w:tc>
      </w:tr>
      <w:tr>
        <w:tc>
          <w:tcPr>
            <w:tcW w:type="dxa" w:w="2268"/>
            <w:vAlign w:val="top"/>
          </w:tcPr>
          <w:p>
            <w:pPr>
              <w:spacing w:after="0"/>
            </w:pPr>
            <w:r/>
            <w:r>
              <w:rPr>
                <w:rFonts w:ascii="Times New Roman" w:hAnsi="Times New Roman" w:eastAsia="Times New Roman"/>
                <w:b w:val="0"/>
                <w:sz w:val="18"/>
              </w:rPr>
              <w:t>Natural person</w:t>
            </w:r>
          </w:p>
        </w:tc>
        <w:tc>
          <w:tcPr>
            <w:tcW w:type="dxa" w:w="2835"/>
            <w:vAlign w:val="top"/>
          </w:tcPr>
          <w:p>
            <w:pPr>
              <w:spacing w:after="0"/>
            </w:pPr>
            <w:r/>
            <w:r>
              <w:rPr>
                <w:rFonts w:ascii="Times New Roman" w:hAnsi="Times New Roman" w:eastAsia="Times New Roman"/>
                <w:b w:val="0"/>
                <w:sz w:val="18"/>
              </w:rPr>
              <w:t>Business</w:t>
            </w:r>
          </w:p>
        </w:tc>
        <w:tc>
          <w:tcPr>
            <w:tcW w:type="dxa" w:w="3969"/>
            <w:vAlign w:val="top"/>
          </w:tcPr>
          <w:p>
            <w:pPr>
              <w:spacing w:after="0"/>
            </w:pPr>
            <w:r/>
            <w:r>
              <w:rPr>
                <w:rFonts w:ascii="Times New Roman" w:hAnsi="Times New Roman" w:eastAsia="Times New Roman"/>
                <w:b w:val="0"/>
                <w:sz w:val="18"/>
              </w:rPr>
              <w:t>Cash basis or accrual basis.</w:t>
            </w:r>
          </w:p>
        </w:tc>
      </w:tr>
      <w:tr>
        <w:tc>
          <w:tcPr>
            <w:tcW w:type="dxa" w:w="2268"/>
            <w:vAlign w:val="top"/>
          </w:tcPr>
          <w:p>
            <w:pPr>
              <w:spacing w:after="0"/>
            </w:pPr>
            <w:r/>
            <w:r>
              <w:rPr>
                <w:rFonts w:ascii="Times New Roman" w:hAnsi="Times New Roman" w:eastAsia="Times New Roman"/>
                <w:b w:val="0"/>
                <w:sz w:val="18"/>
              </w:rPr>
              <w:t>Company</w:t>
            </w:r>
          </w:p>
        </w:tc>
        <w:tc>
          <w:tcPr>
            <w:tcW w:type="dxa" w:w="2835"/>
            <w:vAlign w:val="top"/>
          </w:tcPr>
          <w:p>
            <w:pPr>
              <w:spacing w:after="0"/>
            </w:pPr>
            <w:r/>
            <w:r>
              <w:rPr>
                <w:rFonts w:ascii="Times New Roman" w:hAnsi="Times New Roman" w:eastAsia="Times New Roman"/>
                <w:b w:val="0"/>
                <w:sz w:val="18"/>
              </w:rPr>
              <w:t>Business and investment</w:t>
            </w:r>
          </w:p>
        </w:tc>
        <w:tc>
          <w:tcPr>
            <w:tcW w:type="dxa" w:w="3969"/>
            <w:vAlign w:val="top"/>
          </w:tcPr>
          <w:p>
            <w:pPr>
              <w:spacing w:after="0"/>
            </w:pPr>
            <w:r/>
            <w:r>
              <w:rPr>
                <w:rFonts w:ascii="Times New Roman" w:hAnsi="Times New Roman" w:eastAsia="Times New Roman"/>
                <w:b w:val="0"/>
                <w:sz w:val="18"/>
              </w:rPr>
              <w:t>Accrual basis.</w:t>
            </w:r>
          </w:p>
        </w:tc>
      </w:tr>
      <w:tr>
        <w:tc>
          <w:tcPr>
            <w:tcW w:type="dxa" w:w="2268"/>
            <w:vAlign w:val="top"/>
          </w:tcPr>
          <w:p>
            <w:pPr>
              <w:spacing w:after="0"/>
            </w:pPr>
            <w:r/>
            <w:r>
              <w:rPr>
                <w:rFonts w:ascii="Times New Roman" w:hAnsi="Times New Roman" w:eastAsia="Times New Roman"/>
                <w:b w:val="0"/>
                <w:sz w:val="18"/>
              </w:rPr>
              <w:t>Entity other than company</w:t>
            </w:r>
          </w:p>
        </w:tc>
        <w:tc>
          <w:tcPr>
            <w:tcW w:type="dxa" w:w="2835"/>
            <w:vAlign w:val="top"/>
          </w:tcPr>
          <w:p>
            <w:pPr>
              <w:spacing w:after="0"/>
            </w:pPr>
            <w:r/>
            <w:r>
              <w:rPr>
                <w:rFonts w:ascii="Times New Roman" w:hAnsi="Times New Roman" w:eastAsia="Times New Roman"/>
                <w:b w:val="0"/>
                <w:sz w:val="18"/>
              </w:rPr>
              <w:t>Business and investment</w:t>
            </w:r>
          </w:p>
        </w:tc>
        <w:tc>
          <w:tcPr>
            <w:tcW w:type="dxa" w:w="3969"/>
            <w:vAlign w:val="top"/>
          </w:tcPr>
          <w:p>
            <w:pPr>
              <w:spacing w:after="0"/>
            </w:pPr>
            <w:r/>
            <w:r>
              <w:rPr>
                <w:rFonts w:ascii="Times New Roman" w:hAnsi="Times New Roman" w:eastAsia="Times New Roman"/>
                <w:b w:val="0"/>
                <w:sz w:val="18"/>
              </w:rPr>
              <w:t>Cash basis or accrual basis, as applicable.</w:t>
            </w:r>
          </w:p>
        </w:tc>
      </w:tr>
    </w:tbl>
    <w:p/>
    <w:p>
      <w:pPr>
        <w:pStyle w:val="Heading3"/>
      </w:pPr>
      <w:r>
        <w:t>18.3.3 Cash basis of accounting</w:t>
      </w:r>
    </w:p>
    <w:p>
      <w:pPr>
        <w:spacing w:after="80"/>
      </w:pPr>
      <w:r>
        <w:rPr>
          <w:rFonts w:ascii="Times New Roman" w:hAnsi="Times New Roman" w:eastAsia="Times New Roman"/>
          <w:b w:val="0"/>
          <w:i w:val="0"/>
          <w:sz w:val="21"/>
        </w:rPr>
        <w:t>Under the cash basis, income is included only when payment is received or made available, and an expense is deducted only after payment is made. Section 23 provides that a person using cash basis accounting must include a payment only when received or made available and must deduct an expense only after payment.</w:t>
      </w:r>
    </w:p>
    <w:p>
      <w:pPr>
        <w:pStyle w:val="Heading3"/>
      </w:pPr>
      <w:r>
        <w:t>18.3.4 Accrual basis of accounting</w:t>
      </w:r>
    </w:p>
    <w:p>
      <w:pPr>
        <w:spacing w:after="80"/>
      </w:pPr>
      <w:r>
        <w:rPr>
          <w:rFonts w:ascii="Times New Roman" w:hAnsi="Times New Roman" w:eastAsia="Times New Roman"/>
          <w:b w:val="0"/>
          <w:i w:val="0"/>
          <w:sz w:val="21"/>
        </w:rPr>
        <w:t>Under the accrual basis, transactions are recorded when the economic event occurs and in the period to which the transaction relates. The method supports the matching concept between income and expenses. Income is recognised when the right to receive payment arises, and expenses are recognised when the obligation to pay arises and the amount can be reasonably estimated, as provided in Section 24.</w:t>
      </w:r>
    </w:p>
    <w:p>
      <w:pPr>
        <w:spacing w:after="80"/>
      </w:pPr>
      <w:r>
        <w:rPr>
          <w:rFonts w:ascii="Times New Roman" w:hAnsi="Times New Roman" w:eastAsia="Times New Roman"/>
          <w:b w:val="0"/>
          <w:i w:val="0"/>
          <w:sz w:val="21"/>
        </w:rPr>
        <w:t>For banking business, the Department may recognise accounting specified by Nepal Rastra Bank under the Nepal Rastra Bank Act and banking laws. A cooperative institution may account for interest income on the cash basis. Foreign-exchange differences are adjusted when payment is actually received or made. Detailed explanation of accounting method, timing and basis appears in Chapter 8 of the Directive.</w:t>
      </w:r>
    </w:p>
    <w:p>
      <w:pPr>
        <w:pStyle w:val="Heading2"/>
      </w:pPr>
      <w:r>
        <w:t>18.4 Amounts to be Included in Business Income</w:t>
      </w:r>
    </w:p>
    <w:p>
      <w:pPr>
        <w:spacing w:after="80"/>
      </w:pPr>
      <w:r>
        <w:rPr>
          <w:rFonts w:ascii="Times New Roman" w:hAnsi="Times New Roman" w:eastAsia="Times New Roman"/>
          <w:b w:val="0"/>
          <w:i w:val="0"/>
          <w:sz w:val="21"/>
        </w:rPr>
        <w:t>Section 7(1) provides that profits and gains derived by a person from conducting a business in an income year are the income of that person from that business for that year. Example 18.4.1 explains that if ABC Company earns Rs. 20,000,000 from trading/operations and Rs. 2,000,000 as gain from selling business property in income year 2080/81, the aggregate Rs. 22,000,000 is treated as business income for tax purposes.</w:t>
      </w:r>
    </w:p>
    <w:p>
      <w:pPr>
        <w:spacing w:after="80"/>
      </w:pPr>
      <w:r>
        <w:rPr>
          <w:rFonts w:ascii="Times New Roman" w:hAnsi="Times New Roman" w:eastAsia="Times New Roman"/>
          <w:b w:val="0"/>
          <w:i w:val="0"/>
          <w:sz w:val="21"/>
        </w:rPr>
        <w:t>Section 7(2) requires the following amounts received during the year to be included in computing profits and gains from business:</w:t>
      </w:r>
    </w:p>
    <w:tbl>
      <w:tblPr>
        <w:tblStyle w:val="TableGrid"/>
        <w:tblW w:type="auto" w:w="0"/>
        <w:jc w:val="center"/>
        <w:tblLook w:firstColumn="1" w:firstRow="1" w:lastColumn="0" w:lastRow="0" w:noHBand="0" w:noVBand="1" w:val="04A0"/>
      </w:tblPr>
      <w:tblGrid>
        <w:gridCol w:w="3437"/>
        <w:gridCol w:w="3437"/>
        <w:gridCol w:w="3437"/>
      </w:tblGrid>
      <w:tr>
        <w:tc>
          <w:tcPr>
            <w:tcW w:type="dxa" w:w="1417"/>
            <w:vAlign w:val="top"/>
            <w:shd w:fill="D9EAF7"/>
          </w:tcPr>
          <w:p>
            <w:pPr>
              <w:spacing w:after="0"/>
            </w:pPr>
            <w:r/>
            <w:r>
              <w:rPr>
                <w:rFonts w:ascii="Times New Roman" w:hAnsi="Times New Roman" w:eastAsia="Times New Roman"/>
                <w:b/>
                <w:sz w:val="18"/>
              </w:rPr>
              <w:t>Section</w:t>
            </w:r>
          </w:p>
        </w:tc>
        <w:tc>
          <w:tcPr>
            <w:tcW w:type="dxa" w:w="2381"/>
            <w:vAlign w:val="top"/>
            <w:shd w:fill="D9EAF7"/>
          </w:tcPr>
          <w:p>
            <w:pPr>
              <w:spacing w:after="0"/>
            </w:pPr>
            <w:r/>
            <w:r>
              <w:rPr>
                <w:rFonts w:ascii="Times New Roman" w:hAnsi="Times New Roman" w:eastAsia="Times New Roman"/>
                <w:b/>
                <w:sz w:val="18"/>
              </w:rPr>
              <w:t>Amount to be included</w:t>
            </w:r>
          </w:p>
        </w:tc>
        <w:tc>
          <w:tcPr>
            <w:tcW w:type="dxa" w:w="5386"/>
            <w:vAlign w:val="top"/>
            <w:shd w:fill="D9EAF7"/>
          </w:tcPr>
          <w:p>
            <w:pPr>
              <w:spacing w:after="0"/>
            </w:pPr>
            <w:r/>
            <w:r>
              <w:rPr>
                <w:rFonts w:ascii="Times New Roman" w:hAnsi="Times New Roman" w:eastAsia="Times New Roman"/>
                <w:b/>
                <w:sz w:val="18"/>
              </w:rPr>
              <w:t>Explanation</w:t>
            </w:r>
          </w:p>
        </w:tc>
      </w:tr>
      <w:tr>
        <w:tc>
          <w:tcPr>
            <w:tcW w:type="dxa" w:w="1417"/>
            <w:vAlign w:val="top"/>
          </w:tcPr>
          <w:p>
            <w:pPr>
              <w:spacing w:after="0"/>
            </w:pPr>
            <w:r/>
            <w:r>
              <w:rPr>
                <w:rFonts w:ascii="Times New Roman" w:hAnsi="Times New Roman" w:eastAsia="Times New Roman"/>
                <w:b w:val="0"/>
                <w:sz w:val="18"/>
              </w:rPr>
              <w:t>7(2)(a)</w:t>
            </w:r>
          </w:p>
        </w:tc>
        <w:tc>
          <w:tcPr>
            <w:tcW w:type="dxa" w:w="2381"/>
            <w:vAlign w:val="top"/>
          </w:tcPr>
          <w:p>
            <w:pPr>
              <w:spacing w:after="0"/>
            </w:pPr>
            <w:r>
              <w:t>Service charge</w:t>
            </w:r>
            <w:r>
              <w:rPr>
                <w:rFonts w:ascii="Times New Roman" w:hAnsi="Times New Roman" w:eastAsia="Times New Roman"/>
                <w:b w:val="0"/>
                <w:sz w:val="18"/>
              </w:rPr>
            </w:r>
          </w:p>
        </w:tc>
        <w:tc>
          <w:tcPr>
            <w:tcW w:type="dxa" w:w="5386"/>
            <w:vAlign w:val="top"/>
          </w:tcPr>
          <w:p>
            <w:pPr>
              <w:spacing w:after="0"/>
            </w:pPr>
            <w:r>
              <w:t>A fee paid at market value for services provided, including meeting allowance, management fee and technical service charge. Consultancy and audit fees are typical examples. Regular business service payments such as hospitality, transport, telecommunication, advertising or internet service supplied by a resident business in Nepal are not generally treated as service charge for this purpose.</w:t>
            </w:r>
            <w:r>
              <w:rPr>
                <w:rFonts w:ascii="Times New Roman" w:hAnsi="Times New Roman" w:eastAsia="Times New Roman"/>
                <w:b w:val="0"/>
                <w:sz w:val="18"/>
              </w:rPr>
            </w:r>
          </w:p>
        </w:tc>
      </w:tr>
      <w:tr>
        <w:tc>
          <w:tcPr>
            <w:tcW w:type="dxa" w:w="1417"/>
            <w:vAlign w:val="top"/>
          </w:tcPr>
          <w:p>
            <w:pPr>
              <w:spacing w:after="0"/>
            </w:pPr>
            <w:r/>
            <w:r>
              <w:rPr>
                <w:rFonts w:ascii="Times New Roman" w:hAnsi="Times New Roman" w:eastAsia="Times New Roman"/>
                <w:b w:val="0"/>
                <w:sz w:val="18"/>
              </w:rPr>
              <w:t>7(2)(b)</w:t>
            </w:r>
          </w:p>
        </w:tc>
        <w:tc>
          <w:tcPr>
            <w:tcW w:type="dxa" w:w="2381"/>
            <w:vAlign w:val="top"/>
          </w:tcPr>
          <w:p>
            <w:pPr>
              <w:spacing w:after="0"/>
            </w:pPr>
            <w:r>
              <w:t>Amount from disposal of stock-in-trade</w:t>
            </w:r>
            <w:r>
              <w:rPr>
                <w:rFonts w:ascii="Times New Roman" w:hAnsi="Times New Roman" w:eastAsia="Times New Roman"/>
                <w:b w:val="0"/>
                <w:sz w:val="18"/>
              </w:rPr>
            </w:r>
          </w:p>
        </w:tc>
        <w:tc>
          <w:tcPr>
            <w:tcW w:type="dxa" w:w="5386"/>
            <w:vAlign w:val="top"/>
          </w:tcPr>
          <w:p>
            <w:pPr>
              <w:spacing w:after="0"/>
            </w:pPr>
            <w:r>
              <w:t>Gross receipts from sale or other disposal of stock-in-trade are included. Stock-in-trade includes property held for sale, work in progress and materials included in such property, but excludes foreign-currency property. Foreign-exchange gain or loss on mere conversion of foreign currency balance is not included/deducted unless it arises on acquisition or use of that foreign-currency property.</w:t>
            </w:r>
            <w:r>
              <w:rPr>
                <w:rFonts w:ascii="Times New Roman" w:hAnsi="Times New Roman" w:eastAsia="Times New Roman"/>
                <w:b w:val="0"/>
                <w:sz w:val="18"/>
              </w:rPr>
            </w:r>
          </w:p>
        </w:tc>
      </w:tr>
      <w:tr>
        <w:tc>
          <w:tcPr>
            <w:tcW w:type="dxa" w:w="1417"/>
            <w:vAlign w:val="top"/>
          </w:tcPr>
          <w:p>
            <w:pPr>
              <w:spacing w:after="0"/>
            </w:pPr>
            <w:r/>
            <w:r>
              <w:rPr>
                <w:rFonts w:ascii="Times New Roman" w:hAnsi="Times New Roman" w:eastAsia="Times New Roman"/>
                <w:b w:val="0"/>
                <w:sz w:val="18"/>
              </w:rPr>
              <w:t>7(2)(c)</w:t>
            </w:r>
          </w:p>
        </w:tc>
        <w:tc>
          <w:tcPr>
            <w:tcW w:type="dxa" w:w="2381"/>
            <w:vAlign w:val="top"/>
          </w:tcPr>
          <w:p>
            <w:pPr>
              <w:spacing w:after="0"/>
            </w:pPr>
            <w:r/>
            <w:r>
              <w:rPr>
                <w:rFonts w:ascii="Times New Roman" w:hAnsi="Times New Roman" w:eastAsia="Times New Roman"/>
                <w:b w:val="0"/>
                <w:sz w:val="18"/>
              </w:rPr>
              <w:t>Net gain from disposal of business asset or business liability</w:t>
            </w:r>
          </w:p>
        </w:tc>
        <w:tc>
          <w:tcPr>
            <w:tcW w:type="dxa" w:w="5386"/>
            <w:vAlign w:val="top"/>
          </w:tcPr>
          <w:p>
            <w:pPr>
              <w:spacing w:after="0"/>
            </w:pPr>
            <w:r>
              <w:t>Only net gain computed under Chapter 8 of the Act is included, rather than gross proceeds. Business assets include business property other than stock-in-trade and depreciable property, such as receivables, advances, securities, land, cash and bank balances.</w:t>
            </w:r>
            <w:r>
              <w:rPr>
                <w:rFonts w:ascii="Times New Roman" w:hAnsi="Times New Roman" w:eastAsia="Times New Roman"/>
                <w:b w:val="0"/>
                <w:sz w:val="18"/>
              </w:rPr>
            </w:r>
          </w:p>
        </w:tc>
      </w:tr>
      <w:tr>
        <w:tc>
          <w:tcPr>
            <w:tcW w:type="dxa" w:w="1417"/>
            <w:vAlign w:val="top"/>
          </w:tcPr>
          <w:p>
            <w:pPr>
              <w:spacing w:after="0"/>
            </w:pPr>
            <w:r/>
            <w:r>
              <w:rPr>
                <w:rFonts w:ascii="Times New Roman" w:hAnsi="Times New Roman" w:eastAsia="Times New Roman"/>
                <w:b w:val="0"/>
                <w:sz w:val="18"/>
              </w:rPr>
              <w:t>7(2)(d)</w:t>
            </w:r>
          </w:p>
        </w:tc>
        <w:tc>
          <w:tcPr>
            <w:tcW w:type="dxa" w:w="2381"/>
            <w:vAlign w:val="top"/>
          </w:tcPr>
          <w:p>
            <w:pPr>
              <w:spacing w:after="0"/>
            </w:pPr>
            <w:r/>
            <w:r>
              <w:rPr>
                <w:rFonts w:ascii="Times New Roman" w:hAnsi="Times New Roman" w:eastAsia="Times New Roman"/>
                <w:b w:val="0"/>
                <w:sz w:val="18"/>
              </w:rPr>
              <w:t>Amount deemed received on disposal of depreciable business assets</w:t>
            </w:r>
          </w:p>
        </w:tc>
        <w:tc>
          <w:tcPr>
            <w:tcW w:type="dxa" w:w="5386"/>
            <w:vAlign w:val="top"/>
          </w:tcPr>
          <w:p>
            <w:pPr>
              <w:spacing w:after="0"/>
            </w:pPr>
            <w:r/>
            <w:r>
              <w:rPr>
                <w:rFonts w:ascii="Times New Roman" w:hAnsi="Times New Roman" w:eastAsia="Times New Roman"/>
                <w:b w:val="0"/>
                <w:sz w:val="18"/>
              </w:rPr>
              <w:t>Balancing charge arising under Schedule 2 is included in business income.</w:t>
            </w:r>
          </w:p>
        </w:tc>
      </w:tr>
      <w:tr>
        <w:tc>
          <w:tcPr>
            <w:tcW w:type="dxa" w:w="1417"/>
            <w:vAlign w:val="top"/>
          </w:tcPr>
          <w:p>
            <w:pPr>
              <w:spacing w:after="0"/>
            </w:pPr>
            <w:r/>
            <w:r>
              <w:rPr>
                <w:rFonts w:ascii="Times New Roman" w:hAnsi="Times New Roman" w:eastAsia="Times New Roman"/>
                <w:b w:val="0"/>
                <w:sz w:val="18"/>
              </w:rPr>
              <w:t>7(2)(e)</w:t>
            </w:r>
          </w:p>
        </w:tc>
        <w:tc>
          <w:tcPr>
            <w:tcW w:type="dxa" w:w="2381"/>
            <w:vAlign w:val="top"/>
          </w:tcPr>
          <w:p>
            <w:pPr>
              <w:spacing w:after="0"/>
            </w:pPr>
            <w:r/>
            <w:r>
              <w:rPr>
                <w:rFonts w:ascii="Times New Roman" w:hAnsi="Times New Roman" w:eastAsia="Times New Roman"/>
                <w:b w:val="0"/>
                <w:sz w:val="18"/>
              </w:rPr>
              <w:t>Gift received in relation to business</w:t>
            </w:r>
          </w:p>
        </w:tc>
        <w:tc>
          <w:tcPr>
            <w:tcW w:type="dxa" w:w="5386"/>
            <w:vAlign w:val="top"/>
          </w:tcPr>
          <w:p>
            <w:pPr>
              <w:spacing w:after="0"/>
            </w:pPr>
            <w:r/>
            <w:r>
              <w:rPr>
                <w:rFonts w:ascii="Times New Roman" w:hAnsi="Times New Roman" w:eastAsia="Times New Roman"/>
                <w:b w:val="0"/>
                <w:sz w:val="18"/>
              </w:rPr>
              <w:t>A gift connected with business is included in income at market value.</w:t>
            </w:r>
          </w:p>
        </w:tc>
      </w:tr>
      <w:tr>
        <w:tc>
          <w:tcPr>
            <w:tcW w:type="dxa" w:w="1417"/>
            <w:vAlign w:val="top"/>
          </w:tcPr>
          <w:p>
            <w:pPr>
              <w:spacing w:after="0"/>
            </w:pPr>
            <w:r/>
            <w:r>
              <w:rPr>
                <w:rFonts w:ascii="Times New Roman" w:hAnsi="Times New Roman" w:eastAsia="Times New Roman"/>
                <w:b w:val="0"/>
                <w:sz w:val="18"/>
              </w:rPr>
              <w:t>7(2)(f)</w:t>
            </w:r>
          </w:p>
        </w:tc>
        <w:tc>
          <w:tcPr>
            <w:tcW w:type="dxa" w:w="2381"/>
            <w:vAlign w:val="top"/>
          </w:tcPr>
          <w:p>
            <w:pPr>
              <w:spacing w:after="0"/>
            </w:pPr>
            <w:r/>
            <w:r>
              <w:rPr>
                <w:rFonts w:ascii="Times New Roman" w:hAnsi="Times New Roman" w:eastAsia="Times New Roman"/>
                <w:b w:val="0"/>
                <w:sz w:val="18"/>
              </w:rPr>
              <w:t>Amount for accepting business restriction</w:t>
            </w:r>
          </w:p>
        </w:tc>
        <w:tc>
          <w:tcPr>
            <w:tcW w:type="dxa" w:w="5386"/>
            <w:vAlign w:val="top"/>
          </w:tcPr>
          <w:p>
            <w:pPr>
              <w:spacing w:after="0"/>
            </w:pPr>
            <w:r/>
            <w:r>
              <w:rPr>
                <w:rFonts w:ascii="Times New Roman" w:hAnsi="Times New Roman" w:eastAsia="Times New Roman"/>
                <w:b w:val="0"/>
                <w:sz w:val="18"/>
              </w:rPr>
              <w:t>An amount received for accepting a restriction in relation to conducting business is included.</w:t>
            </w:r>
          </w:p>
        </w:tc>
      </w:tr>
      <w:tr>
        <w:tc>
          <w:tcPr>
            <w:tcW w:type="dxa" w:w="1417"/>
            <w:vAlign w:val="top"/>
          </w:tcPr>
          <w:p>
            <w:pPr>
              <w:spacing w:after="0"/>
            </w:pPr>
            <w:r/>
            <w:r>
              <w:rPr>
                <w:rFonts w:ascii="Times New Roman" w:hAnsi="Times New Roman" w:eastAsia="Times New Roman"/>
                <w:b w:val="0"/>
                <w:sz w:val="18"/>
              </w:rPr>
              <w:t>7(2)(g)</w:t>
            </w:r>
          </w:p>
        </w:tc>
        <w:tc>
          <w:tcPr>
            <w:tcW w:type="dxa" w:w="2381"/>
            <w:vAlign w:val="top"/>
          </w:tcPr>
          <w:p>
            <w:pPr>
              <w:spacing w:after="0"/>
            </w:pPr>
            <w:r/>
            <w:r>
              <w:rPr>
                <w:rFonts w:ascii="Times New Roman" w:hAnsi="Times New Roman" w:eastAsia="Times New Roman"/>
                <w:b w:val="0"/>
                <w:sz w:val="18"/>
              </w:rPr>
              <w:t>Investment-type amount directly connected with business</w:t>
            </w:r>
          </w:p>
        </w:tc>
        <w:tc>
          <w:tcPr>
            <w:tcW w:type="dxa" w:w="5386"/>
            <w:vAlign w:val="top"/>
          </w:tcPr>
          <w:p>
            <w:pPr>
              <w:spacing w:after="0"/>
            </w:pPr>
            <w:r/>
            <w:r>
              <w:rPr>
                <w:rFonts w:ascii="Times New Roman" w:hAnsi="Times New Roman" w:eastAsia="Times New Roman"/>
                <w:b w:val="0"/>
                <w:sz w:val="18"/>
              </w:rPr>
              <w:t>Where an amount is in the nature of investment income but directly connected with the business, it is included as business income. For example, interest earned by a bank or financial institution from lending is business income.</w:t>
            </w:r>
          </w:p>
        </w:tc>
      </w:tr>
      <w:tr>
        <w:tc>
          <w:tcPr>
            <w:tcW w:type="dxa" w:w="1417"/>
            <w:vAlign w:val="top"/>
          </w:tcPr>
          <w:p>
            <w:pPr>
              <w:spacing w:after="0"/>
            </w:pPr>
            <w:r/>
            <w:r>
              <w:rPr>
                <w:rFonts w:ascii="Times New Roman" w:hAnsi="Times New Roman" w:eastAsia="Times New Roman"/>
                <w:b w:val="0"/>
                <w:sz w:val="18"/>
              </w:rPr>
              <w:t>7(2)(h)</w:t>
            </w:r>
          </w:p>
        </w:tc>
        <w:tc>
          <w:tcPr>
            <w:tcW w:type="dxa" w:w="2381"/>
            <w:vAlign w:val="top"/>
          </w:tcPr>
          <w:p>
            <w:pPr>
              <w:spacing w:after="0"/>
            </w:pPr>
            <w:r/>
            <w:r>
              <w:rPr>
                <w:rFonts w:ascii="Times New Roman" w:hAnsi="Times New Roman" w:eastAsia="Times New Roman"/>
                <w:b w:val="0"/>
                <w:sz w:val="18"/>
              </w:rPr>
              <w:t>Other amounts under Chapters 6 or 7 or Sections 56 or 60</w:t>
            </w:r>
          </w:p>
        </w:tc>
        <w:tc>
          <w:tcPr>
            <w:tcW w:type="dxa" w:w="5386"/>
            <w:vAlign w:val="top"/>
          </w:tcPr>
          <w:p>
            <w:pPr>
              <w:spacing w:after="0"/>
            </w:pPr>
            <w:r/>
            <w:r>
              <w:rPr>
                <w:rFonts w:ascii="Times New Roman" w:hAnsi="Times New Roman" w:eastAsia="Times New Roman"/>
                <w:b w:val="0"/>
                <w:sz w:val="18"/>
              </w:rPr>
              <w:t>This includes amounts recognised under tax accounting provisions, bad debts recovered, long-term contract amounts, quantified benefits, foreign-currency conversion amounts, indirect payments, compensation, financial lease/annuity amounts, transfer pricing adjustments, income splitting adjustments, general anti-avoidance adjustments, non-profit distributions and insurance business amounts.</w:t>
            </w:r>
          </w:p>
        </w:tc>
      </w:tr>
    </w:tbl>
    <w:p/>
    <w:p>
      <w:pPr>
        <w:pStyle w:val="Heading3"/>
      </w:pPr>
      <w:r>
        <w:t>Examples under Section 7(2)</w:t>
      </w:r>
    </w:p>
    <w:tbl>
      <w:tblPr>
        <w:tblStyle w:val="TableGrid"/>
        <w:tblW w:type="auto" w:w="0"/>
        <w:jc w:val="center"/>
        <w:tblLook w:firstColumn="1" w:firstRow="1" w:lastColumn="0" w:lastRow="0" w:noHBand="0" w:noVBand="1" w:val="04A0"/>
      </w:tblPr>
      <w:tblGrid>
        <w:gridCol w:w="3437"/>
        <w:gridCol w:w="3437"/>
        <w:gridCol w:w="3437"/>
      </w:tblGrid>
      <w:tr>
        <w:tc>
          <w:tcPr>
            <w:tcW w:type="dxa" w:w="1247"/>
            <w:vAlign w:val="top"/>
            <w:shd w:fill="D9EAF7"/>
          </w:tcPr>
          <w:p>
            <w:pPr>
              <w:spacing w:after="0"/>
            </w:pPr>
            <w:r/>
            <w:r>
              <w:rPr>
                <w:rFonts w:ascii="Times New Roman" w:hAnsi="Times New Roman" w:eastAsia="Times New Roman"/>
                <w:b/>
                <w:sz w:val="18"/>
              </w:rPr>
              <w:t>Example</w:t>
            </w:r>
          </w:p>
        </w:tc>
        <w:tc>
          <w:tcPr>
            <w:tcW w:type="dxa" w:w="4535"/>
            <w:vAlign w:val="top"/>
            <w:shd w:fill="D9EAF7"/>
          </w:tcPr>
          <w:p>
            <w:pPr>
              <w:spacing w:after="0"/>
            </w:pPr>
            <w:r/>
            <w:r>
              <w:rPr>
                <w:rFonts w:ascii="Times New Roman" w:hAnsi="Times New Roman" w:eastAsia="Times New Roman"/>
                <w:b/>
                <w:sz w:val="18"/>
              </w:rPr>
              <w:t>Facts</w:t>
            </w:r>
          </w:p>
        </w:tc>
        <w:tc>
          <w:tcPr>
            <w:tcW w:type="dxa" w:w="3402"/>
            <w:vAlign w:val="top"/>
            <w:shd w:fill="D9EAF7"/>
          </w:tcPr>
          <w:p>
            <w:pPr>
              <w:spacing w:after="0"/>
            </w:pPr>
            <w:r/>
            <w:r>
              <w:rPr>
                <w:rFonts w:ascii="Times New Roman" w:hAnsi="Times New Roman" w:eastAsia="Times New Roman"/>
                <w:b/>
                <w:sz w:val="18"/>
              </w:rPr>
              <w:t>Tax treatment</w:t>
            </w:r>
          </w:p>
        </w:tc>
      </w:tr>
      <w:tr>
        <w:tc>
          <w:tcPr>
            <w:tcW w:type="dxa" w:w="1247"/>
            <w:vAlign w:val="top"/>
          </w:tcPr>
          <w:p>
            <w:pPr>
              <w:spacing w:after="0"/>
            </w:pPr>
            <w:r/>
            <w:r>
              <w:rPr>
                <w:rFonts w:ascii="Times New Roman" w:hAnsi="Times New Roman" w:eastAsia="Times New Roman"/>
                <w:b w:val="0"/>
                <w:sz w:val="18"/>
              </w:rPr>
              <w:t>18.4.2</w:t>
            </w:r>
          </w:p>
        </w:tc>
        <w:tc>
          <w:tcPr>
            <w:tcW w:type="dxa" w:w="4535"/>
            <w:vAlign w:val="top"/>
          </w:tcPr>
          <w:p>
            <w:pPr>
              <w:spacing w:after="0"/>
            </w:pPr>
            <w:r/>
            <w:r>
              <w:rPr>
                <w:rFonts w:ascii="Times New Roman" w:hAnsi="Times New Roman" w:eastAsia="Times New Roman"/>
                <w:b w:val="0"/>
                <w:sz w:val="18"/>
              </w:rPr>
              <w:t>Pool B depreciation base before depreciation is Rs. 900,000. Furniture in that pool is sold for Rs. 1,000,000.</w:t>
            </w:r>
          </w:p>
        </w:tc>
        <w:tc>
          <w:tcPr>
            <w:tcW w:type="dxa" w:w="3402"/>
            <w:vAlign w:val="top"/>
          </w:tcPr>
          <w:p>
            <w:pPr>
              <w:spacing w:after="0"/>
            </w:pPr>
            <w:r/>
            <w:r>
              <w:rPr>
                <w:rFonts w:ascii="Times New Roman" w:hAnsi="Times New Roman" w:eastAsia="Times New Roman"/>
                <w:b w:val="0"/>
                <w:sz w:val="18"/>
              </w:rPr>
              <w:t>Balancing charge = Rs. 100,000 and is included in income.</w:t>
            </w:r>
          </w:p>
        </w:tc>
      </w:tr>
      <w:tr>
        <w:tc>
          <w:tcPr>
            <w:tcW w:type="dxa" w:w="1247"/>
            <w:vAlign w:val="top"/>
          </w:tcPr>
          <w:p>
            <w:pPr>
              <w:spacing w:after="0"/>
            </w:pPr>
            <w:r/>
            <w:r>
              <w:rPr>
                <w:rFonts w:ascii="Times New Roman" w:hAnsi="Times New Roman" w:eastAsia="Times New Roman"/>
                <w:b w:val="0"/>
                <w:sz w:val="18"/>
              </w:rPr>
              <w:t>18.4.3</w:t>
            </w:r>
          </w:p>
        </w:tc>
        <w:tc>
          <w:tcPr>
            <w:tcW w:type="dxa" w:w="4535"/>
            <w:vAlign w:val="top"/>
          </w:tcPr>
          <w:p>
            <w:pPr>
              <w:spacing w:after="0"/>
            </w:pPr>
            <w:r/>
            <w:r>
              <w:rPr>
                <w:rFonts w:ascii="Times New Roman" w:hAnsi="Times New Roman" w:eastAsia="Times New Roman"/>
                <w:b w:val="0"/>
                <w:sz w:val="18"/>
              </w:rPr>
              <w:t>All Pool B assets are sold. Furniture Rs. 1,000,000 and computer Rs. 500,000, total Rs. 1,500,000. Pool base Rs. 900,000.</w:t>
            </w:r>
          </w:p>
        </w:tc>
        <w:tc>
          <w:tcPr>
            <w:tcW w:type="dxa" w:w="3402"/>
            <w:vAlign w:val="top"/>
          </w:tcPr>
          <w:p>
            <w:pPr>
              <w:spacing w:after="0"/>
            </w:pPr>
            <w:r/>
            <w:r>
              <w:rPr>
                <w:rFonts w:ascii="Times New Roman" w:hAnsi="Times New Roman" w:eastAsia="Times New Roman"/>
                <w:b w:val="0"/>
                <w:sz w:val="18"/>
              </w:rPr>
              <w:t>Gain on dissolution of pool = Rs. 600,000 and is included in income.</w:t>
            </w:r>
          </w:p>
        </w:tc>
      </w:tr>
      <w:tr>
        <w:tc>
          <w:tcPr>
            <w:tcW w:type="dxa" w:w="1247"/>
            <w:vAlign w:val="top"/>
          </w:tcPr>
          <w:p>
            <w:pPr>
              <w:spacing w:after="0"/>
            </w:pPr>
            <w:r/>
            <w:r>
              <w:rPr>
                <w:rFonts w:ascii="Times New Roman" w:hAnsi="Times New Roman" w:eastAsia="Times New Roman"/>
                <w:b w:val="0"/>
                <w:sz w:val="18"/>
              </w:rPr>
              <w:t>18.4.4</w:t>
            </w:r>
          </w:p>
        </w:tc>
        <w:tc>
          <w:tcPr>
            <w:tcW w:type="dxa" w:w="4535"/>
            <w:vAlign w:val="top"/>
          </w:tcPr>
          <w:p>
            <w:pPr>
              <w:spacing w:after="0"/>
            </w:pPr>
            <w:r/>
            <w:r>
              <w:rPr>
                <w:rFonts w:ascii="Times New Roman" w:hAnsi="Times New Roman" w:eastAsia="Times New Roman"/>
                <w:b w:val="0"/>
                <w:sz w:val="18"/>
              </w:rPr>
              <w:t>Computer in the pool is damaged beyond use or stolen; proceeds are nil. Furniture remains in the pool.</w:t>
            </w:r>
          </w:p>
        </w:tc>
        <w:tc>
          <w:tcPr>
            <w:tcW w:type="dxa" w:w="3402"/>
            <w:vAlign w:val="top"/>
          </w:tcPr>
          <w:p>
            <w:pPr>
              <w:spacing w:after="0"/>
            </w:pPr>
            <w:r/>
            <w:r>
              <w:rPr>
                <w:rFonts w:ascii="Times New Roman" w:hAnsi="Times New Roman" w:eastAsia="Times New Roman"/>
                <w:b w:val="0"/>
                <w:sz w:val="18"/>
              </w:rPr>
              <w:t>Disposal is deemed under Section 40, but the pool is not dissolved because another Pool B asset remains. Depreciation is calculated on the remaining pool basis.</w:t>
            </w:r>
          </w:p>
        </w:tc>
      </w:tr>
      <w:tr>
        <w:tc>
          <w:tcPr>
            <w:tcW w:type="dxa" w:w="1247"/>
            <w:vAlign w:val="top"/>
          </w:tcPr>
          <w:p>
            <w:pPr>
              <w:spacing w:after="0"/>
            </w:pPr>
            <w:r/>
            <w:r>
              <w:rPr>
                <w:rFonts w:ascii="Times New Roman" w:hAnsi="Times New Roman" w:eastAsia="Times New Roman"/>
                <w:b w:val="0"/>
                <w:sz w:val="18"/>
              </w:rPr>
              <w:t>18.4.5</w:t>
            </w:r>
          </w:p>
        </w:tc>
        <w:tc>
          <w:tcPr>
            <w:tcW w:type="dxa" w:w="4535"/>
            <w:vAlign w:val="top"/>
          </w:tcPr>
          <w:p>
            <w:pPr>
              <w:spacing w:after="0"/>
            </w:pPr>
            <w:r/>
            <w:r>
              <w:rPr>
                <w:rFonts w:ascii="Times New Roman" w:hAnsi="Times New Roman" w:eastAsia="Times New Roman"/>
                <w:b w:val="0"/>
                <w:sz w:val="18"/>
              </w:rPr>
              <w:t>A dealer of Sony TV receives a TV worth Rs. 25,000 for achieving a sales target.</w:t>
            </w:r>
          </w:p>
        </w:tc>
        <w:tc>
          <w:tcPr>
            <w:tcW w:type="dxa" w:w="3402"/>
            <w:vAlign w:val="top"/>
          </w:tcPr>
          <w:p>
            <w:pPr>
              <w:spacing w:after="0"/>
            </w:pPr>
            <w:r/>
            <w:r>
              <w:rPr>
                <w:rFonts w:ascii="Times New Roman" w:hAnsi="Times New Roman" w:eastAsia="Times New Roman"/>
                <w:b w:val="0"/>
                <w:sz w:val="18"/>
              </w:rPr>
              <w:t>The TV is a business-related gift and must be included in business income.</w:t>
            </w:r>
          </w:p>
        </w:tc>
      </w:tr>
      <w:tr>
        <w:tc>
          <w:tcPr>
            <w:tcW w:type="dxa" w:w="1247"/>
            <w:vAlign w:val="top"/>
          </w:tcPr>
          <w:p>
            <w:pPr>
              <w:spacing w:after="0"/>
            </w:pPr>
            <w:r/>
            <w:r>
              <w:rPr>
                <w:rFonts w:ascii="Times New Roman" w:hAnsi="Times New Roman" w:eastAsia="Times New Roman"/>
                <w:b w:val="0"/>
                <w:sz w:val="18"/>
              </w:rPr>
              <w:t>18.4.6</w:t>
            </w:r>
          </w:p>
        </w:tc>
        <w:tc>
          <w:tcPr>
            <w:tcW w:type="dxa" w:w="4535"/>
            <w:vAlign w:val="top"/>
          </w:tcPr>
          <w:p>
            <w:pPr>
              <w:spacing w:after="0"/>
            </w:pPr>
            <w:r/>
            <w:r>
              <w:rPr>
                <w:rFonts w:ascii="Times New Roman" w:hAnsi="Times New Roman" w:eastAsia="Times New Roman"/>
                <w:b w:val="0"/>
                <w:sz w:val="18"/>
              </w:rPr>
              <w:t>A company agrees not to sell its product in a specified area and receives Rs. 100,000 per month.</w:t>
            </w:r>
          </w:p>
        </w:tc>
        <w:tc>
          <w:tcPr>
            <w:tcW w:type="dxa" w:w="3402"/>
            <w:vAlign w:val="top"/>
          </w:tcPr>
          <w:p>
            <w:pPr>
              <w:spacing w:after="0"/>
            </w:pPr>
            <w:r/>
            <w:r>
              <w:rPr>
                <w:rFonts w:ascii="Times New Roman" w:hAnsi="Times New Roman" w:eastAsia="Times New Roman"/>
                <w:b w:val="0"/>
                <w:sz w:val="18"/>
              </w:rPr>
              <w:t>The amount is received for accepting a business restriction and is included in business income.</w:t>
            </w:r>
          </w:p>
        </w:tc>
      </w:tr>
      <w:tr>
        <w:tc>
          <w:tcPr>
            <w:tcW w:type="dxa" w:w="1247"/>
            <w:vAlign w:val="top"/>
          </w:tcPr>
          <w:p>
            <w:pPr>
              <w:spacing w:after="0"/>
            </w:pPr>
            <w:r/>
            <w:r>
              <w:rPr>
                <w:rFonts w:ascii="Times New Roman" w:hAnsi="Times New Roman" w:eastAsia="Times New Roman"/>
                <w:b w:val="0"/>
                <w:sz w:val="18"/>
              </w:rPr>
              <w:t>18.4.7</w:t>
            </w:r>
          </w:p>
        </w:tc>
        <w:tc>
          <w:tcPr>
            <w:tcW w:type="dxa" w:w="4535"/>
            <w:vAlign w:val="top"/>
          </w:tcPr>
          <w:p>
            <w:pPr>
              <w:spacing w:after="0"/>
            </w:pPr>
            <w:r/>
            <w:r>
              <w:rPr>
                <w:rFonts w:ascii="Times New Roman" w:hAnsi="Times New Roman" w:eastAsia="Times New Roman"/>
                <w:b w:val="0"/>
                <w:sz w:val="18"/>
              </w:rPr>
              <w:t>A lawyer changes from cash basis to accrual basis from 2081/82. Receivables for services already provided are Rs. 80,000; advance already taxed under cash basis is Rs. 30,000; prepaid rent of Rs. 48,000 was already deducted, of which six months relates to 2081/82.</w:t>
            </w:r>
          </w:p>
        </w:tc>
        <w:tc>
          <w:tcPr>
            <w:tcW w:type="dxa" w:w="3402"/>
            <w:vAlign w:val="top"/>
          </w:tcPr>
          <w:p>
            <w:pPr>
              <w:spacing w:after="0"/>
            </w:pPr>
            <w:r/>
            <w:r>
              <w:rPr>
                <w:rFonts w:ascii="Times New Roman" w:hAnsi="Times New Roman" w:eastAsia="Times New Roman"/>
                <w:b w:val="0"/>
                <w:sz w:val="18"/>
              </w:rPr>
              <w:t>Rs. 80,000 is included on transition to accrual basis; Rs. 30,000 is not taxed again; Rs. 24,000 rent relating to 2081/82 is not deducted again because it was already deducted.</w:t>
            </w:r>
          </w:p>
        </w:tc>
      </w:tr>
      <w:tr>
        <w:tc>
          <w:tcPr>
            <w:tcW w:type="dxa" w:w="1247"/>
            <w:vAlign w:val="top"/>
          </w:tcPr>
          <w:p>
            <w:pPr>
              <w:spacing w:after="0"/>
            </w:pPr>
            <w:r/>
            <w:r>
              <w:rPr>
                <w:rFonts w:ascii="Times New Roman" w:hAnsi="Times New Roman" w:eastAsia="Times New Roman"/>
                <w:b w:val="0"/>
                <w:sz w:val="18"/>
              </w:rPr>
              <w:t>18.4.8</w:t>
            </w:r>
          </w:p>
        </w:tc>
        <w:tc>
          <w:tcPr>
            <w:tcW w:type="dxa" w:w="4535"/>
            <w:vAlign w:val="top"/>
          </w:tcPr>
          <w:p>
            <w:pPr>
              <w:spacing w:after="0"/>
            </w:pPr>
            <w:r/>
            <w:r>
              <w:rPr>
                <w:rFonts w:ascii="Times New Roman" w:hAnsi="Times New Roman" w:eastAsia="Times New Roman"/>
                <w:b w:val="0"/>
                <w:sz w:val="18"/>
              </w:rPr>
              <w:t>A service provider receives a television instead of cash; market value Rs. 50,000.</w:t>
            </w:r>
          </w:p>
        </w:tc>
        <w:tc>
          <w:tcPr>
            <w:tcW w:type="dxa" w:w="3402"/>
            <w:vAlign w:val="top"/>
          </w:tcPr>
          <w:p>
            <w:pPr>
              <w:spacing w:after="0"/>
            </w:pPr>
            <w:r/>
            <w:r>
              <w:rPr>
                <w:rFonts w:ascii="Times New Roman" w:hAnsi="Times New Roman" w:eastAsia="Times New Roman"/>
                <w:b w:val="0"/>
                <w:sz w:val="18"/>
              </w:rPr>
              <w:t>Rs. 50,000 is treated as payment received and included in business income.</w:t>
            </w:r>
          </w:p>
        </w:tc>
      </w:tr>
    </w:tbl>
    <w:p/>
    <w:p>
      <w:pPr>
        <w:pStyle w:val="Heading2"/>
      </w:pPr>
      <w:r>
        <w:t>18.5 Amounts Not Included in Business Income</w:t>
      </w:r>
    </w:p>
    <w:p>
      <w:pPr>
        <w:spacing w:after="80"/>
      </w:pPr>
      <w:r>
        <w:rPr>
          <w:rFonts w:ascii="Times New Roman" w:hAnsi="Times New Roman" w:eastAsia="Times New Roman"/>
          <w:b w:val="0"/>
          <w:i w:val="0"/>
          <w:sz w:val="21"/>
        </w:rPr>
        <w:t>Section 7(3) provides that, despite Section 7(2), amounts exempt under Sections 10, 54 and 69 and payments subject to final withholding are not included in computing profits and gains from business.</w:t>
      </w:r>
    </w:p>
    <w:tbl>
      <w:tblPr>
        <w:tblStyle w:val="TableGrid"/>
        <w:tblW w:type="auto" w:w="0"/>
        <w:jc w:val="center"/>
        <w:tblLook w:firstColumn="1" w:firstRow="1" w:lastColumn="0" w:lastRow="0" w:noHBand="0" w:noVBand="1" w:val="04A0"/>
      </w:tblPr>
      <w:tblGrid>
        <w:gridCol w:w="5156"/>
        <w:gridCol w:w="5156"/>
      </w:tblGrid>
      <w:tr>
        <w:tc>
          <w:tcPr>
            <w:tcW w:type="dxa" w:w="2835"/>
            <w:vAlign w:val="top"/>
            <w:shd w:fill="D9EAF7"/>
          </w:tcPr>
          <w:p>
            <w:pPr>
              <w:spacing w:after="0"/>
            </w:pPr>
            <w:r/>
            <w:r>
              <w:rPr>
                <w:rFonts w:ascii="Times New Roman" w:hAnsi="Times New Roman" w:eastAsia="Times New Roman"/>
                <w:b/>
                <w:sz w:val="18"/>
              </w:rPr>
              <w:t>Provision / category</w:t>
            </w:r>
          </w:p>
        </w:tc>
        <w:tc>
          <w:tcPr>
            <w:tcW w:type="dxa" w:w="6236"/>
            <w:vAlign w:val="top"/>
            <w:shd w:fill="D9EAF7"/>
          </w:tcPr>
          <w:p>
            <w:pPr>
              <w:spacing w:after="0"/>
            </w:pPr>
            <w:r/>
            <w:r>
              <w:rPr>
                <w:rFonts w:ascii="Times New Roman" w:hAnsi="Times New Roman" w:eastAsia="Times New Roman"/>
                <w:b/>
                <w:sz w:val="18"/>
              </w:rPr>
              <w:t>Treatment</w:t>
            </w:r>
          </w:p>
        </w:tc>
      </w:tr>
      <w:tr>
        <w:tc>
          <w:tcPr>
            <w:tcW w:type="dxa" w:w="2835"/>
            <w:vAlign w:val="top"/>
          </w:tcPr>
          <w:p>
            <w:pPr>
              <w:spacing w:after="0"/>
            </w:pPr>
            <w:r/>
            <w:r>
              <w:rPr>
                <w:rFonts w:ascii="Times New Roman" w:hAnsi="Times New Roman" w:eastAsia="Times New Roman"/>
                <w:b w:val="0"/>
                <w:sz w:val="18"/>
              </w:rPr>
              <w:t>Section 10 - treaty exemption</w:t>
            </w:r>
          </w:p>
        </w:tc>
        <w:tc>
          <w:tcPr>
            <w:tcW w:type="dxa" w:w="6236"/>
            <w:vAlign w:val="top"/>
          </w:tcPr>
          <w:p>
            <w:pPr>
              <w:spacing w:after="0"/>
            </w:pPr>
            <w:r/>
            <w:r>
              <w:rPr>
                <w:rFonts w:ascii="Times New Roman" w:hAnsi="Times New Roman" w:eastAsia="Times New Roman"/>
                <w:b w:val="0"/>
                <w:sz w:val="18"/>
              </w:rPr>
              <w:t>Amounts received by a person entitled to tax exemption under a bilateral or multilateral treaty/agreement between the Government of Nepal and a foreign state or international organisation are exempt as specified.</w:t>
            </w:r>
          </w:p>
        </w:tc>
      </w:tr>
      <w:tr>
        <w:tc>
          <w:tcPr>
            <w:tcW w:type="dxa" w:w="2835"/>
            <w:vAlign w:val="top"/>
          </w:tcPr>
          <w:p>
            <w:pPr>
              <w:spacing w:after="0"/>
            </w:pPr>
            <w:r/>
            <w:r>
              <w:rPr>
                <w:rFonts w:ascii="Times New Roman" w:hAnsi="Times New Roman" w:eastAsia="Times New Roman"/>
                <w:b w:val="0"/>
                <w:sz w:val="18"/>
              </w:rPr>
              <w:t>Section 10 - exempt organisation</w:t>
            </w:r>
          </w:p>
        </w:tc>
        <w:tc>
          <w:tcPr>
            <w:tcW w:type="dxa" w:w="6236"/>
            <w:vAlign w:val="top"/>
          </w:tcPr>
          <w:p>
            <w:pPr>
              <w:spacing w:after="0"/>
            </w:pPr>
            <w:r/>
            <w:r>
              <w:rPr>
                <w:rFonts w:ascii="Times New Roman" w:hAnsi="Times New Roman" w:eastAsia="Times New Roman"/>
                <w:b w:val="0"/>
                <w:sz w:val="18"/>
              </w:rPr>
              <w:t>Donations, gifts and contributions directly connected with the functions of an exempt organisation and made without expectation of consideration are exempt.</w:t>
            </w:r>
          </w:p>
        </w:tc>
      </w:tr>
      <w:tr>
        <w:tc>
          <w:tcPr>
            <w:tcW w:type="dxa" w:w="2835"/>
            <w:vAlign w:val="top"/>
          </w:tcPr>
          <w:p>
            <w:pPr>
              <w:spacing w:after="0"/>
            </w:pPr>
            <w:r/>
            <w:r>
              <w:rPr>
                <w:rFonts w:ascii="Times New Roman" w:hAnsi="Times New Roman" w:eastAsia="Times New Roman"/>
                <w:b w:val="0"/>
                <w:sz w:val="18"/>
              </w:rPr>
              <w:t>Government income</w:t>
            </w:r>
          </w:p>
        </w:tc>
        <w:tc>
          <w:tcPr>
            <w:tcW w:type="dxa" w:w="6236"/>
            <w:vAlign w:val="top"/>
          </w:tcPr>
          <w:p>
            <w:pPr>
              <w:spacing w:after="0"/>
            </w:pPr>
            <w:r/>
            <w:r>
              <w:rPr>
                <w:rFonts w:ascii="Times New Roman" w:hAnsi="Times New Roman" w:eastAsia="Times New Roman"/>
                <w:b w:val="0"/>
                <w:sz w:val="18"/>
              </w:rPr>
              <w:t>Income of the Government of Nepal, Provincial Government or Local Level is fully exempt. This does not exempt income of a commercial entity fully owned by the Government.</w:t>
            </w:r>
          </w:p>
        </w:tc>
      </w:tr>
      <w:tr>
        <w:tc>
          <w:tcPr>
            <w:tcW w:type="dxa" w:w="2835"/>
            <w:vAlign w:val="top"/>
          </w:tcPr>
          <w:p>
            <w:pPr>
              <w:spacing w:after="0"/>
            </w:pPr>
            <w:r/>
            <w:r>
              <w:rPr>
                <w:rFonts w:ascii="Times New Roman" w:hAnsi="Times New Roman" w:eastAsia="Times New Roman"/>
                <w:b w:val="0"/>
                <w:sz w:val="18"/>
              </w:rPr>
              <w:t>Nepal Rastra Bank</w:t>
            </w:r>
          </w:p>
        </w:tc>
        <w:tc>
          <w:tcPr>
            <w:tcW w:type="dxa" w:w="6236"/>
            <w:vAlign w:val="top"/>
          </w:tcPr>
          <w:p>
            <w:pPr>
              <w:spacing w:after="0"/>
            </w:pPr>
            <w:r/>
            <w:r>
              <w:rPr>
                <w:rFonts w:ascii="Times New Roman" w:hAnsi="Times New Roman" w:eastAsia="Times New Roman"/>
                <w:b w:val="0"/>
                <w:sz w:val="18"/>
              </w:rPr>
              <w:t>Amounts earned by Nepal Rastra Bank in accordance with its objectives are exempt.</w:t>
            </w:r>
          </w:p>
        </w:tc>
      </w:tr>
      <w:tr>
        <w:tc>
          <w:tcPr>
            <w:tcW w:type="dxa" w:w="2835"/>
            <w:vAlign w:val="top"/>
          </w:tcPr>
          <w:p>
            <w:pPr>
              <w:spacing w:after="0"/>
            </w:pPr>
            <w:r/>
            <w:r>
              <w:rPr>
                <w:rFonts w:ascii="Times New Roman" w:hAnsi="Times New Roman" w:eastAsia="Times New Roman"/>
                <w:b w:val="0"/>
                <w:sz w:val="18"/>
              </w:rPr>
              <w:t>Approved mutual fund</w:t>
            </w:r>
          </w:p>
        </w:tc>
        <w:tc>
          <w:tcPr>
            <w:tcW w:type="dxa" w:w="6236"/>
            <w:vAlign w:val="top"/>
          </w:tcPr>
          <w:p>
            <w:pPr>
              <w:spacing w:after="0"/>
            </w:pPr>
            <w:r/>
            <w:r>
              <w:rPr>
                <w:rFonts w:ascii="Times New Roman" w:hAnsi="Times New Roman" w:eastAsia="Times New Roman"/>
                <w:b w:val="0"/>
                <w:sz w:val="18"/>
              </w:rPr>
              <w:t>Amounts earned by a mutual fund approved by the Securities Board of Nepal according to its objective are not included.</w:t>
            </w:r>
          </w:p>
        </w:tc>
      </w:tr>
      <w:tr>
        <w:tc>
          <w:tcPr>
            <w:tcW w:type="dxa" w:w="2835"/>
            <w:vAlign w:val="top"/>
          </w:tcPr>
          <w:p>
            <w:pPr>
              <w:spacing w:after="0"/>
            </w:pPr>
            <w:r/>
            <w:r>
              <w:rPr>
                <w:rFonts w:ascii="Times New Roman" w:hAnsi="Times New Roman" w:eastAsia="Times New Roman"/>
                <w:b w:val="0"/>
                <w:sz w:val="18"/>
              </w:rPr>
              <w:t>Not-for-profit educational institution</w:t>
            </w:r>
          </w:p>
        </w:tc>
        <w:tc>
          <w:tcPr>
            <w:tcW w:type="dxa" w:w="6236"/>
            <w:vAlign w:val="top"/>
          </w:tcPr>
          <w:p>
            <w:pPr>
              <w:spacing w:after="0"/>
            </w:pPr>
            <w:r/>
            <w:r>
              <w:rPr>
                <w:rFonts w:ascii="Times New Roman" w:hAnsi="Times New Roman" w:eastAsia="Times New Roman"/>
                <w:b w:val="0"/>
                <w:sz w:val="18"/>
              </w:rPr>
              <w:t>Income earned according to the objective by an educational institution established and operating under an MoU with the Government of Nepal without earning or distributing profit is not included.</w:t>
            </w:r>
          </w:p>
        </w:tc>
      </w:tr>
      <w:tr>
        <w:tc>
          <w:tcPr>
            <w:tcW w:type="dxa" w:w="2835"/>
            <w:vAlign w:val="top"/>
          </w:tcPr>
          <w:p>
            <w:pPr>
              <w:spacing w:after="0"/>
            </w:pPr>
            <w:r/>
            <w:r>
              <w:rPr>
                <w:rFonts w:ascii="Times New Roman" w:hAnsi="Times New Roman" w:eastAsia="Times New Roman"/>
                <w:b w:val="0"/>
                <w:sz w:val="18"/>
              </w:rPr>
              <w:t>Dividends from company or partnership</w:t>
            </w:r>
          </w:p>
        </w:tc>
        <w:tc>
          <w:tcPr>
            <w:tcW w:type="dxa" w:w="6236"/>
            <w:vAlign w:val="top"/>
          </w:tcPr>
          <w:p>
            <w:pPr>
              <w:spacing w:after="0"/>
            </w:pPr>
            <w:r/>
            <w:r>
              <w:rPr>
                <w:rFonts w:ascii="Times New Roman" w:hAnsi="Times New Roman" w:eastAsia="Times New Roman"/>
                <w:b w:val="0"/>
                <w:sz w:val="18"/>
              </w:rPr>
              <w:t>Dividends distributed by companies and partnerships are taxed through final withholding and are not again included in business income.</w:t>
            </w:r>
          </w:p>
        </w:tc>
      </w:tr>
      <w:tr>
        <w:tc>
          <w:tcPr>
            <w:tcW w:type="dxa" w:w="2835"/>
            <w:vAlign w:val="top"/>
          </w:tcPr>
          <w:p>
            <w:pPr>
              <w:spacing w:after="0"/>
            </w:pPr>
            <w:r/>
            <w:r>
              <w:rPr>
                <w:rFonts w:ascii="Times New Roman" w:hAnsi="Times New Roman" w:eastAsia="Times New Roman"/>
                <w:b w:val="0"/>
                <w:sz w:val="18"/>
              </w:rPr>
              <w:t>Controlled foreign entity distribution</w:t>
            </w:r>
          </w:p>
        </w:tc>
        <w:tc>
          <w:tcPr>
            <w:tcW w:type="dxa" w:w="6236"/>
            <w:vAlign w:val="top"/>
          </w:tcPr>
          <w:p>
            <w:pPr>
              <w:spacing w:after="0"/>
            </w:pPr>
            <w:r/>
            <w:r>
              <w:rPr>
                <w:rFonts w:ascii="Times New Roman" w:hAnsi="Times New Roman" w:eastAsia="Times New Roman"/>
                <w:b w:val="0"/>
                <w:sz w:val="18"/>
              </w:rPr>
              <w:t>Amounts distributed under Section 69(2) are not included again in computing income.</w:t>
            </w:r>
          </w:p>
        </w:tc>
      </w:tr>
      <w:tr>
        <w:tc>
          <w:tcPr>
            <w:tcW w:type="dxa" w:w="2835"/>
            <w:vAlign w:val="top"/>
          </w:tcPr>
          <w:p>
            <w:pPr>
              <w:spacing w:after="0"/>
            </w:pPr>
            <w:r/>
            <w:r>
              <w:rPr>
                <w:rFonts w:ascii="Times New Roman" w:hAnsi="Times New Roman" w:eastAsia="Times New Roman"/>
                <w:b w:val="0"/>
                <w:sz w:val="18"/>
              </w:rPr>
              <w:t>Final withholding payments</w:t>
            </w:r>
          </w:p>
        </w:tc>
        <w:tc>
          <w:tcPr>
            <w:tcW w:type="dxa" w:w="6236"/>
            <w:vAlign w:val="top"/>
          </w:tcPr>
          <w:p>
            <w:pPr>
              <w:spacing w:after="0"/>
            </w:pPr>
            <w:r/>
            <w:r>
              <w:rPr>
                <w:rFonts w:ascii="Times New Roman" w:hAnsi="Times New Roman" w:eastAsia="Times New Roman"/>
                <w:b w:val="0"/>
                <w:sz w:val="18"/>
              </w:rPr>
              <w:t>Payments treated as final withholding under Section 92 are not included again.</w:t>
            </w:r>
          </w:p>
        </w:tc>
      </w:tr>
    </w:tbl>
    <w:p/>
    <w:tbl>
      <w:tblPr>
        <w:tblStyle w:val="TableGrid"/>
        <w:tblW w:type="auto" w:w="0"/>
        <w:jc w:val="center"/>
        <w:tblLook w:firstColumn="1" w:firstRow="1" w:lastColumn="0" w:lastRow="0" w:noHBand="0" w:noVBand="1" w:val="04A0"/>
      </w:tblPr>
      <w:tblGrid>
        <w:gridCol w:w="5156"/>
        <w:gridCol w:w="5156"/>
      </w:tblGrid>
      <w:tr>
        <w:tc>
          <w:tcPr>
            <w:tcW w:type="dxa" w:w="1417"/>
            <w:vAlign w:val="top"/>
            <w:shd w:fill="D9EAF7"/>
          </w:tcPr>
          <w:p>
            <w:pPr>
              <w:spacing w:after="0"/>
            </w:pPr>
            <w:r/>
            <w:r>
              <w:rPr>
                <w:rFonts w:ascii="Times New Roman" w:hAnsi="Times New Roman" w:eastAsia="Times New Roman"/>
                <w:b/>
                <w:sz w:val="18"/>
              </w:rPr>
              <w:t>Example</w:t>
            </w:r>
          </w:p>
        </w:tc>
        <w:tc>
          <w:tcPr>
            <w:tcW w:type="dxa" w:w="7654"/>
            <w:vAlign w:val="top"/>
            <w:shd w:fill="D9EAF7"/>
          </w:tcPr>
          <w:p>
            <w:pPr>
              <w:spacing w:after="0"/>
            </w:pPr>
            <w:r/>
            <w:r>
              <w:rPr>
                <w:rFonts w:ascii="Times New Roman" w:hAnsi="Times New Roman" w:eastAsia="Times New Roman"/>
                <w:b/>
                <w:sz w:val="18"/>
              </w:rPr>
              <w:t>Treatment</w:t>
            </w:r>
          </w:p>
        </w:tc>
      </w:tr>
      <w:tr>
        <w:tc>
          <w:tcPr>
            <w:tcW w:type="dxa" w:w="1417"/>
            <w:vAlign w:val="top"/>
          </w:tcPr>
          <w:p>
            <w:pPr>
              <w:spacing w:after="0"/>
            </w:pPr>
            <w:r/>
            <w:r>
              <w:rPr>
                <w:rFonts w:ascii="Times New Roman" w:hAnsi="Times New Roman" w:eastAsia="Times New Roman"/>
                <w:b w:val="0"/>
                <w:sz w:val="18"/>
              </w:rPr>
              <w:t>18.5.1</w:t>
            </w:r>
          </w:p>
        </w:tc>
        <w:tc>
          <w:tcPr>
            <w:tcW w:type="dxa" w:w="7654"/>
            <w:vAlign w:val="top"/>
          </w:tcPr>
          <w:p>
            <w:pPr>
              <w:spacing w:after="0"/>
            </w:pPr>
            <w:r/>
            <w:r>
              <w:rPr>
                <w:rFonts w:ascii="Times New Roman" w:hAnsi="Times New Roman" w:eastAsia="Times New Roman"/>
                <w:b w:val="0"/>
                <w:sz w:val="18"/>
              </w:rPr>
              <w:t>A registered exempt organisation receives Rs. 500,000 as donations from donors and Rs. 1,000,000 as Government grant for Dalit upliftment work. Both amounts are exempt and not included in income.</w:t>
            </w:r>
          </w:p>
        </w:tc>
      </w:tr>
      <w:tr>
        <w:tc>
          <w:tcPr>
            <w:tcW w:type="dxa" w:w="1417"/>
            <w:vAlign w:val="top"/>
          </w:tcPr>
          <w:p>
            <w:pPr>
              <w:spacing w:after="0"/>
            </w:pPr>
            <w:r/>
            <w:r>
              <w:rPr>
                <w:rFonts w:ascii="Times New Roman" w:hAnsi="Times New Roman" w:eastAsia="Times New Roman"/>
                <w:b w:val="0"/>
                <w:sz w:val="18"/>
              </w:rPr>
              <w:t>18.5.2</w:t>
            </w:r>
          </w:p>
        </w:tc>
        <w:tc>
          <w:tcPr>
            <w:tcW w:type="dxa" w:w="7654"/>
            <w:vAlign w:val="top"/>
          </w:tcPr>
          <w:p>
            <w:pPr>
              <w:spacing w:after="0"/>
            </w:pPr>
            <w:r>
              <w:t>Where an NGO receives an amount from an INGO to conduct computer training for street children and the payer expects training services as consideration, the amount is a service charge and is not exempt merely because the recipient is an exempt organisation.</w:t>
            </w:r>
            <w:r>
              <w:rPr>
                <w:rFonts w:ascii="Times New Roman" w:hAnsi="Times New Roman" w:eastAsia="Times New Roman"/>
                <w:b w:val="0"/>
                <w:sz w:val="18"/>
              </w:rPr>
            </w:r>
          </w:p>
        </w:tc>
      </w:tr>
      <w:tr>
        <w:tc>
          <w:tcPr>
            <w:tcW w:type="dxa" w:w="1417"/>
            <w:vAlign w:val="top"/>
          </w:tcPr>
          <w:p>
            <w:pPr>
              <w:spacing w:after="0"/>
            </w:pPr>
            <w:r/>
            <w:r>
              <w:rPr>
                <w:rFonts w:ascii="Times New Roman" w:hAnsi="Times New Roman" w:eastAsia="Times New Roman"/>
                <w:b w:val="0"/>
                <w:sz w:val="18"/>
              </w:rPr>
              <w:t>18.5.3</w:t>
            </w:r>
          </w:p>
        </w:tc>
        <w:tc>
          <w:tcPr>
            <w:tcW w:type="dxa" w:w="7654"/>
            <w:vAlign w:val="top"/>
          </w:tcPr>
          <w:p>
            <w:pPr>
              <w:spacing w:after="0"/>
            </w:pPr>
            <w:r/>
            <w:r>
              <w:rPr>
                <w:rFonts w:ascii="Times New Roman" w:hAnsi="Times New Roman" w:eastAsia="Times New Roman"/>
                <w:b w:val="0"/>
                <w:sz w:val="18"/>
              </w:rPr>
              <w:t>Interest of Rs. 10,000,000 earned by Nepal Rastra Bank from deposits of a Banking Development Fund is exempt if earned according to NRB objectives; no tax is withheld on such interest payment.</w:t>
            </w:r>
          </w:p>
        </w:tc>
      </w:tr>
    </w:tbl>
    <w:p/>
    <w:p>
      <w:pPr>
        <w:pStyle w:val="Heading2"/>
      </w:pPr>
      <w:r>
        <w:t>18.6 Deductible Amounts</w:t>
      </w:r>
    </w:p>
    <w:p>
      <w:pPr>
        <w:pStyle w:val="Heading3"/>
      </w:pPr>
      <w:r>
        <w:t>18.6.1 General deduction</w:t>
      </w:r>
    </w:p>
    <w:p>
      <w:pPr>
        <w:spacing w:after="80"/>
      </w:pPr>
      <w:r>
        <w:rPr>
          <w:rFonts w:ascii="Times New Roman" w:hAnsi="Times New Roman" w:eastAsia="Times New Roman"/>
          <w:b w:val="0"/>
          <w:i w:val="0"/>
          <w:sz w:val="21"/>
        </w:rPr>
        <w:t>For computing income from business, Section 13 allows deduction of expenses connected with the transaction, provided the expense was incurred in the income year, incurred by the person, and incurred in deriving income from business or investment. Expenses covered by Sections 14 to 19 are deductible only within the limits prescribed in those sections.</w:t>
      </w:r>
    </w:p>
    <w:p>
      <w:pPr>
        <w:spacing w:after="80"/>
      </w:pPr>
      <w:r>
        <w:rPr>
          <w:rFonts w:ascii="Times New Roman" w:hAnsi="Times New Roman" w:eastAsia="Times New Roman"/>
          <w:b w:val="0"/>
          <w:i w:val="0"/>
          <w:sz w:val="21"/>
        </w:rPr>
        <w:t>Example 18.6.1: If Nepal Dakshata Company Pvt. Ltd. incurs advertising expense of Rs. 10,000 for business purposes in income year 2080/81 but pays the cash in 2081/82, the expense belongs to 2080/81 and is deductible in that year. If not claimed in 2080/81, it cannot be claimed in 2081/82 merely because cash was paid later. Preliminary and pre-operating expenses, other than capital expenses, are deductible in a lump sum in the year in which the business commences and cannot be deferred to future years.</w:t>
      </w:r>
    </w:p>
    <w:p>
      <w:pPr>
        <w:pStyle w:val="Heading3"/>
      </w:pPr>
      <w:r>
        <w:t>18.6.2 Interest deduction</w:t>
      </w:r>
    </w:p>
    <w:p>
      <w:pPr>
        <w:spacing w:after="80"/>
      </w:pPr>
      <w:r>
        <w:rPr>
          <w:rFonts w:ascii="Times New Roman" w:hAnsi="Times New Roman" w:eastAsia="Times New Roman"/>
          <w:b w:val="0"/>
          <w:i w:val="0"/>
          <w:sz w:val="21"/>
        </w:rPr>
        <w:t>Under Section 14, interest incurred in an income year on debt obligations created for deriving income from business or investment is deductible. Interest includes payments under a debt obligation other than principal, discounts, premiums, swap payments and the interest component of annuity, instalment sale and financial lease payments under Section 32.</w:t>
      </w:r>
    </w:p>
    <w:tbl>
      <w:tblPr>
        <w:tblStyle w:val="TableGrid"/>
        <w:tblW w:type="auto" w:w="0"/>
        <w:jc w:val="center"/>
        <w:tblLook w:firstColumn="1" w:firstRow="1" w:lastColumn="0" w:lastRow="0" w:noHBand="0" w:noVBand="1" w:val="04A0"/>
      </w:tblPr>
      <w:tblGrid>
        <w:gridCol w:w="5156"/>
        <w:gridCol w:w="5156"/>
      </w:tblGrid>
      <w:tr>
        <w:tc>
          <w:tcPr>
            <w:tcW w:type="dxa" w:w="2835"/>
            <w:vAlign w:val="top"/>
            <w:shd w:fill="D9EAF7"/>
          </w:tcPr>
          <w:p>
            <w:pPr>
              <w:spacing w:after="0"/>
            </w:pPr>
            <w:r/>
            <w:r>
              <w:rPr>
                <w:rFonts w:ascii="Times New Roman" w:hAnsi="Times New Roman" w:eastAsia="Times New Roman"/>
                <w:b/>
                <w:sz w:val="18"/>
              </w:rPr>
              <w:t>Debt obligation / instrument</w:t>
            </w:r>
          </w:p>
        </w:tc>
        <w:tc>
          <w:tcPr>
            <w:tcW w:type="dxa" w:w="6236"/>
            <w:vAlign w:val="top"/>
            <w:shd w:fill="D9EAF7"/>
          </w:tcPr>
          <w:p>
            <w:pPr>
              <w:spacing w:after="0"/>
            </w:pPr>
            <w:r/>
            <w:r>
              <w:rPr>
                <w:rFonts w:ascii="Times New Roman" w:hAnsi="Times New Roman" w:eastAsia="Times New Roman"/>
                <w:b/>
                <w:sz w:val="18"/>
              </w:rPr>
              <w:t>Amounts treated as interest</w:t>
            </w:r>
          </w:p>
        </w:tc>
      </w:tr>
      <w:tr>
        <w:tc>
          <w:tcPr>
            <w:tcW w:type="dxa" w:w="2835"/>
            <w:vAlign w:val="top"/>
          </w:tcPr>
          <w:p>
            <w:pPr>
              <w:spacing w:after="0"/>
            </w:pPr>
            <w:r/>
            <w:r>
              <w:rPr>
                <w:rFonts w:ascii="Times New Roman" w:hAnsi="Times New Roman" w:eastAsia="Times New Roman"/>
                <w:b w:val="0"/>
                <w:sz w:val="18"/>
              </w:rPr>
              <w:t>Loan, borrowing, deposit</w:t>
            </w:r>
          </w:p>
        </w:tc>
        <w:tc>
          <w:tcPr>
            <w:tcW w:type="dxa" w:w="6236"/>
            <w:vAlign w:val="top"/>
          </w:tcPr>
          <w:p>
            <w:pPr>
              <w:spacing w:after="0"/>
            </w:pPr>
            <w:r/>
            <w:r>
              <w:rPr>
                <w:rFonts w:ascii="Times New Roman" w:hAnsi="Times New Roman" w:eastAsia="Times New Roman"/>
                <w:b w:val="0"/>
                <w:sz w:val="18"/>
              </w:rPr>
              <w:t>All payments other than principal, such as interest, service charge, renewal charge, documentation charge and swap charge. Registration, insurance, land revenue or similar charges on collateral are not interest; they are outgoings related to the property or liability.</w:t>
            </w:r>
          </w:p>
        </w:tc>
      </w:tr>
      <w:tr>
        <w:tc>
          <w:tcPr>
            <w:tcW w:type="dxa" w:w="2835"/>
            <w:vAlign w:val="top"/>
          </w:tcPr>
          <w:p>
            <w:pPr>
              <w:spacing w:after="0"/>
            </w:pPr>
            <w:r/>
            <w:r>
              <w:rPr>
                <w:rFonts w:ascii="Times New Roman" w:hAnsi="Times New Roman" w:eastAsia="Times New Roman"/>
                <w:b w:val="0"/>
                <w:sz w:val="18"/>
              </w:rPr>
              <w:t>Annuity</w:t>
            </w:r>
          </w:p>
        </w:tc>
        <w:tc>
          <w:tcPr>
            <w:tcW w:type="dxa" w:w="6236"/>
            <w:vAlign w:val="top"/>
          </w:tcPr>
          <w:p>
            <w:pPr>
              <w:spacing w:after="0"/>
            </w:pPr>
            <w:r/>
            <w:r>
              <w:rPr>
                <w:rFonts w:ascii="Times New Roman" w:hAnsi="Times New Roman" w:eastAsia="Times New Roman"/>
                <w:b w:val="0"/>
                <w:sz w:val="18"/>
              </w:rPr>
              <w:t>Interest, premium and bonus components.</w:t>
            </w:r>
          </w:p>
        </w:tc>
      </w:tr>
      <w:tr>
        <w:tc>
          <w:tcPr>
            <w:tcW w:type="dxa" w:w="2835"/>
            <w:vAlign w:val="top"/>
          </w:tcPr>
          <w:p>
            <w:pPr>
              <w:spacing w:after="0"/>
            </w:pPr>
            <w:r/>
            <w:r>
              <w:rPr>
                <w:rFonts w:ascii="Times New Roman" w:hAnsi="Times New Roman" w:eastAsia="Times New Roman"/>
                <w:b w:val="0"/>
                <w:sz w:val="18"/>
              </w:rPr>
              <w:t>Financial lease</w:t>
            </w:r>
          </w:p>
        </w:tc>
        <w:tc>
          <w:tcPr>
            <w:tcW w:type="dxa" w:w="6236"/>
            <w:vAlign w:val="top"/>
          </w:tcPr>
          <w:p>
            <w:pPr>
              <w:spacing w:after="0"/>
            </w:pPr>
            <w:r/>
            <w:r>
              <w:rPr>
                <w:rFonts w:ascii="Times New Roman" w:hAnsi="Times New Roman" w:eastAsia="Times New Roman"/>
                <w:b w:val="0"/>
                <w:sz w:val="18"/>
              </w:rPr>
              <w:t>Interest and premium components.</w:t>
            </w:r>
          </w:p>
        </w:tc>
      </w:tr>
      <w:tr>
        <w:tc>
          <w:tcPr>
            <w:tcW w:type="dxa" w:w="2835"/>
            <w:vAlign w:val="top"/>
          </w:tcPr>
          <w:p>
            <w:pPr>
              <w:spacing w:after="0"/>
            </w:pPr>
            <w:r/>
            <w:r>
              <w:rPr>
                <w:rFonts w:ascii="Times New Roman" w:hAnsi="Times New Roman" w:eastAsia="Times New Roman"/>
                <w:b w:val="0"/>
                <w:sz w:val="18"/>
              </w:rPr>
              <w:t>Bill of exchange, treasury bill, debenture, bond, savings bond</w:t>
            </w:r>
          </w:p>
        </w:tc>
        <w:tc>
          <w:tcPr>
            <w:tcW w:type="dxa" w:w="6236"/>
            <w:vAlign w:val="top"/>
          </w:tcPr>
          <w:p>
            <w:pPr>
              <w:spacing w:after="0"/>
            </w:pPr>
            <w:r/>
            <w:r>
              <w:rPr>
                <w:rFonts w:ascii="Times New Roman" w:hAnsi="Times New Roman" w:eastAsia="Times New Roman"/>
                <w:b w:val="0"/>
                <w:sz w:val="18"/>
              </w:rPr>
              <w:t>Interest, discount and premium. Issue expenses are outgoings on the liability, not interest.</w:t>
            </w:r>
          </w:p>
        </w:tc>
      </w:tr>
      <w:tr>
        <w:tc>
          <w:tcPr>
            <w:tcW w:type="dxa" w:w="2835"/>
            <w:vAlign w:val="top"/>
          </w:tcPr>
          <w:p>
            <w:pPr>
              <w:spacing w:after="0"/>
            </w:pPr>
            <w:r/>
            <w:r>
              <w:rPr>
                <w:rFonts w:ascii="Times New Roman" w:hAnsi="Times New Roman" w:eastAsia="Times New Roman"/>
                <w:b w:val="0"/>
                <w:sz w:val="18"/>
              </w:rPr>
              <w:t>Deposit / trust arrangement</w:t>
            </w:r>
          </w:p>
        </w:tc>
        <w:tc>
          <w:tcPr>
            <w:tcW w:type="dxa" w:w="6236"/>
            <w:vAlign w:val="top"/>
          </w:tcPr>
          <w:p>
            <w:pPr>
              <w:spacing w:after="0"/>
            </w:pPr>
            <w:r/>
            <w:r>
              <w:rPr>
                <w:rFonts w:ascii="Times New Roman" w:hAnsi="Times New Roman" w:eastAsia="Times New Roman"/>
                <w:b w:val="0"/>
                <w:sz w:val="18"/>
              </w:rPr>
              <w:t>Interest and increase/accretion.</w:t>
            </w:r>
          </w:p>
        </w:tc>
      </w:tr>
    </w:tbl>
    <w:p/>
    <w:p>
      <w:pPr>
        <w:spacing w:after="80"/>
      </w:pPr>
      <w:r>
        <w:rPr>
          <w:rFonts w:ascii="Times New Roman" w:hAnsi="Times New Roman" w:eastAsia="Times New Roman"/>
          <w:b w:val="0"/>
          <w:i w:val="0"/>
          <w:sz w:val="21"/>
        </w:rPr>
        <w:t>Interest on a loan used to acquire an asset becomes deductible from the year in which the asset is used in business. If the asset is not yet used in business, the interest is capitalised to the cost of the asset. Interest on working capital, such as for salary or raw material, is deductible when connected with business.</w:t>
      </w:r>
    </w:p>
    <w:tbl>
      <w:tblPr>
        <w:tblStyle w:val="TableGrid"/>
        <w:tblW w:type="auto" w:w="0"/>
        <w:jc w:val="center"/>
        <w:tblLook w:firstColumn="1" w:firstRow="1" w:lastColumn="0" w:lastRow="0" w:noHBand="0" w:noVBand="1" w:val="04A0"/>
      </w:tblPr>
      <w:tblGrid>
        <w:gridCol w:w="5156"/>
        <w:gridCol w:w="5156"/>
      </w:tblGrid>
      <w:tr>
        <w:tc>
          <w:tcPr>
            <w:tcW w:type="dxa" w:w="1417"/>
            <w:vAlign w:val="top"/>
            <w:shd w:fill="D9EAF7"/>
          </w:tcPr>
          <w:p>
            <w:pPr>
              <w:spacing w:after="0"/>
            </w:pPr>
            <w:r/>
            <w:r>
              <w:rPr>
                <w:rFonts w:ascii="Times New Roman" w:hAnsi="Times New Roman" w:eastAsia="Times New Roman"/>
                <w:b/>
                <w:sz w:val="18"/>
              </w:rPr>
              <w:t>Example</w:t>
            </w:r>
          </w:p>
        </w:tc>
        <w:tc>
          <w:tcPr>
            <w:tcW w:type="dxa" w:w="7654"/>
            <w:vAlign w:val="top"/>
            <w:shd w:fill="D9EAF7"/>
          </w:tcPr>
          <w:p>
            <w:pPr>
              <w:spacing w:after="0"/>
            </w:pPr>
            <w:r/>
            <w:r>
              <w:rPr>
                <w:rFonts w:ascii="Times New Roman" w:hAnsi="Times New Roman" w:eastAsia="Times New Roman"/>
                <w:b/>
                <w:sz w:val="18"/>
              </w:rPr>
              <w:t>Result</w:t>
            </w:r>
          </w:p>
        </w:tc>
      </w:tr>
      <w:tr>
        <w:tc>
          <w:tcPr>
            <w:tcW w:type="dxa" w:w="1417"/>
            <w:vAlign w:val="top"/>
          </w:tcPr>
          <w:p>
            <w:pPr>
              <w:spacing w:after="0"/>
            </w:pPr>
            <w:r/>
            <w:r>
              <w:rPr>
                <w:rFonts w:ascii="Times New Roman" w:hAnsi="Times New Roman" w:eastAsia="Times New Roman"/>
                <w:b w:val="0"/>
                <w:sz w:val="18"/>
              </w:rPr>
              <w:t>18.6.2</w:t>
            </w:r>
          </w:p>
        </w:tc>
        <w:tc>
          <w:tcPr>
            <w:tcW w:type="dxa" w:w="7654"/>
            <w:vAlign w:val="top"/>
          </w:tcPr>
          <w:p>
            <w:pPr>
              <w:spacing w:after="0"/>
            </w:pPr>
            <w:r/>
            <w:r>
              <w:rPr>
                <w:rFonts w:ascii="Times New Roman" w:hAnsi="Times New Roman" w:eastAsia="Times New Roman"/>
                <w:b w:val="0"/>
                <w:sz w:val="18"/>
              </w:rPr>
              <w:t>Interest on a loan taken two years ago to buy a machine that is now in use is deductible in the current year. If the machine has not yet come into use, the interest is capitalised.</w:t>
            </w:r>
          </w:p>
        </w:tc>
      </w:tr>
      <w:tr>
        <w:tc>
          <w:tcPr>
            <w:tcW w:type="dxa" w:w="1417"/>
            <w:vAlign w:val="top"/>
          </w:tcPr>
          <w:p>
            <w:pPr>
              <w:spacing w:after="0"/>
            </w:pPr>
            <w:r/>
            <w:r>
              <w:rPr>
                <w:rFonts w:ascii="Times New Roman" w:hAnsi="Times New Roman" w:eastAsia="Times New Roman"/>
                <w:b w:val="0"/>
                <w:sz w:val="18"/>
              </w:rPr>
              <w:t>18.6.3</w:t>
            </w:r>
          </w:p>
        </w:tc>
        <w:tc>
          <w:tcPr>
            <w:tcW w:type="dxa" w:w="7654"/>
            <w:vAlign w:val="top"/>
          </w:tcPr>
          <w:p>
            <w:pPr>
              <w:spacing w:after="0"/>
            </w:pPr>
            <w:r>
              <w:t>Loan Rs. 20,000,000 at 12% per annum taken on Shrawan 1 to buy a machine used from Baisakh 1. Annual interest Rs. 2,400,000 plus 1% service charge Rs. 200,000 = Rs. 2,600,000. Because the machine was used in the same income year, no interest is capitalised and Rs. 2,600,000 is deductible. Loan registration fee, collateral valuation fee, land revenue, insurance and periodic inspection charges are treated according to their nature as outgoings or ordinary expenses, not interest.</w:t>
            </w:r>
            <w:r>
              <w:rPr>
                <w:rFonts w:ascii="Times New Roman" w:hAnsi="Times New Roman" w:eastAsia="Times New Roman"/>
                <w:b w:val="0"/>
                <w:sz w:val="18"/>
              </w:rPr>
            </w:r>
          </w:p>
        </w:tc>
      </w:tr>
      <w:tr>
        <w:tc>
          <w:tcPr>
            <w:tcW w:type="dxa" w:w="1417"/>
            <w:vAlign w:val="top"/>
          </w:tcPr>
          <w:p>
            <w:pPr>
              <w:spacing w:after="0"/>
            </w:pPr>
            <w:r/>
            <w:r>
              <w:rPr>
                <w:rFonts w:ascii="Times New Roman" w:hAnsi="Times New Roman" w:eastAsia="Times New Roman"/>
                <w:b w:val="0"/>
                <w:sz w:val="18"/>
              </w:rPr>
              <w:t>18.6.4</w:t>
            </w:r>
          </w:p>
        </w:tc>
        <w:tc>
          <w:tcPr>
            <w:tcW w:type="dxa" w:w="7654"/>
            <w:vAlign w:val="top"/>
          </w:tcPr>
          <w:p>
            <w:pPr>
              <w:spacing w:after="0"/>
            </w:pPr>
            <w:r/>
            <w:r>
              <w:rPr>
                <w:rFonts w:ascii="Times New Roman" w:hAnsi="Times New Roman" w:eastAsia="Times New Roman"/>
                <w:b w:val="0"/>
                <w:sz w:val="18"/>
              </w:rPr>
              <w:t>Interest of Rs. 340,000 on an overdraft of Rs. 3,000,000 used to purchase raw jute is deductible as interest on working capital.</w:t>
            </w:r>
          </w:p>
        </w:tc>
      </w:tr>
    </w:tbl>
    <w:p/>
    <w:p>
      <w:pPr>
        <w:spacing w:after="80"/>
      </w:pPr>
      <w:r>
        <w:rPr>
          <w:rFonts w:ascii="Times New Roman" w:hAnsi="Times New Roman" w:eastAsia="Times New Roman"/>
          <w:b w:val="0"/>
          <w:i w:val="0"/>
          <w:sz w:val="21"/>
        </w:rPr>
        <w:t>Section 14(2) restricts interest deduction where a resident entity controlled by a tax-exempt person pays interest to a controlling person or associated person. A resident entity is treated as controlled by a tax-exempt person where, at any time in the year, 25% or more of ownership or control is held by an exempt organisation, a person enjoying Section 11 exemption, a non-resident person, their associated persons, or any combination of them. The allowable interest is limited to interest income included in taxable income plus 50% of adjusted taxable income computed without the relevant related-party interest. Disallowed interest may be carried forward under Section 14(3).</w:t>
      </w:r>
    </w:p>
    <w:tbl>
      <w:tblPr>
        <w:tblStyle w:val="TableGrid"/>
        <w:tblW w:type="auto" w:w="0"/>
        <w:jc w:val="center"/>
        <w:tblLook w:firstColumn="1" w:firstRow="1" w:lastColumn="0" w:lastRow="0" w:noHBand="0" w:noVBand="1" w:val="04A0"/>
      </w:tblPr>
      <w:tblGrid>
        <w:gridCol w:w="5156"/>
        <w:gridCol w:w="5156"/>
      </w:tblGrid>
      <w:tr>
        <w:tc>
          <w:tcPr>
            <w:tcW w:type="dxa" w:w="5669"/>
            <w:vAlign w:val="top"/>
            <w:shd w:fill="D9EAF7"/>
          </w:tcPr>
          <w:p>
            <w:pPr>
              <w:spacing w:after="0"/>
            </w:pPr>
            <w:r/>
            <w:r>
              <w:rPr>
                <w:rFonts w:ascii="Times New Roman" w:hAnsi="Times New Roman" w:eastAsia="Times New Roman"/>
                <w:b/>
                <w:sz w:val="18"/>
              </w:rPr>
              <w:t>Example 18.6.5 - related-party interest restriction</w:t>
            </w:r>
          </w:p>
        </w:tc>
        <w:tc>
          <w:tcPr>
            <w:tcW w:type="dxa" w:w="2835"/>
            <w:vAlign w:val="top"/>
            <w:shd w:fill="D9EAF7"/>
          </w:tcPr>
          <w:p>
            <w:pPr>
              <w:spacing w:after="0"/>
            </w:pPr>
            <w:r/>
            <w:r>
              <w:rPr>
                <w:rFonts w:ascii="Times New Roman" w:hAnsi="Times New Roman" w:eastAsia="Times New Roman"/>
                <w:b/>
                <w:sz w:val="18"/>
              </w:rPr>
              <w:t>Amount (Rs.)</w:t>
            </w:r>
          </w:p>
        </w:tc>
      </w:tr>
      <w:tr>
        <w:tc>
          <w:tcPr>
            <w:tcW w:type="dxa" w:w="5669"/>
            <w:vAlign w:val="top"/>
          </w:tcPr>
          <w:p>
            <w:pPr>
              <w:spacing w:after="0"/>
            </w:pPr>
            <w:r/>
            <w:r>
              <w:rPr>
                <w:rFonts w:ascii="Times New Roman" w:hAnsi="Times New Roman" w:eastAsia="Times New Roman"/>
                <w:b w:val="0"/>
                <w:sz w:val="18"/>
              </w:rPr>
              <w:t>Sales</w:t>
            </w:r>
          </w:p>
        </w:tc>
        <w:tc>
          <w:tcPr>
            <w:tcW w:type="dxa" w:w="2835"/>
            <w:vAlign w:val="top"/>
          </w:tcPr>
          <w:p>
            <w:pPr>
              <w:spacing w:after="0"/>
            </w:pPr>
            <w:r/>
            <w:r>
              <w:rPr>
                <w:rFonts w:ascii="Times New Roman" w:hAnsi="Times New Roman" w:eastAsia="Times New Roman"/>
                <w:b w:val="0"/>
                <w:sz w:val="18"/>
              </w:rPr>
              <w:t>750,000</w:t>
            </w:r>
          </w:p>
        </w:tc>
      </w:tr>
      <w:tr>
        <w:tc>
          <w:tcPr>
            <w:tcW w:type="dxa" w:w="5669"/>
            <w:vAlign w:val="top"/>
          </w:tcPr>
          <w:p>
            <w:pPr>
              <w:spacing w:after="0"/>
            </w:pPr>
            <w:r/>
            <w:r>
              <w:rPr>
                <w:rFonts w:ascii="Times New Roman" w:hAnsi="Times New Roman" w:eastAsia="Times New Roman"/>
                <w:b w:val="0"/>
                <w:sz w:val="18"/>
              </w:rPr>
              <w:t>Interest income</w:t>
            </w:r>
          </w:p>
        </w:tc>
        <w:tc>
          <w:tcPr>
            <w:tcW w:type="dxa" w:w="2835"/>
            <w:vAlign w:val="top"/>
          </w:tcPr>
          <w:p>
            <w:pPr>
              <w:spacing w:after="0"/>
            </w:pPr>
            <w:r/>
            <w:r>
              <w:rPr>
                <w:rFonts w:ascii="Times New Roman" w:hAnsi="Times New Roman" w:eastAsia="Times New Roman"/>
                <w:b w:val="0"/>
                <w:sz w:val="18"/>
              </w:rPr>
              <w:t>5,000</w:t>
            </w:r>
          </w:p>
        </w:tc>
      </w:tr>
      <w:tr>
        <w:tc>
          <w:tcPr>
            <w:tcW w:type="dxa" w:w="5669"/>
            <w:vAlign w:val="top"/>
          </w:tcPr>
          <w:p>
            <w:pPr>
              <w:spacing w:after="0"/>
            </w:pPr>
            <w:r/>
            <w:r>
              <w:rPr>
                <w:rFonts w:ascii="Times New Roman" w:hAnsi="Times New Roman" w:eastAsia="Times New Roman"/>
                <w:b w:val="0"/>
                <w:sz w:val="18"/>
              </w:rPr>
              <w:t>Total inclusions</w:t>
            </w:r>
          </w:p>
        </w:tc>
        <w:tc>
          <w:tcPr>
            <w:tcW w:type="dxa" w:w="2835"/>
            <w:vAlign w:val="top"/>
          </w:tcPr>
          <w:p>
            <w:pPr>
              <w:spacing w:after="0"/>
            </w:pPr>
            <w:r/>
            <w:r>
              <w:rPr>
                <w:rFonts w:ascii="Times New Roman" w:hAnsi="Times New Roman" w:eastAsia="Times New Roman"/>
                <w:b w:val="0"/>
                <w:sz w:val="18"/>
              </w:rPr>
              <w:t>755,000</w:t>
            </w:r>
          </w:p>
        </w:tc>
      </w:tr>
      <w:tr>
        <w:tc>
          <w:tcPr>
            <w:tcW w:type="dxa" w:w="5669"/>
            <w:vAlign w:val="top"/>
          </w:tcPr>
          <w:p>
            <w:pPr>
              <w:spacing w:after="0"/>
            </w:pPr>
            <w:r/>
            <w:r>
              <w:rPr>
                <w:rFonts w:ascii="Times New Roman" w:hAnsi="Times New Roman" w:eastAsia="Times New Roman"/>
                <w:b w:val="0"/>
                <w:sz w:val="18"/>
              </w:rPr>
              <w:t>Cost of sales</w:t>
            </w:r>
          </w:p>
        </w:tc>
        <w:tc>
          <w:tcPr>
            <w:tcW w:type="dxa" w:w="2835"/>
            <w:vAlign w:val="top"/>
          </w:tcPr>
          <w:p>
            <w:pPr>
              <w:spacing w:after="0"/>
            </w:pPr>
            <w:r/>
            <w:r>
              <w:rPr>
                <w:rFonts w:ascii="Times New Roman" w:hAnsi="Times New Roman" w:eastAsia="Times New Roman"/>
                <w:b w:val="0"/>
                <w:sz w:val="18"/>
              </w:rPr>
              <w:t>500,000</w:t>
            </w:r>
          </w:p>
        </w:tc>
      </w:tr>
      <w:tr>
        <w:tc>
          <w:tcPr>
            <w:tcW w:type="dxa" w:w="5669"/>
            <w:vAlign w:val="top"/>
          </w:tcPr>
          <w:p>
            <w:pPr>
              <w:spacing w:after="0"/>
            </w:pPr>
            <w:r/>
            <w:r>
              <w:rPr>
                <w:rFonts w:ascii="Times New Roman" w:hAnsi="Times New Roman" w:eastAsia="Times New Roman"/>
                <w:b w:val="0"/>
                <w:sz w:val="18"/>
              </w:rPr>
              <w:t>Administrative expenses</w:t>
            </w:r>
          </w:p>
        </w:tc>
        <w:tc>
          <w:tcPr>
            <w:tcW w:type="dxa" w:w="2835"/>
            <w:vAlign w:val="top"/>
          </w:tcPr>
          <w:p>
            <w:pPr>
              <w:spacing w:after="0"/>
            </w:pPr>
            <w:r/>
            <w:r>
              <w:rPr>
                <w:rFonts w:ascii="Times New Roman" w:hAnsi="Times New Roman" w:eastAsia="Times New Roman"/>
                <w:b w:val="0"/>
                <w:sz w:val="18"/>
              </w:rPr>
              <w:t>120,000</w:t>
            </w:r>
          </w:p>
        </w:tc>
      </w:tr>
      <w:tr>
        <w:tc>
          <w:tcPr>
            <w:tcW w:type="dxa" w:w="5669"/>
            <w:vAlign w:val="top"/>
          </w:tcPr>
          <w:p>
            <w:pPr>
              <w:spacing w:after="0"/>
            </w:pPr>
            <w:r/>
            <w:r>
              <w:rPr>
                <w:rFonts w:ascii="Times New Roman" w:hAnsi="Times New Roman" w:eastAsia="Times New Roman"/>
                <w:b w:val="0"/>
                <w:sz w:val="18"/>
              </w:rPr>
              <w:t>Interest to others</w:t>
            </w:r>
          </w:p>
        </w:tc>
        <w:tc>
          <w:tcPr>
            <w:tcW w:type="dxa" w:w="2835"/>
            <w:vAlign w:val="top"/>
          </w:tcPr>
          <w:p>
            <w:pPr>
              <w:spacing w:after="0"/>
            </w:pPr>
            <w:r/>
            <w:r>
              <w:rPr>
                <w:rFonts w:ascii="Times New Roman" w:hAnsi="Times New Roman" w:eastAsia="Times New Roman"/>
                <w:b w:val="0"/>
                <w:sz w:val="18"/>
              </w:rPr>
              <w:t>10,000</w:t>
            </w:r>
          </w:p>
        </w:tc>
      </w:tr>
      <w:tr>
        <w:tc>
          <w:tcPr>
            <w:tcW w:type="dxa" w:w="5669"/>
            <w:vAlign w:val="top"/>
          </w:tcPr>
          <w:p>
            <w:pPr>
              <w:spacing w:after="0"/>
            </w:pPr>
            <w:r/>
            <w:r>
              <w:rPr>
                <w:rFonts w:ascii="Times New Roman" w:hAnsi="Times New Roman" w:eastAsia="Times New Roman"/>
                <w:b w:val="0"/>
                <w:sz w:val="18"/>
              </w:rPr>
              <w:t>Depreciation</w:t>
            </w:r>
          </w:p>
        </w:tc>
        <w:tc>
          <w:tcPr>
            <w:tcW w:type="dxa" w:w="2835"/>
            <w:vAlign w:val="top"/>
          </w:tcPr>
          <w:p>
            <w:pPr>
              <w:spacing w:after="0"/>
            </w:pPr>
            <w:r/>
            <w:r>
              <w:rPr>
                <w:rFonts w:ascii="Times New Roman" w:hAnsi="Times New Roman" w:eastAsia="Times New Roman"/>
                <w:b w:val="0"/>
                <w:sz w:val="18"/>
              </w:rPr>
              <w:t>20,000</w:t>
            </w:r>
          </w:p>
        </w:tc>
      </w:tr>
      <w:tr>
        <w:tc>
          <w:tcPr>
            <w:tcW w:type="dxa" w:w="5669"/>
            <w:vAlign w:val="top"/>
          </w:tcPr>
          <w:p>
            <w:pPr>
              <w:spacing w:after="0"/>
            </w:pPr>
            <w:r/>
            <w:r>
              <w:rPr>
                <w:rFonts w:ascii="Times New Roman" w:hAnsi="Times New Roman" w:eastAsia="Times New Roman"/>
                <w:b w:val="0"/>
                <w:sz w:val="18"/>
              </w:rPr>
              <w:t>Deductions excluding controlled-person interest</w:t>
            </w:r>
          </w:p>
        </w:tc>
        <w:tc>
          <w:tcPr>
            <w:tcW w:type="dxa" w:w="2835"/>
            <w:vAlign w:val="top"/>
          </w:tcPr>
          <w:p>
            <w:pPr>
              <w:spacing w:after="0"/>
            </w:pPr>
            <w:r/>
            <w:r>
              <w:rPr>
                <w:rFonts w:ascii="Times New Roman" w:hAnsi="Times New Roman" w:eastAsia="Times New Roman"/>
                <w:b w:val="0"/>
                <w:sz w:val="18"/>
              </w:rPr>
              <w:t>650,000</w:t>
            </w:r>
          </w:p>
        </w:tc>
      </w:tr>
      <w:tr>
        <w:tc>
          <w:tcPr>
            <w:tcW w:type="dxa" w:w="5669"/>
            <w:vAlign w:val="top"/>
          </w:tcPr>
          <w:p>
            <w:pPr>
              <w:spacing w:after="0"/>
            </w:pPr>
            <w:r/>
            <w:r>
              <w:rPr>
                <w:rFonts w:ascii="Times New Roman" w:hAnsi="Times New Roman" w:eastAsia="Times New Roman"/>
                <w:b w:val="0"/>
                <w:sz w:val="18"/>
              </w:rPr>
              <w:t>Adjusted taxable income</w:t>
            </w:r>
          </w:p>
        </w:tc>
        <w:tc>
          <w:tcPr>
            <w:tcW w:type="dxa" w:w="2835"/>
            <w:vAlign w:val="top"/>
          </w:tcPr>
          <w:p>
            <w:pPr>
              <w:spacing w:after="0"/>
            </w:pPr>
            <w:r/>
            <w:r>
              <w:rPr>
                <w:rFonts w:ascii="Times New Roman" w:hAnsi="Times New Roman" w:eastAsia="Times New Roman"/>
                <w:b w:val="0"/>
                <w:sz w:val="18"/>
              </w:rPr>
              <w:t>105,000</w:t>
            </w:r>
          </w:p>
        </w:tc>
      </w:tr>
      <w:tr>
        <w:tc>
          <w:tcPr>
            <w:tcW w:type="dxa" w:w="5669"/>
            <w:vAlign w:val="top"/>
          </w:tcPr>
          <w:p>
            <w:pPr>
              <w:spacing w:after="0"/>
            </w:pPr>
            <w:r/>
            <w:r>
              <w:rPr>
                <w:rFonts w:ascii="Times New Roman" w:hAnsi="Times New Roman" w:eastAsia="Times New Roman"/>
                <w:b w:val="0"/>
                <w:sz w:val="18"/>
              </w:rPr>
              <w:t>50% of adjusted taxable income</w:t>
            </w:r>
          </w:p>
        </w:tc>
        <w:tc>
          <w:tcPr>
            <w:tcW w:type="dxa" w:w="2835"/>
            <w:vAlign w:val="top"/>
          </w:tcPr>
          <w:p>
            <w:pPr>
              <w:spacing w:after="0"/>
            </w:pPr>
            <w:r/>
            <w:r>
              <w:rPr>
                <w:rFonts w:ascii="Times New Roman" w:hAnsi="Times New Roman" w:eastAsia="Times New Roman"/>
                <w:b w:val="0"/>
                <w:sz w:val="18"/>
              </w:rPr>
              <w:t>55,000</w:t>
            </w:r>
          </w:p>
        </w:tc>
      </w:tr>
      <w:tr>
        <w:tc>
          <w:tcPr>
            <w:tcW w:type="dxa" w:w="5669"/>
            <w:vAlign w:val="top"/>
          </w:tcPr>
          <w:p>
            <w:pPr>
              <w:spacing w:after="0"/>
            </w:pPr>
            <w:r/>
            <w:r>
              <w:rPr>
                <w:rFonts w:ascii="Times New Roman" w:hAnsi="Times New Roman" w:eastAsia="Times New Roman"/>
                <w:b w:val="0"/>
                <w:sz w:val="18"/>
              </w:rPr>
              <w:t>Add: interest income</w:t>
            </w:r>
          </w:p>
        </w:tc>
        <w:tc>
          <w:tcPr>
            <w:tcW w:type="dxa" w:w="2835"/>
            <w:vAlign w:val="top"/>
          </w:tcPr>
          <w:p>
            <w:pPr>
              <w:spacing w:after="0"/>
            </w:pPr>
            <w:r/>
            <w:r>
              <w:rPr>
                <w:rFonts w:ascii="Times New Roman" w:hAnsi="Times New Roman" w:eastAsia="Times New Roman"/>
                <w:b w:val="0"/>
                <w:sz w:val="18"/>
              </w:rPr>
              <w:t>5,000</w:t>
            </w:r>
          </w:p>
        </w:tc>
      </w:tr>
      <w:tr>
        <w:tc>
          <w:tcPr>
            <w:tcW w:type="dxa" w:w="5669"/>
            <w:vAlign w:val="top"/>
          </w:tcPr>
          <w:p>
            <w:pPr>
              <w:spacing w:after="0"/>
            </w:pPr>
            <w:r/>
            <w:r>
              <w:rPr>
                <w:rFonts w:ascii="Times New Roman" w:hAnsi="Times New Roman" w:eastAsia="Times New Roman"/>
                <w:b w:val="0"/>
                <w:sz w:val="18"/>
              </w:rPr>
              <w:t>Deductible interest to controlling person</w:t>
            </w:r>
          </w:p>
        </w:tc>
        <w:tc>
          <w:tcPr>
            <w:tcW w:type="dxa" w:w="2835"/>
            <w:vAlign w:val="top"/>
          </w:tcPr>
          <w:p>
            <w:pPr>
              <w:spacing w:after="0"/>
            </w:pPr>
            <w:r/>
            <w:r>
              <w:rPr>
                <w:rFonts w:ascii="Times New Roman" w:hAnsi="Times New Roman" w:eastAsia="Times New Roman"/>
                <w:b w:val="0"/>
                <w:sz w:val="18"/>
              </w:rPr>
              <w:t>60,000</w:t>
            </w:r>
          </w:p>
        </w:tc>
      </w:tr>
      <w:tr>
        <w:tc>
          <w:tcPr>
            <w:tcW w:type="dxa" w:w="5669"/>
            <w:vAlign w:val="top"/>
          </w:tcPr>
          <w:p>
            <w:pPr>
              <w:spacing w:after="0"/>
            </w:pPr>
            <w:r/>
            <w:r>
              <w:rPr>
                <w:rFonts w:ascii="Times New Roman" w:hAnsi="Times New Roman" w:eastAsia="Times New Roman"/>
                <w:b w:val="0"/>
                <w:sz w:val="18"/>
              </w:rPr>
              <w:t>Actual interest paid to controlling person</w:t>
            </w:r>
          </w:p>
        </w:tc>
        <w:tc>
          <w:tcPr>
            <w:tcW w:type="dxa" w:w="2835"/>
            <w:vAlign w:val="top"/>
          </w:tcPr>
          <w:p>
            <w:pPr>
              <w:spacing w:after="0"/>
            </w:pPr>
            <w:r/>
            <w:r>
              <w:rPr>
                <w:rFonts w:ascii="Times New Roman" w:hAnsi="Times New Roman" w:eastAsia="Times New Roman"/>
                <w:b w:val="0"/>
                <w:sz w:val="18"/>
              </w:rPr>
              <w:t>75,000</w:t>
            </w:r>
          </w:p>
        </w:tc>
      </w:tr>
      <w:tr>
        <w:tc>
          <w:tcPr>
            <w:tcW w:type="dxa" w:w="5669"/>
            <w:vAlign w:val="top"/>
          </w:tcPr>
          <w:p>
            <w:pPr>
              <w:spacing w:after="0"/>
            </w:pPr>
            <w:r/>
            <w:r>
              <w:rPr>
                <w:rFonts w:ascii="Times New Roman" w:hAnsi="Times New Roman" w:eastAsia="Times New Roman"/>
                <w:b w:val="0"/>
                <w:sz w:val="18"/>
              </w:rPr>
              <w:t>Carry-forward disallowed interest</w:t>
            </w:r>
          </w:p>
        </w:tc>
        <w:tc>
          <w:tcPr>
            <w:tcW w:type="dxa" w:w="2835"/>
            <w:vAlign w:val="top"/>
          </w:tcPr>
          <w:p>
            <w:pPr>
              <w:spacing w:after="0"/>
            </w:pPr>
            <w:r/>
            <w:r>
              <w:rPr>
                <w:rFonts w:ascii="Times New Roman" w:hAnsi="Times New Roman" w:eastAsia="Times New Roman"/>
                <w:b w:val="0"/>
                <w:sz w:val="18"/>
              </w:rPr>
              <w:t>15,000</w:t>
            </w:r>
          </w:p>
        </w:tc>
      </w:tr>
    </w:tbl>
    <w:p/>
    <w:p>
      <w:pPr>
        <w:pStyle w:val="Heading3"/>
      </w:pPr>
      <w:r>
        <w:t>18.6.3 Deduction for cost of stock-in-trade</w:t>
      </w:r>
    </w:p>
    <w:p>
      <w:pPr>
        <w:spacing w:after="80"/>
      </w:pPr>
      <w:r>
        <w:rPr>
          <w:rFonts w:ascii="Times New Roman" w:hAnsi="Times New Roman" w:eastAsia="Times New Roman"/>
          <w:b w:val="0"/>
          <w:i w:val="0"/>
          <w:sz w:val="21"/>
        </w:rPr>
        <w:t>Section 15 allows deduction for cost of stock-in-trade disposed of during the year. The formula is: opening stock value plus cost of stock-in-trade acquired during the year, less closing stock value. Closing stock is valued at the lower of cost or market value.</w:t>
      </w:r>
    </w:p>
    <w:p>
      <w:pPr>
        <w:spacing w:after="80"/>
      </w:pPr>
      <w:r>
        <w:rPr>
          <w:rFonts w:ascii="Times New Roman" w:hAnsi="Times New Roman" w:eastAsia="Times New Roman"/>
          <w:b w:val="0"/>
          <w:i w:val="0"/>
          <w:sz w:val="21"/>
        </w:rPr>
        <w:t>A person using cash basis may use prime cost or absorption cost. A person using accrual basis must use absorption cost. If actual cost of disposed stock cannot be identified, the person may choose FIFO or weighted average cost. Direct material cost, direct labour cost and factory overhead are included in absorption cost. Repairs and depreciation are not included in factory overhead for income tax purposes because they are dealt with separately under Sections 16 and 19.</w:t>
      </w:r>
    </w:p>
    <w:tbl>
      <w:tblPr>
        <w:tblStyle w:val="TableGrid"/>
        <w:tblW w:type="auto" w:w="0"/>
        <w:jc w:val="center"/>
        <w:tblLook w:firstColumn="1" w:firstRow="1" w:lastColumn="0" w:lastRow="0" w:noHBand="0" w:noVBand="1" w:val="04A0"/>
      </w:tblPr>
      <w:tblGrid>
        <w:gridCol w:w="5156"/>
        <w:gridCol w:w="5156"/>
      </w:tblGrid>
      <w:tr>
        <w:tc>
          <w:tcPr>
            <w:tcW w:type="dxa" w:w="1984"/>
            <w:vAlign w:val="top"/>
            <w:shd w:fill="D9EAF7"/>
          </w:tcPr>
          <w:p>
            <w:pPr>
              <w:spacing w:after="0"/>
            </w:pPr>
            <w:r/>
            <w:r>
              <w:rPr>
                <w:rFonts w:ascii="Times New Roman" w:hAnsi="Times New Roman" w:eastAsia="Times New Roman"/>
                <w:b/>
                <w:sz w:val="18"/>
              </w:rPr>
              <w:t>Example</w:t>
            </w:r>
          </w:p>
        </w:tc>
        <w:tc>
          <w:tcPr>
            <w:tcW w:type="dxa" w:w="7087"/>
            <w:vAlign w:val="top"/>
            <w:shd w:fill="D9EAF7"/>
          </w:tcPr>
          <w:p>
            <w:pPr>
              <w:spacing w:after="0"/>
            </w:pPr>
            <w:r/>
            <w:r>
              <w:rPr>
                <w:rFonts w:ascii="Times New Roman" w:hAnsi="Times New Roman" w:eastAsia="Times New Roman"/>
                <w:b/>
                <w:sz w:val="18"/>
              </w:rPr>
              <w:t>Computation</w:t>
            </w:r>
          </w:p>
        </w:tc>
      </w:tr>
      <w:tr>
        <w:tc>
          <w:tcPr>
            <w:tcW w:type="dxa" w:w="1984"/>
            <w:vAlign w:val="top"/>
          </w:tcPr>
          <w:p>
            <w:pPr>
              <w:spacing w:after="0"/>
            </w:pPr>
            <w:r/>
            <w:r>
              <w:rPr>
                <w:rFonts w:ascii="Times New Roman" w:hAnsi="Times New Roman" w:eastAsia="Times New Roman"/>
                <w:b w:val="0"/>
                <w:sz w:val="18"/>
              </w:rPr>
              <w:t>18.6.6 FIFO</w:t>
            </w:r>
          </w:p>
        </w:tc>
        <w:tc>
          <w:tcPr>
            <w:tcW w:type="dxa" w:w="7087"/>
            <w:vAlign w:val="top"/>
          </w:tcPr>
          <w:p>
            <w:pPr>
              <w:spacing w:after="0"/>
            </w:pPr>
            <w:r/>
            <w:r>
              <w:rPr>
                <w:rFonts w:ascii="Times New Roman" w:hAnsi="Times New Roman" w:eastAsia="Times New Roman"/>
                <w:b w:val="0"/>
                <w:sz w:val="18"/>
              </w:rPr>
              <w:t>Purchases: 5 units @ Rs. 10 = Rs. 50; 10 units @ Rs. 11 = Rs. 110. Issues: 3 units and 6 units. Under FIFO, cost of issues = Rs. 94 and closing stock = 6 units costing Rs. 66.</w:t>
            </w:r>
          </w:p>
        </w:tc>
      </w:tr>
      <w:tr>
        <w:tc>
          <w:tcPr>
            <w:tcW w:type="dxa" w:w="1984"/>
            <w:vAlign w:val="top"/>
          </w:tcPr>
          <w:p>
            <w:pPr>
              <w:spacing w:after="0"/>
            </w:pPr>
            <w:r/>
            <w:r>
              <w:rPr>
                <w:rFonts w:ascii="Times New Roman" w:hAnsi="Times New Roman" w:eastAsia="Times New Roman"/>
                <w:b w:val="0"/>
                <w:sz w:val="18"/>
              </w:rPr>
              <w:t>18.6.7 Weighted average</w:t>
            </w:r>
          </w:p>
        </w:tc>
        <w:tc>
          <w:tcPr>
            <w:tcW w:type="dxa" w:w="7087"/>
            <w:vAlign w:val="top"/>
          </w:tcPr>
          <w:p>
            <w:pPr>
              <w:spacing w:after="0"/>
            </w:pPr>
            <w:r/>
            <w:r>
              <w:rPr>
                <w:rFonts w:ascii="Times New Roman" w:hAnsi="Times New Roman" w:eastAsia="Times New Roman"/>
                <w:b w:val="0"/>
                <w:sz w:val="18"/>
              </w:rPr>
              <w:t>Using weighted average cost, cost of issues = Rs. 95.94 and closing stock = Rs. 64.06.</w:t>
            </w:r>
          </w:p>
        </w:tc>
      </w:tr>
      <w:tr>
        <w:tc>
          <w:tcPr>
            <w:tcW w:type="dxa" w:w="1984"/>
            <w:vAlign w:val="top"/>
          </w:tcPr>
          <w:p>
            <w:pPr>
              <w:spacing w:after="0"/>
            </w:pPr>
            <w:r/>
            <w:r>
              <w:rPr>
                <w:rFonts w:ascii="Times New Roman" w:hAnsi="Times New Roman" w:eastAsia="Times New Roman"/>
                <w:b w:val="0"/>
                <w:sz w:val="18"/>
              </w:rPr>
              <w:t>18.6.8 Direct material cost</w:t>
            </w:r>
          </w:p>
        </w:tc>
        <w:tc>
          <w:tcPr>
            <w:tcW w:type="dxa" w:w="7087"/>
            <w:vAlign w:val="top"/>
          </w:tcPr>
          <w:p>
            <w:pPr>
              <w:spacing w:after="0"/>
            </w:pPr>
            <w:r/>
            <w:r>
              <w:rPr>
                <w:rFonts w:ascii="Times New Roman" w:hAnsi="Times New Roman" w:eastAsia="Times New Roman"/>
                <w:b w:val="0"/>
                <w:sz w:val="18"/>
              </w:rPr>
              <w:t>Raw material invoice Rs. 100,000; loading at Birgunj Rs. 5,000; truck freight to Kathmandu factory Rs. 20,000; municipality tax Rs. 2,000; other expense Rs. 1,000; unloading at factory Rs. 10,000. Total direct material cost would be Rs. 138,000, but if Rs. 1,000 relates to a past year, current-year direct material cost is Rs. 137,000.</w:t>
            </w:r>
          </w:p>
        </w:tc>
      </w:tr>
      <w:tr>
        <w:tc>
          <w:tcPr>
            <w:tcW w:type="dxa" w:w="1984"/>
            <w:vAlign w:val="top"/>
          </w:tcPr>
          <w:p>
            <w:pPr>
              <w:spacing w:after="0"/>
            </w:pPr>
            <w:r/>
            <w:r>
              <w:rPr>
                <w:rFonts w:ascii="Times New Roman" w:hAnsi="Times New Roman" w:eastAsia="Times New Roman"/>
                <w:b w:val="0"/>
                <w:sz w:val="18"/>
              </w:rPr>
              <w:t>18.6.9 Direct labour cost</w:t>
            </w:r>
          </w:p>
        </w:tc>
        <w:tc>
          <w:tcPr>
            <w:tcW w:type="dxa" w:w="7087"/>
            <w:vAlign w:val="top"/>
          </w:tcPr>
          <w:p>
            <w:pPr>
              <w:spacing w:after="0"/>
            </w:pPr>
            <w:r/>
            <w:r>
              <w:rPr>
                <w:rFonts w:ascii="Times New Roman" w:hAnsi="Times New Roman" w:eastAsia="Times New Roman"/>
                <w:b w:val="0"/>
                <w:sz w:val="18"/>
              </w:rPr>
              <w:t>If 10 workers are used and Rs. 200,000 is paid as wages to convert raw material into finished goods, that amount is direct labour cost.</w:t>
            </w:r>
          </w:p>
        </w:tc>
      </w:tr>
    </w:tbl>
    <w:p/>
    <w:p>
      <w:pPr>
        <w:pStyle w:val="Heading3"/>
      </w:pPr>
      <w:r>
        <w:t>18.6.4 Repairs and improvement expenses</w:t>
      </w:r>
    </w:p>
    <w:p>
      <w:pPr>
        <w:spacing w:after="80"/>
      </w:pPr>
      <w:r>
        <w:rPr>
          <w:rFonts w:ascii="Times New Roman" w:hAnsi="Times New Roman" w:eastAsia="Times New Roman"/>
          <w:b w:val="0"/>
          <w:i w:val="0"/>
          <w:sz w:val="21"/>
        </w:rPr>
        <w:t>Repair and improvement expenditure is treated according to the nature of the asset: repairs to depreciable property under Section 16, repairs to business assets under Section 38, repairs to stock-in-trade under Section 15, and repairs of third-party property under contract under Section 13.</w:t>
      </w:r>
    </w:p>
    <w:p>
      <w:pPr>
        <w:spacing w:after="80"/>
      </w:pPr>
      <w:r>
        <w:rPr>
          <w:rFonts w:ascii="Times New Roman" w:hAnsi="Times New Roman" w:eastAsia="Times New Roman"/>
          <w:b w:val="0"/>
          <w:i w:val="0"/>
          <w:sz w:val="21"/>
        </w:rPr>
        <w:t>For depreciable property owned and used in business or investment, Section 16 allows deduction of repair or improvement expenses, but the deduction for a pool cannot exceed 7% of the depreciation base of that pool at the end of the income year. Excess is added to the depreciation base of the relevant pool at the beginning of the next income year. The limit does not apply to repairs of aircraft incurred by an air-transport service provider for inspections under standards prescribed by the Civil Aviation Authority of Nepal.</w:t>
      </w:r>
    </w:p>
    <w:tbl>
      <w:tblPr>
        <w:tblStyle w:val="TableGrid"/>
        <w:tblW w:type="auto" w:w="0"/>
        <w:jc w:val="center"/>
        <w:tblLook w:firstColumn="1" w:firstRow="1" w:lastColumn="0" w:lastRow="0" w:noHBand="0" w:noVBand="1" w:val="04A0"/>
      </w:tblPr>
      <w:tblGrid>
        <w:gridCol w:w="1719"/>
        <w:gridCol w:w="1719"/>
        <w:gridCol w:w="1719"/>
        <w:gridCol w:w="1719"/>
        <w:gridCol w:w="1719"/>
        <w:gridCol w:w="1719"/>
      </w:tblGrid>
      <w:tr>
        <w:tc>
          <w:tcPr>
            <w:tcW w:type="dxa" w:w="2835"/>
            <w:vAlign w:val="top"/>
            <w:shd w:fill="D9EAF7"/>
          </w:tcPr>
          <w:p>
            <w:pPr>
              <w:spacing w:after="0"/>
            </w:pPr>
            <w:r/>
            <w:r>
              <w:rPr>
                <w:rFonts w:ascii="Times New Roman" w:hAnsi="Times New Roman" w:eastAsia="Times New Roman"/>
                <w:b/>
                <w:sz w:val="18"/>
              </w:rPr>
              <w:t>Example 18.6.10</w:t>
            </w:r>
          </w:p>
        </w:tc>
        <w:tc>
          <w:tcPr>
            <w:tcW w:type="dxa" w:w="1417"/>
            <w:vAlign w:val="top"/>
            <w:shd w:fill="D9EAF7"/>
          </w:tcPr>
          <w:p>
            <w:pPr>
              <w:spacing w:after="0"/>
            </w:pPr>
            <w:r/>
            <w:r>
              <w:rPr>
                <w:rFonts w:ascii="Times New Roman" w:hAnsi="Times New Roman" w:eastAsia="Times New Roman"/>
                <w:b/>
                <w:sz w:val="18"/>
              </w:rPr>
              <w:t>Repair expense</w:t>
            </w:r>
          </w:p>
        </w:tc>
        <w:tc>
          <w:tcPr>
            <w:tcW w:type="dxa" w:w="1417"/>
            <w:vAlign w:val="top"/>
            <w:shd w:fill="D9EAF7"/>
          </w:tcPr>
          <w:p>
            <w:pPr>
              <w:spacing w:after="0"/>
            </w:pPr>
            <w:r/>
            <w:r>
              <w:rPr>
                <w:rFonts w:ascii="Times New Roman" w:hAnsi="Times New Roman" w:eastAsia="Times New Roman"/>
                <w:b/>
                <w:sz w:val="18"/>
              </w:rPr>
              <w:t>Depreciation base</w:t>
            </w:r>
          </w:p>
        </w:tc>
        <w:tc>
          <w:tcPr>
            <w:tcW w:type="dxa" w:w="1417"/>
            <w:vAlign w:val="top"/>
            <w:shd w:fill="D9EAF7"/>
          </w:tcPr>
          <w:p>
            <w:pPr>
              <w:spacing w:after="0"/>
            </w:pPr>
            <w:r/>
            <w:r>
              <w:rPr>
                <w:rFonts w:ascii="Times New Roman" w:hAnsi="Times New Roman" w:eastAsia="Times New Roman"/>
                <w:b/>
                <w:sz w:val="18"/>
              </w:rPr>
              <w:t>7% limit</w:t>
            </w:r>
          </w:p>
        </w:tc>
        <w:tc>
          <w:tcPr>
            <w:tcW w:type="dxa" w:w="1417"/>
            <w:vAlign w:val="top"/>
            <w:shd w:fill="D9EAF7"/>
          </w:tcPr>
          <w:p>
            <w:pPr>
              <w:spacing w:after="0"/>
            </w:pPr>
            <w:r/>
            <w:r>
              <w:rPr>
                <w:rFonts w:ascii="Times New Roman" w:hAnsi="Times New Roman" w:eastAsia="Times New Roman"/>
                <w:b/>
                <w:sz w:val="18"/>
              </w:rPr>
              <w:t>Deductible</w:t>
            </w:r>
          </w:p>
        </w:tc>
        <w:tc>
          <w:tcPr>
            <w:tcW w:type="dxa" w:w="1701"/>
            <w:vAlign w:val="top"/>
            <w:shd w:fill="D9EAF7"/>
          </w:tcPr>
          <w:p>
            <w:pPr>
              <w:spacing w:after="0"/>
            </w:pPr>
            <w:r/>
            <w:r>
              <w:rPr>
                <w:rFonts w:ascii="Times New Roman" w:hAnsi="Times New Roman" w:eastAsia="Times New Roman"/>
                <w:b/>
                <w:sz w:val="18"/>
              </w:rPr>
              <w:t>Added to pool next year</w:t>
            </w:r>
          </w:p>
        </w:tc>
      </w:tr>
      <w:tr>
        <w:tc>
          <w:tcPr>
            <w:tcW w:type="dxa" w:w="2835"/>
            <w:vAlign w:val="top"/>
          </w:tcPr>
          <w:p>
            <w:pPr>
              <w:spacing w:after="0"/>
            </w:pPr>
            <w:r/>
            <w:r>
              <w:rPr>
                <w:rFonts w:ascii="Times New Roman" w:hAnsi="Times New Roman" w:eastAsia="Times New Roman"/>
                <w:b w:val="0"/>
                <w:sz w:val="18"/>
              </w:rPr>
              <w:t>Building pool</w:t>
            </w:r>
          </w:p>
        </w:tc>
        <w:tc>
          <w:tcPr>
            <w:tcW w:type="dxa" w:w="1417"/>
            <w:vAlign w:val="top"/>
          </w:tcPr>
          <w:p>
            <w:pPr>
              <w:spacing w:after="0"/>
            </w:pPr>
            <w:r/>
            <w:r>
              <w:rPr>
                <w:rFonts w:ascii="Times New Roman" w:hAnsi="Times New Roman" w:eastAsia="Times New Roman"/>
                <w:b w:val="0"/>
                <w:sz w:val="18"/>
              </w:rPr>
              <w:t>1,000,000</w:t>
            </w:r>
          </w:p>
        </w:tc>
        <w:tc>
          <w:tcPr>
            <w:tcW w:type="dxa" w:w="1417"/>
            <w:vAlign w:val="top"/>
          </w:tcPr>
          <w:p>
            <w:pPr>
              <w:spacing w:after="0"/>
            </w:pPr>
            <w:r/>
            <w:r>
              <w:rPr>
                <w:rFonts w:ascii="Times New Roman" w:hAnsi="Times New Roman" w:eastAsia="Times New Roman"/>
                <w:b w:val="0"/>
                <w:sz w:val="18"/>
              </w:rPr>
              <w:t>50,000,000</w:t>
            </w:r>
          </w:p>
        </w:tc>
        <w:tc>
          <w:tcPr>
            <w:tcW w:type="dxa" w:w="1417"/>
            <w:vAlign w:val="top"/>
          </w:tcPr>
          <w:p>
            <w:pPr>
              <w:spacing w:after="0"/>
            </w:pPr>
            <w:r/>
            <w:r>
              <w:rPr>
                <w:rFonts w:ascii="Times New Roman" w:hAnsi="Times New Roman" w:eastAsia="Times New Roman"/>
                <w:b w:val="0"/>
                <w:sz w:val="18"/>
              </w:rPr>
              <w:t>3,500,000</w:t>
            </w:r>
          </w:p>
        </w:tc>
        <w:tc>
          <w:tcPr>
            <w:tcW w:type="dxa" w:w="1417"/>
            <w:vAlign w:val="top"/>
          </w:tcPr>
          <w:p>
            <w:pPr>
              <w:spacing w:after="0"/>
            </w:pPr>
            <w:r/>
            <w:r>
              <w:rPr>
                <w:rFonts w:ascii="Times New Roman" w:hAnsi="Times New Roman" w:eastAsia="Times New Roman"/>
                <w:b w:val="0"/>
                <w:sz w:val="18"/>
              </w:rPr>
              <w:t>1,000,000</w:t>
            </w:r>
          </w:p>
        </w:tc>
        <w:tc>
          <w:tcPr>
            <w:tcW w:type="dxa" w:w="1701"/>
            <w:vAlign w:val="top"/>
          </w:tcPr>
          <w:p>
            <w:pPr>
              <w:spacing w:after="0"/>
            </w:pPr>
            <w:r/>
            <w:r>
              <w:rPr>
                <w:rFonts w:ascii="Times New Roman" w:hAnsi="Times New Roman" w:eastAsia="Times New Roman"/>
                <w:b w:val="0"/>
                <w:sz w:val="18"/>
              </w:rPr>
              <w:t>0</w:t>
            </w:r>
          </w:p>
        </w:tc>
      </w:tr>
      <w:tr>
        <w:tc>
          <w:tcPr>
            <w:tcW w:type="dxa" w:w="2835"/>
            <w:vAlign w:val="top"/>
          </w:tcPr>
          <w:p>
            <w:pPr>
              <w:spacing w:after="0"/>
            </w:pPr>
            <w:r/>
            <w:r>
              <w:rPr>
                <w:rFonts w:ascii="Times New Roman" w:hAnsi="Times New Roman" w:eastAsia="Times New Roman"/>
                <w:b w:val="0"/>
                <w:sz w:val="18"/>
              </w:rPr>
              <w:t>Computer and office equipment pool</w:t>
            </w:r>
          </w:p>
        </w:tc>
        <w:tc>
          <w:tcPr>
            <w:tcW w:type="dxa" w:w="1417"/>
            <w:vAlign w:val="top"/>
          </w:tcPr>
          <w:p>
            <w:pPr>
              <w:spacing w:after="0"/>
            </w:pPr>
            <w:r/>
            <w:r>
              <w:rPr>
                <w:rFonts w:ascii="Times New Roman" w:hAnsi="Times New Roman" w:eastAsia="Times New Roman"/>
                <w:b w:val="0"/>
                <w:sz w:val="18"/>
              </w:rPr>
              <w:t>50,000</w:t>
            </w:r>
          </w:p>
        </w:tc>
        <w:tc>
          <w:tcPr>
            <w:tcW w:type="dxa" w:w="1417"/>
            <w:vAlign w:val="top"/>
          </w:tcPr>
          <w:p>
            <w:pPr>
              <w:spacing w:after="0"/>
            </w:pPr>
            <w:r/>
            <w:r>
              <w:rPr>
                <w:rFonts w:ascii="Times New Roman" w:hAnsi="Times New Roman" w:eastAsia="Times New Roman"/>
                <w:b w:val="0"/>
                <w:sz w:val="18"/>
              </w:rPr>
              <w:t>400,000</w:t>
            </w:r>
          </w:p>
        </w:tc>
        <w:tc>
          <w:tcPr>
            <w:tcW w:type="dxa" w:w="1417"/>
            <w:vAlign w:val="top"/>
          </w:tcPr>
          <w:p>
            <w:pPr>
              <w:spacing w:after="0"/>
            </w:pPr>
            <w:r/>
            <w:r>
              <w:rPr>
                <w:rFonts w:ascii="Times New Roman" w:hAnsi="Times New Roman" w:eastAsia="Times New Roman"/>
                <w:b w:val="0"/>
                <w:sz w:val="18"/>
              </w:rPr>
              <w:t>28,000</w:t>
            </w:r>
          </w:p>
        </w:tc>
        <w:tc>
          <w:tcPr>
            <w:tcW w:type="dxa" w:w="1417"/>
            <w:vAlign w:val="top"/>
          </w:tcPr>
          <w:p>
            <w:pPr>
              <w:spacing w:after="0"/>
            </w:pPr>
            <w:r/>
            <w:r>
              <w:rPr>
                <w:rFonts w:ascii="Times New Roman" w:hAnsi="Times New Roman" w:eastAsia="Times New Roman"/>
                <w:b w:val="0"/>
                <w:sz w:val="18"/>
              </w:rPr>
              <w:t>28,000</w:t>
            </w:r>
          </w:p>
        </w:tc>
        <w:tc>
          <w:tcPr>
            <w:tcW w:type="dxa" w:w="1701"/>
            <w:vAlign w:val="top"/>
          </w:tcPr>
          <w:p>
            <w:pPr>
              <w:spacing w:after="0"/>
            </w:pPr>
            <w:r/>
            <w:r>
              <w:rPr>
                <w:rFonts w:ascii="Times New Roman" w:hAnsi="Times New Roman" w:eastAsia="Times New Roman"/>
                <w:b w:val="0"/>
                <w:sz w:val="18"/>
              </w:rPr>
              <w:t>22,000</w:t>
            </w:r>
          </w:p>
        </w:tc>
      </w:tr>
      <w:tr>
        <w:tc>
          <w:tcPr>
            <w:tcW w:type="dxa" w:w="2835"/>
            <w:vAlign w:val="top"/>
          </w:tcPr>
          <w:p>
            <w:pPr>
              <w:spacing w:after="0"/>
            </w:pPr>
            <w:r/>
            <w:r>
              <w:rPr>
                <w:rFonts w:ascii="Times New Roman" w:hAnsi="Times New Roman" w:eastAsia="Times New Roman"/>
                <w:b w:val="0"/>
                <w:sz w:val="18"/>
              </w:rPr>
              <w:t>Automobile pool</w:t>
            </w:r>
          </w:p>
        </w:tc>
        <w:tc>
          <w:tcPr>
            <w:tcW w:type="dxa" w:w="1417"/>
            <w:vAlign w:val="top"/>
          </w:tcPr>
          <w:p>
            <w:pPr>
              <w:spacing w:after="0"/>
            </w:pPr>
            <w:r/>
            <w:r>
              <w:rPr>
                <w:rFonts w:ascii="Times New Roman" w:hAnsi="Times New Roman" w:eastAsia="Times New Roman"/>
                <w:b w:val="0"/>
                <w:sz w:val="18"/>
              </w:rPr>
              <w:t>800,000</w:t>
            </w:r>
          </w:p>
        </w:tc>
        <w:tc>
          <w:tcPr>
            <w:tcW w:type="dxa" w:w="1417"/>
            <w:vAlign w:val="top"/>
          </w:tcPr>
          <w:p>
            <w:pPr>
              <w:spacing w:after="0"/>
            </w:pPr>
            <w:r/>
            <w:r>
              <w:rPr>
                <w:rFonts w:ascii="Times New Roman" w:hAnsi="Times New Roman" w:eastAsia="Times New Roman"/>
                <w:b w:val="0"/>
                <w:sz w:val="18"/>
              </w:rPr>
              <w:t>8,000,000</w:t>
            </w:r>
          </w:p>
        </w:tc>
        <w:tc>
          <w:tcPr>
            <w:tcW w:type="dxa" w:w="1417"/>
            <w:vAlign w:val="top"/>
          </w:tcPr>
          <w:p>
            <w:pPr>
              <w:spacing w:after="0"/>
            </w:pPr>
            <w:r/>
            <w:r>
              <w:rPr>
                <w:rFonts w:ascii="Times New Roman" w:hAnsi="Times New Roman" w:eastAsia="Times New Roman"/>
                <w:b w:val="0"/>
                <w:sz w:val="18"/>
              </w:rPr>
              <w:t>560,000</w:t>
            </w:r>
          </w:p>
        </w:tc>
        <w:tc>
          <w:tcPr>
            <w:tcW w:type="dxa" w:w="1417"/>
            <w:vAlign w:val="top"/>
          </w:tcPr>
          <w:p>
            <w:pPr>
              <w:spacing w:after="0"/>
            </w:pPr>
            <w:r/>
            <w:r>
              <w:rPr>
                <w:rFonts w:ascii="Times New Roman" w:hAnsi="Times New Roman" w:eastAsia="Times New Roman"/>
                <w:b w:val="0"/>
                <w:sz w:val="18"/>
              </w:rPr>
              <w:t>560,000</w:t>
            </w:r>
          </w:p>
        </w:tc>
        <w:tc>
          <w:tcPr>
            <w:tcW w:type="dxa" w:w="1701"/>
            <w:vAlign w:val="top"/>
          </w:tcPr>
          <w:p>
            <w:pPr>
              <w:spacing w:after="0"/>
            </w:pPr>
            <w:r/>
            <w:r>
              <w:rPr>
                <w:rFonts w:ascii="Times New Roman" w:hAnsi="Times New Roman" w:eastAsia="Times New Roman"/>
                <w:b w:val="0"/>
                <w:sz w:val="18"/>
              </w:rPr>
              <w:t>240,000</w:t>
            </w:r>
          </w:p>
        </w:tc>
      </w:tr>
    </w:tbl>
    <w:p/>
    <w:p>
      <w:pPr>
        <w:spacing w:after="80"/>
      </w:pPr>
      <w:r>
        <w:rPr>
          <w:rFonts w:ascii="Times New Roman" w:hAnsi="Times New Roman" w:eastAsia="Times New Roman"/>
          <w:b w:val="0"/>
          <w:i w:val="0"/>
          <w:sz w:val="21"/>
        </w:rPr>
        <w:t>Where property is taken on lease or rent and repairs are made by the user, the repair expense is generally claimed under Section 13, not under Section 16, because the asset is not owned by the taxpayer.</w:t>
      </w:r>
    </w:p>
    <w:p>
      <w:pPr>
        <w:pStyle w:val="Heading3"/>
      </w:pPr>
      <w:r>
        <w:t>18.6.5 Pollution control expense</w:t>
      </w:r>
    </w:p>
    <w:p>
      <w:pPr>
        <w:spacing w:after="80"/>
      </w:pPr>
      <w:r>
        <w:rPr>
          <w:rFonts w:ascii="Times New Roman" w:hAnsi="Times New Roman" w:eastAsia="Times New Roman"/>
          <w:b w:val="0"/>
          <w:i w:val="0"/>
          <w:sz w:val="21"/>
        </w:rPr>
        <w:t>Section 17 allows deduction of pollution control expense incurred in operating a business. Pollution control expense means expense incurred in relation to a process for controlling pollution or otherwise preserving or protecting the environment. The deduction in an income year cannot exceed 50% of adjusted taxable income from all businesses. Excess expense is capitalised at the beginning of the next income year and depreciated under Schedule 2.</w:t>
      </w:r>
    </w:p>
    <w:tbl>
      <w:tblPr>
        <w:tblStyle w:val="TableGrid"/>
        <w:tblW w:type="auto" w:w="0"/>
        <w:jc w:val="center"/>
        <w:tblLook w:firstColumn="1" w:firstRow="1" w:lastColumn="0" w:lastRow="0" w:noHBand="0" w:noVBand="1" w:val="04A0"/>
      </w:tblPr>
      <w:tblGrid>
        <w:gridCol w:w="5156"/>
        <w:gridCol w:w="5156"/>
      </w:tblGrid>
      <w:tr>
        <w:tc>
          <w:tcPr>
            <w:tcW w:type="dxa" w:w="5669"/>
            <w:vAlign w:val="top"/>
            <w:shd w:fill="D9EAF7"/>
          </w:tcPr>
          <w:p>
            <w:pPr>
              <w:spacing w:after="0"/>
            </w:pPr>
            <w:r/>
            <w:r>
              <w:rPr>
                <w:rFonts w:ascii="Times New Roman" w:hAnsi="Times New Roman" w:eastAsia="Times New Roman"/>
                <w:b/>
                <w:sz w:val="18"/>
              </w:rPr>
              <w:t>Example 18.6.11 - pollution control expense</w:t>
            </w:r>
          </w:p>
        </w:tc>
        <w:tc>
          <w:tcPr>
            <w:tcW w:type="dxa" w:w="2835"/>
            <w:vAlign w:val="top"/>
            <w:shd w:fill="D9EAF7"/>
          </w:tcPr>
          <w:p>
            <w:pPr>
              <w:spacing w:after="0"/>
            </w:pPr>
            <w:r/>
            <w:r>
              <w:rPr>
                <w:rFonts w:ascii="Times New Roman" w:hAnsi="Times New Roman" w:eastAsia="Times New Roman"/>
                <w:b/>
                <w:sz w:val="18"/>
              </w:rPr>
              <w:t>Amount (Rs.)</w:t>
            </w:r>
          </w:p>
        </w:tc>
      </w:tr>
      <w:tr>
        <w:tc>
          <w:tcPr>
            <w:tcW w:type="dxa" w:w="5669"/>
            <w:vAlign w:val="top"/>
          </w:tcPr>
          <w:p>
            <w:pPr>
              <w:spacing w:after="0"/>
            </w:pPr>
            <w:r/>
            <w:r>
              <w:rPr>
                <w:rFonts w:ascii="Times New Roman" w:hAnsi="Times New Roman" w:eastAsia="Times New Roman"/>
                <w:b w:val="0"/>
                <w:sz w:val="18"/>
              </w:rPr>
              <w:t>Inclusions</w:t>
            </w:r>
          </w:p>
        </w:tc>
        <w:tc>
          <w:tcPr>
            <w:tcW w:type="dxa" w:w="2835"/>
            <w:vAlign w:val="top"/>
          </w:tcPr>
          <w:p>
            <w:pPr>
              <w:spacing w:after="0"/>
            </w:pPr>
            <w:r/>
            <w:r>
              <w:rPr>
                <w:rFonts w:ascii="Times New Roman" w:hAnsi="Times New Roman" w:eastAsia="Times New Roman"/>
                <w:b w:val="0"/>
                <w:sz w:val="18"/>
              </w:rPr>
              <w:t>7,155,000</w:t>
            </w:r>
          </w:p>
        </w:tc>
      </w:tr>
      <w:tr>
        <w:tc>
          <w:tcPr>
            <w:tcW w:type="dxa" w:w="5669"/>
            <w:vAlign w:val="top"/>
          </w:tcPr>
          <w:p>
            <w:pPr>
              <w:spacing w:after="0"/>
            </w:pPr>
            <w:r/>
            <w:r>
              <w:rPr>
                <w:rFonts w:ascii="Times New Roman" w:hAnsi="Times New Roman" w:eastAsia="Times New Roman"/>
                <w:b w:val="0"/>
                <w:sz w:val="18"/>
              </w:rPr>
              <w:t>Less: interest expense</w:t>
            </w:r>
          </w:p>
        </w:tc>
        <w:tc>
          <w:tcPr>
            <w:tcW w:type="dxa" w:w="2835"/>
            <w:vAlign w:val="top"/>
          </w:tcPr>
          <w:p>
            <w:pPr>
              <w:spacing w:after="0"/>
            </w:pPr>
            <w:r/>
            <w:r>
              <w:rPr>
                <w:rFonts w:ascii="Times New Roman" w:hAnsi="Times New Roman" w:eastAsia="Times New Roman"/>
                <w:b w:val="0"/>
                <w:sz w:val="18"/>
              </w:rPr>
              <w:t>280,000</w:t>
            </w:r>
          </w:p>
        </w:tc>
      </w:tr>
      <w:tr>
        <w:tc>
          <w:tcPr>
            <w:tcW w:type="dxa" w:w="5669"/>
            <w:vAlign w:val="top"/>
          </w:tcPr>
          <w:p>
            <w:pPr>
              <w:spacing w:after="0"/>
            </w:pPr>
            <w:r>
              <w:t>Less: cost of stock-in-trade</w:t>
            </w:r>
            <w:r>
              <w:rPr>
                <w:rFonts w:ascii="Times New Roman" w:hAnsi="Times New Roman" w:eastAsia="Times New Roman"/>
                <w:b w:val="0"/>
                <w:sz w:val="18"/>
              </w:rPr>
            </w:r>
          </w:p>
        </w:tc>
        <w:tc>
          <w:tcPr>
            <w:tcW w:type="dxa" w:w="2835"/>
            <w:vAlign w:val="top"/>
          </w:tcPr>
          <w:p>
            <w:pPr>
              <w:spacing w:after="0"/>
            </w:pPr>
            <w:r/>
            <w:r>
              <w:rPr>
                <w:rFonts w:ascii="Times New Roman" w:hAnsi="Times New Roman" w:eastAsia="Times New Roman"/>
                <w:b w:val="0"/>
                <w:sz w:val="18"/>
              </w:rPr>
              <w:t>4,400,000</w:t>
            </w:r>
          </w:p>
        </w:tc>
      </w:tr>
      <w:tr>
        <w:tc>
          <w:tcPr>
            <w:tcW w:type="dxa" w:w="5669"/>
            <w:vAlign w:val="top"/>
          </w:tcPr>
          <w:p>
            <w:pPr>
              <w:spacing w:after="0"/>
            </w:pPr>
            <w:r/>
            <w:r>
              <w:rPr>
                <w:rFonts w:ascii="Times New Roman" w:hAnsi="Times New Roman" w:eastAsia="Times New Roman"/>
                <w:b w:val="0"/>
                <w:sz w:val="18"/>
              </w:rPr>
              <w:t>Less: depreciation</w:t>
            </w:r>
          </w:p>
        </w:tc>
        <w:tc>
          <w:tcPr>
            <w:tcW w:type="dxa" w:w="2835"/>
            <w:vAlign w:val="top"/>
          </w:tcPr>
          <w:p>
            <w:pPr>
              <w:spacing w:after="0"/>
            </w:pPr>
            <w:r/>
            <w:r>
              <w:rPr>
                <w:rFonts w:ascii="Times New Roman" w:hAnsi="Times New Roman" w:eastAsia="Times New Roman"/>
                <w:b w:val="0"/>
                <w:sz w:val="18"/>
              </w:rPr>
              <w:t>50,000</w:t>
            </w:r>
          </w:p>
        </w:tc>
      </w:tr>
      <w:tr>
        <w:tc>
          <w:tcPr>
            <w:tcW w:type="dxa" w:w="5669"/>
            <w:vAlign w:val="top"/>
          </w:tcPr>
          <w:p>
            <w:pPr>
              <w:spacing w:after="0"/>
            </w:pPr>
            <w:r/>
            <w:r>
              <w:rPr>
                <w:rFonts w:ascii="Times New Roman" w:hAnsi="Times New Roman" w:eastAsia="Times New Roman"/>
                <w:b w:val="0"/>
                <w:sz w:val="18"/>
              </w:rPr>
              <w:t>Less: administrative expenses</w:t>
            </w:r>
          </w:p>
        </w:tc>
        <w:tc>
          <w:tcPr>
            <w:tcW w:type="dxa" w:w="2835"/>
            <w:vAlign w:val="top"/>
          </w:tcPr>
          <w:p>
            <w:pPr>
              <w:spacing w:after="0"/>
            </w:pPr>
            <w:r/>
            <w:r>
              <w:rPr>
                <w:rFonts w:ascii="Times New Roman" w:hAnsi="Times New Roman" w:eastAsia="Times New Roman"/>
                <w:b w:val="0"/>
                <w:sz w:val="18"/>
              </w:rPr>
              <w:t>500,000</w:t>
            </w:r>
          </w:p>
        </w:tc>
      </w:tr>
      <w:tr>
        <w:tc>
          <w:tcPr>
            <w:tcW w:type="dxa" w:w="5669"/>
            <w:vAlign w:val="top"/>
          </w:tcPr>
          <w:p>
            <w:pPr>
              <w:spacing w:after="0"/>
            </w:pPr>
            <w:r/>
            <w:r>
              <w:rPr>
                <w:rFonts w:ascii="Times New Roman" w:hAnsi="Times New Roman" w:eastAsia="Times New Roman"/>
                <w:b w:val="0"/>
                <w:sz w:val="18"/>
              </w:rPr>
              <w:t>Less: R&amp;D expense</w:t>
            </w:r>
          </w:p>
        </w:tc>
        <w:tc>
          <w:tcPr>
            <w:tcW w:type="dxa" w:w="2835"/>
            <w:vAlign w:val="top"/>
          </w:tcPr>
          <w:p>
            <w:pPr>
              <w:spacing w:after="0"/>
            </w:pPr>
            <w:r/>
            <w:r>
              <w:rPr>
                <w:rFonts w:ascii="Times New Roman" w:hAnsi="Times New Roman" w:eastAsia="Times New Roman"/>
                <w:b w:val="0"/>
                <w:sz w:val="18"/>
              </w:rPr>
              <w:t>700,000</w:t>
            </w:r>
          </w:p>
        </w:tc>
      </w:tr>
      <w:tr>
        <w:tc>
          <w:tcPr>
            <w:tcW w:type="dxa" w:w="5669"/>
            <w:vAlign w:val="top"/>
          </w:tcPr>
          <w:p>
            <w:pPr>
              <w:spacing w:after="0"/>
            </w:pPr>
            <w:r/>
            <w:r>
              <w:rPr>
                <w:rFonts w:ascii="Times New Roman" w:hAnsi="Times New Roman" w:eastAsia="Times New Roman"/>
                <w:b w:val="0"/>
                <w:sz w:val="18"/>
              </w:rPr>
              <w:t>Total deductions before pollution control</w:t>
            </w:r>
          </w:p>
        </w:tc>
        <w:tc>
          <w:tcPr>
            <w:tcW w:type="dxa" w:w="2835"/>
            <w:vAlign w:val="top"/>
          </w:tcPr>
          <w:p>
            <w:pPr>
              <w:spacing w:after="0"/>
            </w:pPr>
            <w:r/>
            <w:r>
              <w:rPr>
                <w:rFonts w:ascii="Times New Roman" w:hAnsi="Times New Roman" w:eastAsia="Times New Roman"/>
                <w:b w:val="0"/>
                <w:sz w:val="18"/>
              </w:rPr>
              <w:t>5,930,000</w:t>
            </w:r>
          </w:p>
        </w:tc>
      </w:tr>
      <w:tr>
        <w:tc>
          <w:tcPr>
            <w:tcW w:type="dxa" w:w="5669"/>
            <w:vAlign w:val="top"/>
          </w:tcPr>
          <w:p>
            <w:pPr>
              <w:spacing w:after="0"/>
            </w:pPr>
            <w:r/>
            <w:r>
              <w:rPr>
                <w:rFonts w:ascii="Times New Roman" w:hAnsi="Times New Roman" w:eastAsia="Times New Roman"/>
                <w:b w:val="0"/>
                <w:sz w:val="18"/>
              </w:rPr>
              <w:t>Adjusted taxable income</w:t>
            </w:r>
          </w:p>
        </w:tc>
        <w:tc>
          <w:tcPr>
            <w:tcW w:type="dxa" w:w="2835"/>
            <w:vAlign w:val="top"/>
          </w:tcPr>
          <w:p>
            <w:pPr>
              <w:spacing w:after="0"/>
            </w:pPr>
            <w:r/>
            <w:r>
              <w:rPr>
                <w:rFonts w:ascii="Times New Roman" w:hAnsi="Times New Roman" w:eastAsia="Times New Roman"/>
                <w:b w:val="0"/>
                <w:sz w:val="18"/>
              </w:rPr>
              <w:t>1,225,000</w:t>
            </w:r>
          </w:p>
        </w:tc>
      </w:tr>
      <w:tr>
        <w:tc>
          <w:tcPr>
            <w:tcW w:type="dxa" w:w="5669"/>
            <w:vAlign w:val="top"/>
          </w:tcPr>
          <w:p>
            <w:pPr>
              <w:spacing w:after="0"/>
            </w:pPr>
            <w:r/>
            <w:r>
              <w:rPr>
                <w:rFonts w:ascii="Times New Roman" w:hAnsi="Times New Roman" w:eastAsia="Times New Roman"/>
                <w:b w:val="0"/>
                <w:sz w:val="18"/>
              </w:rPr>
              <w:t>50% limit</w:t>
            </w:r>
          </w:p>
        </w:tc>
        <w:tc>
          <w:tcPr>
            <w:tcW w:type="dxa" w:w="2835"/>
            <w:vAlign w:val="top"/>
          </w:tcPr>
          <w:p>
            <w:pPr>
              <w:spacing w:after="0"/>
            </w:pPr>
            <w:r/>
            <w:r>
              <w:rPr>
                <w:rFonts w:ascii="Times New Roman" w:hAnsi="Times New Roman" w:eastAsia="Times New Roman"/>
                <w:b w:val="0"/>
                <w:sz w:val="18"/>
              </w:rPr>
              <w:t>612,500</w:t>
            </w:r>
          </w:p>
        </w:tc>
      </w:tr>
      <w:tr>
        <w:tc>
          <w:tcPr>
            <w:tcW w:type="dxa" w:w="5669"/>
            <w:vAlign w:val="top"/>
          </w:tcPr>
          <w:p>
            <w:pPr>
              <w:spacing w:after="0"/>
            </w:pPr>
            <w:r/>
            <w:r>
              <w:rPr>
                <w:rFonts w:ascii="Times New Roman" w:hAnsi="Times New Roman" w:eastAsia="Times New Roman"/>
                <w:b w:val="0"/>
                <w:sz w:val="18"/>
              </w:rPr>
              <w:t>Actual pollution control expense</w:t>
            </w:r>
          </w:p>
        </w:tc>
        <w:tc>
          <w:tcPr>
            <w:tcW w:type="dxa" w:w="2835"/>
            <w:vAlign w:val="top"/>
          </w:tcPr>
          <w:p>
            <w:pPr>
              <w:spacing w:after="0"/>
            </w:pPr>
            <w:r/>
            <w:r>
              <w:rPr>
                <w:rFonts w:ascii="Times New Roman" w:hAnsi="Times New Roman" w:eastAsia="Times New Roman"/>
                <w:b w:val="0"/>
                <w:sz w:val="18"/>
              </w:rPr>
              <w:t>1,200,000</w:t>
            </w:r>
          </w:p>
        </w:tc>
      </w:tr>
      <w:tr>
        <w:tc>
          <w:tcPr>
            <w:tcW w:type="dxa" w:w="5669"/>
            <w:vAlign w:val="top"/>
          </w:tcPr>
          <w:p>
            <w:pPr>
              <w:spacing w:after="0"/>
            </w:pPr>
            <w:r/>
            <w:r>
              <w:rPr>
                <w:rFonts w:ascii="Times New Roman" w:hAnsi="Times New Roman" w:eastAsia="Times New Roman"/>
                <w:b w:val="0"/>
                <w:sz w:val="18"/>
              </w:rPr>
              <w:t>Deductible in current year</w:t>
            </w:r>
          </w:p>
        </w:tc>
        <w:tc>
          <w:tcPr>
            <w:tcW w:type="dxa" w:w="2835"/>
            <w:vAlign w:val="top"/>
          </w:tcPr>
          <w:p>
            <w:pPr>
              <w:spacing w:after="0"/>
            </w:pPr>
            <w:r/>
            <w:r>
              <w:rPr>
                <w:rFonts w:ascii="Times New Roman" w:hAnsi="Times New Roman" w:eastAsia="Times New Roman"/>
                <w:b w:val="0"/>
                <w:sz w:val="18"/>
              </w:rPr>
              <w:t>612,500</w:t>
            </w:r>
          </w:p>
        </w:tc>
      </w:tr>
      <w:tr>
        <w:tc>
          <w:tcPr>
            <w:tcW w:type="dxa" w:w="5669"/>
            <w:vAlign w:val="top"/>
          </w:tcPr>
          <w:p>
            <w:pPr>
              <w:spacing w:after="0"/>
            </w:pPr>
            <w:r/>
            <w:r>
              <w:rPr>
                <w:rFonts w:ascii="Times New Roman" w:hAnsi="Times New Roman" w:eastAsia="Times New Roman"/>
                <w:b w:val="0"/>
                <w:sz w:val="18"/>
              </w:rPr>
              <w:t>Capitalised to Pool D</w:t>
            </w:r>
          </w:p>
        </w:tc>
        <w:tc>
          <w:tcPr>
            <w:tcW w:type="dxa" w:w="2835"/>
            <w:vAlign w:val="top"/>
          </w:tcPr>
          <w:p>
            <w:pPr>
              <w:spacing w:after="0"/>
            </w:pPr>
            <w:r/>
            <w:r>
              <w:rPr>
                <w:rFonts w:ascii="Times New Roman" w:hAnsi="Times New Roman" w:eastAsia="Times New Roman"/>
                <w:b w:val="0"/>
                <w:sz w:val="18"/>
              </w:rPr>
              <w:t>587,500</w:t>
            </w:r>
          </w:p>
        </w:tc>
      </w:tr>
    </w:tbl>
    <w:p/>
    <w:p>
      <w:pPr>
        <w:pStyle w:val="Heading3"/>
      </w:pPr>
      <w:r>
        <w:t>18.6.6 Research and development expense</w:t>
      </w:r>
    </w:p>
    <w:p>
      <w:pPr>
        <w:spacing w:after="80"/>
      </w:pPr>
      <w:r>
        <w:rPr>
          <w:rFonts w:ascii="Times New Roman" w:hAnsi="Times New Roman" w:eastAsia="Times New Roman"/>
          <w:b w:val="0"/>
          <w:i w:val="0"/>
          <w:sz w:val="21"/>
        </w:rPr>
        <w:t>Section 18 allows deduction of research and development expense incurred in operating the business. Such expense means expense incurred to develop the person's business and improve commercial production or process, but excludes the cost of acquiring assets referred to in Schedule 2. The annual deduction cannot exceed 50% of adjusted taxable income from all businesses. Excess is capitalised and depreciated under Schedule 2.</w:t>
      </w:r>
    </w:p>
    <w:tbl>
      <w:tblPr>
        <w:tblStyle w:val="TableGrid"/>
        <w:tblW w:type="auto" w:w="0"/>
        <w:jc w:val="center"/>
        <w:tblLook w:firstColumn="1" w:firstRow="1" w:lastColumn="0" w:lastRow="0" w:noHBand="0" w:noVBand="1" w:val="04A0"/>
      </w:tblPr>
      <w:tblGrid>
        <w:gridCol w:w="5156"/>
        <w:gridCol w:w="5156"/>
      </w:tblGrid>
      <w:tr>
        <w:tc>
          <w:tcPr>
            <w:tcW w:type="dxa" w:w="5669"/>
            <w:vAlign w:val="top"/>
            <w:shd w:fill="D9EAF7"/>
          </w:tcPr>
          <w:p>
            <w:pPr>
              <w:spacing w:after="0"/>
            </w:pPr>
            <w:r/>
            <w:r>
              <w:rPr>
                <w:rFonts w:ascii="Times New Roman" w:hAnsi="Times New Roman" w:eastAsia="Times New Roman"/>
                <w:b/>
                <w:sz w:val="18"/>
              </w:rPr>
              <w:t>Example 18.6.12 - research and development expense</w:t>
            </w:r>
          </w:p>
        </w:tc>
        <w:tc>
          <w:tcPr>
            <w:tcW w:type="dxa" w:w="2835"/>
            <w:vAlign w:val="top"/>
            <w:shd w:fill="D9EAF7"/>
          </w:tcPr>
          <w:p>
            <w:pPr>
              <w:spacing w:after="0"/>
            </w:pPr>
            <w:r/>
            <w:r>
              <w:rPr>
                <w:rFonts w:ascii="Times New Roman" w:hAnsi="Times New Roman" w:eastAsia="Times New Roman"/>
                <w:b/>
                <w:sz w:val="18"/>
              </w:rPr>
              <w:t>Amount (Rs.)</w:t>
            </w:r>
          </w:p>
        </w:tc>
      </w:tr>
      <w:tr>
        <w:tc>
          <w:tcPr>
            <w:tcW w:type="dxa" w:w="5669"/>
            <w:vAlign w:val="top"/>
          </w:tcPr>
          <w:p>
            <w:pPr>
              <w:spacing w:after="0"/>
            </w:pPr>
            <w:r/>
            <w:r>
              <w:rPr>
                <w:rFonts w:ascii="Times New Roman" w:hAnsi="Times New Roman" w:eastAsia="Times New Roman"/>
                <w:b w:val="0"/>
                <w:sz w:val="18"/>
              </w:rPr>
              <w:t>Inclusions</w:t>
            </w:r>
          </w:p>
        </w:tc>
        <w:tc>
          <w:tcPr>
            <w:tcW w:type="dxa" w:w="2835"/>
            <w:vAlign w:val="top"/>
          </w:tcPr>
          <w:p>
            <w:pPr>
              <w:spacing w:after="0"/>
            </w:pPr>
            <w:r/>
            <w:r>
              <w:rPr>
                <w:rFonts w:ascii="Times New Roman" w:hAnsi="Times New Roman" w:eastAsia="Times New Roman"/>
                <w:b w:val="0"/>
                <w:sz w:val="18"/>
              </w:rPr>
              <w:t>7,155,000</w:t>
            </w:r>
          </w:p>
        </w:tc>
      </w:tr>
      <w:tr>
        <w:tc>
          <w:tcPr>
            <w:tcW w:type="dxa" w:w="5669"/>
            <w:vAlign w:val="top"/>
          </w:tcPr>
          <w:p>
            <w:pPr>
              <w:spacing w:after="0"/>
            </w:pPr>
            <w:r/>
            <w:r>
              <w:rPr>
                <w:rFonts w:ascii="Times New Roman" w:hAnsi="Times New Roman" w:eastAsia="Times New Roman"/>
                <w:b w:val="0"/>
                <w:sz w:val="18"/>
              </w:rPr>
              <w:t>Less: interest expense</w:t>
            </w:r>
          </w:p>
        </w:tc>
        <w:tc>
          <w:tcPr>
            <w:tcW w:type="dxa" w:w="2835"/>
            <w:vAlign w:val="top"/>
          </w:tcPr>
          <w:p>
            <w:pPr>
              <w:spacing w:after="0"/>
            </w:pPr>
            <w:r/>
            <w:r>
              <w:rPr>
                <w:rFonts w:ascii="Times New Roman" w:hAnsi="Times New Roman" w:eastAsia="Times New Roman"/>
                <w:b w:val="0"/>
                <w:sz w:val="18"/>
              </w:rPr>
              <w:t>280,000</w:t>
            </w:r>
          </w:p>
        </w:tc>
      </w:tr>
      <w:tr>
        <w:tc>
          <w:tcPr>
            <w:tcW w:type="dxa" w:w="5669"/>
            <w:vAlign w:val="top"/>
          </w:tcPr>
          <w:p>
            <w:pPr>
              <w:spacing w:after="0"/>
            </w:pPr>
            <w:r>
              <w:t>Less: cost of stock-in-trade</w:t>
            </w:r>
            <w:r>
              <w:rPr>
                <w:rFonts w:ascii="Times New Roman" w:hAnsi="Times New Roman" w:eastAsia="Times New Roman"/>
                <w:b w:val="0"/>
                <w:sz w:val="18"/>
              </w:rPr>
            </w:r>
          </w:p>
        </w:tc>
        <w:tc>
          <w:tcPr>
            <w:tcW w:type="dxa" w:w="2835"/>
            <w:vAlign w:val="top"/>
          </w:tcPr>
          <w:p>
            <w:pPr>
              <w:spacing w:after="0"/>
            </w:pPr>
            <w:r/>
            <w:r>
              <w:rPr>
                <w:rFonts w:ascii="Times New Roman" w:hAnsi="Times New Roman" w:eastAsia="Times New Roman"/>
                <w:b w:val="0"/>
                <w:sz w:val="18"/>
              </w:rPr>
              <w:t>4,400,000</w:t>
            </w:r>
          </w:p>
        </w:tc>
      </w:tr>
      <w:tr>
        <w:tc>
          <w:tcPr>
            <w:tcW w:type="dxa" w:w="5669"/>
            <w:vAlign w:val="top"/>
          </w:tcPr>
          <w:p>
            <w:pPr>
              <w:spacing w:after="0"/>
            </w:pPr>
            <w:r/>
            <w:r>
              <w:rPr>
                <w:rFonts w:ascii="Times New Roman" w:hAnsi="Times New Roman" w:eastAsia="Times New Roman"/>
                <w:b w:val="0"/>
                <w:sz w:val="18"/>
              </w:rPr>
              <w:t>Less: depreciation</w:t>
            </w:r>
          </w:p>
        </w:tc>
        <w:tc>
          <w:tcPr>
            <w:tcW w:type="dxa" w:w="2835"/>
            <w:vAlign w:val="top"/>
          </w:tcPr>
          <w:p>
            <w:pPr>
              <w:spacing w:after="0"/>
            </w:pPr>
            <w:r/>
            <w:r>
              <w:rPr>
                <w:rFonts w:ascii="Times New Roman" w:hAnsi="Times New Roman" w:eastAsia="Times New Roman"/>
                <w:b w:val="0"/>
                <w:sz w:val="18"/>
              </w:rPr>
              <w:t>50,000</w:t>
            </w:r>
          </w:p>
        </w:tc>
      </w:tr>
      <w:tr>
        <w:tc>
          <w:tcPr>
            <w:tcW w:type="dxa" w:w="5669"/>
            <w:vAlign w:val="top"/>
          </w:tcPr>
          <w:p>
            <w:pPr>
              <w:spacing w:after="0"/>
            </w:pPr>
            <w:r/>
            <w:r>
              <w:rPr>
                <w:rFonts w:ascii="Times New Roman" w:hAnsi="Times New Roman" w:eastAsia="Times New Roman"/>
                <w:b w:val="0"/>
                <w:sz w:val="18"/>
              </w:rPr>
              <w:t>Less: administrative expenses</w:t>
            </w:r>
          </w:p>
        </w:tc>
        <w:tc>
          <w:tcPr>
            <w:tcW w:type="dxa" w:w="2835"/>
            <w:vAlign w:val="top"/>
          </w:tcPr>
          <w:p>
            <w:pPr>
              <w:spacing w:after="0"/>
            </w:pPr>
            <w:r/>
            <w:r>
              <w:rPr>
                <w:rFonts w:ascii="Times New Roman" w:hAnsi="Times New Roman" w:eastAsia="Times New Roman"/>
                <w:b w:val="0"/>
                <w:sz w:val="18"/>
              </w:rPr>
              <w:t>500,000</w:t>
            </w:r>
          </w:p>
        </w:tc>
      </w:tr>
      <w:tr>
        <w:tc>
          <w:tcPr>
            <w:tcW w:type="dxa" w:w="5669"/>
            <w:vAlign w:val="top"/>
          </w:tcPr>
          <w:p>
            <w:pPr>
              <w:spacing w:after="0"/>
            </w:pPr>
            <w:r/>
            <w:r>
              <w:rPr>
                <w:rFonts w:ascii="Times New Roman" w:hAnsi="Times New Roman" w:eastAsia="Times New Roman"/>
                <w:b w:val="0"/>
                <w:sz w:val="18"/>
              </w:rPr>
              <w:t>Less: pollution control expense</w:t>
            </w:r>
          </w:p>
        </w:tc>
        <w:tc>
          <w:tcPr>
            <w:tcW w:type="dxa" w:w="2835"/>
            <w:vAlign w:val="top"/>
          </w:tcPr>
          <w:p>
            <w:pPr>
              <w:spacing w:after="0"/>
            </w:pPr>
            <w:r/>
            <w:r>
              <w:rPr>
                <w:rFonts w:ascii="Times New Roman" w:hAnsi="Times New Roman" w:eastAsia="Times New Roman"/>
                <w:b w:val="0"/>
                <w:sz w:val="18"/>
              </w:rPr>
              <w:t>1,200,000</w:t>
            </w:r>
          </w:p>
        </w:tc>
      </w:tr>
      <w:tr>
        <w:tc>
          <w:tcPr>
            <w:tcW w:type="dxa" w:w="5669"/>
            <w:vAlign w:val="top"/>
          </w:tcPr>
          <w:p>
            <w:pPr>
              <w:spacing w:after="0"/>
            </w:pPr>
            <w:r/>
            <w:r>
              <w:rPr>
                <w:rFonts w:ascii="Times New Roman" w:hAnsi="Times New Roman" w:eastAsia="Times New Roman"/>
                <w:b w:val="0"/>
                <w:sz w:val="18"/>
              </w:rPr>
              <w:t>Total deductions before R&amp;D</w:t>
            </w:r>
          </w:p>
        </w:tc>
        <w:tc>
          <w:tcPr>
            <w:tcW w:type="dxa" w:w="2835"/>
            <w:vAlign w:val="top"/>
          </w:tcPr>
          <w:p>
            <w:pPr>
              <w:spacing w:after="0"/>
            </w:pPr>
            <w:r/>
            <w:r>
              <w:rPr>
                <w:rFonts w:ascii="Times New Roman" w:hAnsi="Times New Roman" w:eastAsia="Times New Roman"/>
                <w:b w:val="0"/>
                <w:sz w:val="18"/>
              </w:rPr>
              <w:t>6,430,000</w:t>
            </w:r>
          </w:p>
        </w:tc>
      </w:tr>
      <w:tr>
        <w:tc>
          <w:tcPr>
            <w:tcW w:type="dxa" w:w="5669"/>
            <w:vAlign w:val="top"/>
          </w:tcPr>
          <w:p>
            <w:pPr>
              <w:spacing w:after="0"/>
            </w:pPr>
            <w:r/>
            <w:r>
              <w:rPr>
                <w:rFonts w:ascii="Times New Roman" w:hAnsi="Times New Roman" w:eastAsia="Times New Roman"/>
                <w:b w:val="0"/>
                <w:sz w:val="18"/>
              </w:rPr>
              <w:t>Adjusted taxable income</w:t>
            </w:r>
          </w:p>
        </w:tc>
        <w:tc>
          <w:tcPr>
            <w:tcW w:type="dxa" w:w="2835"/>
            <w:vAlign w:val="top"/>
          </w:tcPr>
          <w:p>
            <w:pPr>
              <w:spacing w:after="0"/>
            </w:pPr>
            <w:r/>
            <w:r>
              <w:rPr>
                <w:rFonts w:ascii="Times New Roman" w:hAnsi="Times New Roman" w:eastAsia="Times New Roman"/>
                <w:b w:val="0"/>
                <w:sz w:val="18"/>
              </w:rPr>
              <w:t>725,000</w:t>
            </w:r>
          </w:p>
        </w:tc>
      </w:tr>
      <w:tr>
        <w:tc>
          <w:tcPr>
            <w:tcW w:type="dxa" w:w="5669"/>
            <w:vAlign w:val="top"/>
          </w:tcPr>
          <w:p>
            <w:pPr>
              <w:spacing w:after="0"/>
            </w:pPr>
            <w:r/>
            <w:r>
              <w:rPr>
                <w:rFonts w:ascii="Times New Roman" w:hAnsi="Times New Roman" w:eastAsia="Times New Roman"/>
                <w:b w:val="0"/>
                <w:sz w:val="18"/>
              </w:rPr>
              <w:t>50% limit</w:t>
            </w:r>
          </w:p>
        </w:tc>
        <w:tc>
          <w:tcPr>
            <w:tcW w:type="dxa" w:w="2835"/>
            <w:vAlign w:val="top"/>
          </w:tcPr>
          <w:p>
            <w:pPr>
              <w:spacing w:after="0"/>
            </w:pPr>
            <w:r/>
            <w:r>
              <w:rPr>
                <w:rFonts w:ascii="Times New Roman" w:hAnsi="Times New Roman" w:eastAsia="Times New Roman"/>
                <w:b w:val="0"/>
                <w:sz w:val="18"/>
              </w:rPr>
              <w:t>362,500</w:t>
            </w:r>
          </w:p>
        </w:tc>
      </w:tr>
      <w:tr>
        <w:tc>
          <w:tcPr>
            <w:tcW w:type="dxa" w:w="5669"/>
            <w:vAlign w:val="top"/>
          </w:tcPr>
          <w:p>
            <w:pPr>
              <w:spacing w:after="0"/>
            </w:pPr>
            <w:r/>
            <w:r>
              <w:rPr>
                <w:rFonts w:ascii="Times New Roman" w:hAnsi="Times New Roman" w:eastAsia="Times New Roman"/>
                <w:b w:val="0"/>
                <w:sz w:val="18"/>
              </w:rPr>
              <w:t>Actual R&amp;D expense</w:t>
            </w:r>
          </w:p>
        </w:tc>
        <w:tc>
          <w:tcPr>
            <w:tcW w:type="dxa" w:w="2835"/>
            <w:vAlign w:val="top"/>
          </w:tcPr>
          <w:p>
            <w:pPr>
              <w:spacing w:after="0"/>
            </w:pPr>
            <w:r/>
            <w:r>
              <w:rPr>
                <w:rFonts w:ascii="Times New Roman" w:hAnsi="Times New Roman" w:eastAsia="Times New Roman"/>
                <w:b w:val="0"/>
                <w:sz w:val="18"/>
              </w:rPr>
              <w:t>700,000</w:t>
            </w:r>
          </w:p>
        </w:tc>
      </w:tr>
      <w:tr>
        <w:tc>
          <w:tcPr>
            <w:tcW w:type="dxa" w:w="5669"/>
            <w:vAlign w:val="top"/>
          </w:tcPr>
          <w:p>
            <w:pPr>
              <w:spacing w:after="0"/>
            </w:pPr>
            <w:r/>
            <w:r>
              <w:rPr>
                <w:rFonts w:ascii="Times New Roman" w:hAnsi="Times New Roman" w:eastAsia="Times New Roman"/>
                <w:b w:val="0"/>
                <w:sz w:val="18"/>
              </w:rPr>
              <w:t>Deductible in current year</w:t>
            </w:r>
          </w:p>
        </w:tc>
        <w:tc>
          <w:tcPr>
            <w:tcW w:type="dxa" w:w="2835"/>
            <w:vAlign w:val="top"/>
          </w:tcPr>
          <w:p>
            <w:pPr>
              <w:spacing w:after="0"/>
            </w:pPr>
            <w:r/>
            <w:r>
              <w:rPr>
                <w:rFonts w:ascii="Times New Roman" w:hAnsi="Times New Roman" w:eastAsia="Times New Roman"/>
                <w:b w:val="0"/>
                <w:sz w:val="18"/>
              </w:rPr>
              <w:t>362,500</w:t>
            </w:r>
          </w:p>
        </w:tc>
      </w:tr>
      <w:tr>
        <w:tc>
          <w:tcPr>
            <w:tcW w:type="dxa" w:w="5669"/>
            <w:vAlign w:val="top"/>
          </w:tcPr>
          <w:p>
            <w:pPr>
              <w:spacing w:after="0"/>
            </w:pPr>
            <w:r/>
            <w:r>
              <w:rPr>
                <w:rFonts w:ascii="Times New Roman" w:hAnsi="Times New Roman" w:eastAsia="Times New Roman"/>
                <w:b w:val="0"/>
                <w:sz w:val="18"/>
              </w:rPr>
              <w:t>Capitalised to Pool D</w:t>
            </w:r>
          </w:p>
        </w:tc>
        <w:tc>
          <w:tcPr>
            <w:tcW w:type="dxa" w:w="2835"/>
            <w:vAlign w:val="top"/>
          </w:tcPr>
          <w:p>
            <w:pPr>
              <w:spacing w:after="0"/>
            </w:pPr>
            <w:r/>
            <w:r>
              <w:rPr>
                <w:rFonts w:ascii="Times New Roman" w:hAnsi="Times New Roman" w:eastAsia="Times New Roman"/>
                <w:b w:val="0"/>
                <w:sz w:val="18"/>
              </w:rPr>
              <w:t>337,500</w:t>
            </w:r>
          </w:p>
        </w:tc>
      </w:tr>
    </w:tbl>
    <w:p/>
    <w:p>
      <w:pPr>
        <w:pStyle w:val="Heading3"/>
      </w:pPr>
      <w:r>
        <w:t>18.6.7 Depreciation expense</w:t>
      </w:r>
    </w:p>
    <w:p>
      <w:pPr>
        <w:spacing w:after="80"/>
      </w:pPr>
      <w:r>
        <w:rPr>
          <w:rFonts w:ascii="Times New Roman" w:hAnsi="Times New Roman" w:eastAsia="Times New Roman"/>
          <w:b w:val="0"/>
          <w:i w:val="0"/>
          <w:sz w:val="21"/>
        </w:rPr>
        <w:t>Under Section 19, depreciation must be deducted for depreciable property owned and used during the year for deriving income from business or investment. Depreciation is calculated under Schedule 2. Depreciable property means an asset used in a business or investment that declines in value due to wear and tear, obsolescence or passage of time, and excludes stock-in-trade.</w:t>
      </w:r>
    </w:p>
    <w:tbl>
      <w:tblPr>
        <w:tblStyle w:val="TableGrid"/>
        <w:tblW w:type="auto" w:w="0"/>
        <w:jc w:val="center"/>
        <w:tblLook w:firstColumn="1" w:firstRow="1" w:lastColumn="0" w:lastRow="0" w:noHBand="0" w:noVBand="1" w:val="04A0"/>
      </w:tblPr>
      <w:tblGrid>
        <w:gridCol w:w="3437"/>
        <w:gridCol w:w="3437"/>
        <w:gridCol w:w="3437"/>
      </w:tblGrid>
      <w:tr>
        <w:tc>
          <w:tcPr>
            <w:tcW w:type="dxa" w:w="1134"/>
            <w:vAlign w:val="top"/>
            <w:shd w:fill="D9EAF7"/>
          </w:tcPr>
          <w:p>
            <w:pPr>
              <w:spacing w:after="0"/>
            </w:pPr>
            <w:r/>
            <w:r>
              <w:rPr>
                <w:rFonts w:ascii="Times New Roman" w:hAnsi="Times New Roman" w:eastAsia="Times New Roman"/>
                <w:b/>
                <w:sz w:val="18"/>
              </w:rPr>
              <w:t>Class</w:t>
            </w:r>
          </w:p>
        </w:tc>
        <w:tc>
          <w:tcPr>
            <w:tcW w:type="dxa" w:w="5102"/>
            <w:vAlign w:val="top"/>
            <w:shd w:fill="D9EAF7"/>
          </w:tcPr>
          <w:p>
            <w:pPr>
              <w:spacing w:after="0"/>
            </w:pPr>
            <w:r/>
            <w:r>
              <w:rPr>
                <w:rFonts w:ascii="Times New Roman" w:hAnsi="Times New Roman" w:eastAsia="Times New Roman"/>
                <w:b/>
                <w:sz w:val="18"/>
              </w:rPr>
              <w:t>Assets</w:t>
            </w:r>
          </w:p>
        </w:tc>
        <w:tc>
          <w:tcPr>
            <w:tcW w:type="dxa" w:w="2835"/>
            <w:vAlign w:val="top"/>
            <w:shd w:fill="D9EAF7"/>
          </w:tcPr>
          <w:p>
            <w:pPr>
              <w:spacing w:after="0"/>
            </w:pPr>
            <w:r/>
            <w:r>
              <w:rPr>
                <w:rFonts w:ascii="Times New Roman" w:hAnsi="Times New Roman" w:eastAsia="Times New Roman"/>
                <w:b/>
                <w:sz w:val="18"/>
              </w:rPr>
              <w:t>Normal depreciation rate</w:t>
            </w:r>
          </w:p>
        </w:tc>
      </w:tr>
      <w:tr>
        <w:tc>
          <w:tcPr>
            <w:tcW w:type="dxa" w:w="1134"/>
            <w:vAlign w:val="top"/>
          </w:tcPr>
          <w:p>
            <w:pPr>
              <w:spacing w:after="0"/>
            </w:pPr>
            <w:r/>
            <w:r>
              <w:rPr>
                <w:rFonts w:ascii="Times New Roman" w:hAnsi="Times New Roman" w:eastAsia="Times New Roman"/>
                <w:b w:val="0"/>
                <w:sz w:val="18"/>
              </w:rPr>
              <w:t>A</w:t>
            </w:r>
          </w:p>
        </w:tc>
        <w:tc>
          <w:tcPr>
            <w:tcW w:type="dxa" w:w="5102"/>
            <w:vAlign w:val="top"/>
          </w:tcPr>
          <w:p>
            <w:pPr>
              <w:spacing w:after="0"/>
            </w:pPr>
            <w:r/>
            <w:r>
              <w:rPr>
                <w:rFonts w:ascii="Times New Roman" w:hAnsi="Times New Roman" w:eastAsia="Times New Roman"/>
                <w:b w:val="0"/>
                <w:sz w:val="18"/>
              </w:rPr>
              <w:t>Buildings, structures and similar permanent constructions.</w:t>
            </w:r>
          </w:p>
        </w:tc>
        <w:tc>
          <w:tcPr>
            <w:tcW w:type="dxa" w:w="2835"/>
            <w:vAlign w:val="top"/>
          </w:tcPr>
          <w:p>
            <w:pPr>
              <w:spacing w:after="0"/>
            </w:pPr>
            <w:r/>
            <w:r>
              <w:rPr>
                <w:rFonts w:ascii="Times New Roman" w:hAnsi="Times New Roman" w:eastAsia="Times New Roman"/>
                <w:b w:val="0"/>
                <w:sz w:val="18"/>
              </w:rPr>
              <w:t>5%</w:t>
            </w:r>
          </w:p>
        </w:tc>
      </w:tr>
      <w:tr>
        <w:tc>
          <w:tcPr>
            <w:tcW w:type="dxa" w:w="1134"/>
            <w:vAlign w:val="top"/>
          </w:tcPr>
          <w:p>
            <w:pPr>
              <w:spacing w:after="0"/>
            </w:pPr>
            <w:r/>
            <w:r>
              <w:rPr>
                <w:rFonts w:ascii="Times New Roman" w:hAnsi="Times New Roman" w:eastAsia="Times New Roman"/>
                <w:b w:val="0"/>
                <w:sz w:val="18"/>
              </w:rPr>
              <w:t>B</w:t>
            </w:r>
          </w:p>
        </w:tc>
        <w:tc>
          <w:tcPr>
            <w:tcW w:type="dxa" w:w="5102"/>
            <w:vAlign w:val="top"/>
          </w:tcPr>
          <w:p>
            <w:pPr>
              <w:spacing w:after="0"/>
            </w:pPr>
            <w:r/>
            <w:r>
              <w:rPr>
                <w:rFonts w:ascii="Times New Roman" w:hAnsi="Times New Roman" w:eastAsia="Times New Roman"/>
                <w:b w:val="0"/>
                <w:sz w:val="18"/>
              </w:rPr>
              <w:t>Computers, data-processing equipment, furniture, fixtures and office equipment.</w:t>
            </w:r>
          </w:p>
        </w:tc>
        <w:tc>
          <w:tcPr>
            <w:tcW w:type="dxa" w:w="2835"/>
            <w:vAlign w:val="top"/>
          </w:tcPr>
          <w:p>
            <w:pPr>
              <w:spacing w:after="0"/>
            </w:pPr>
            <w:r/>
            <w:r>
              <w:rPr>
                <w:rFonts w:ascii="Times New Roman" w:hAnsi="Times New Roman" w:eastAsia="Times New Roman"/>
                <w:b w:val="0"/>
                <w:sz w:val="18"/>
              </w:rPr>
              <w:t>25%</w:t>
            </w:r>
          </w:p>
        </w:tc>
      </w:tr>
      <w:tr>
        <w:tc>
          <w:tcPr>
            <w:tcW w:type="dxa" w:w="1134"/>
            <w:vAlign w:val="top"/>
          </w:tcPr>
          <w:p>
            <w:pPr>
              <w:spacing w:after="0"/>
            </w:pPr>
            <w:r/>
            <w:r>
              <w:rPr>
                <w:rFonts w:ascii="Times New Roman" w:hAnsi="Times New Roman" w:eastAsia="Times New Roman"/>
                <w:b w:val="0"/>
                <w:sz w:val="18"/>
              </w:rPr>
              <w:t>C</w:t>
            </w:r>
          </w:p>
        </w:tc>
        <w:tc>
          <w:tcPr>
            <w:tcW w:type="dxa" w:w="5102"/>
            <w:vAlign w:val="top"/>
          </w:tcPr>
          <w:p>
            <w:pPr>
              <w:spacing w:after="0"/>
            </w:pPr>
            <w:r/>
            <w:r>
              <w:rPr>
                <w:rFonts w:ascii="Times New Roman" w:hAnsi="Times New Roman" w:eastAsia="Times New Roman"/>
                <w:b w:val="0"/>
                <w:sz w:val="18"/>
              </w:rPr>
              <w:t>Automobiles, buses and minibuses.</w:t>
            </w:r>
          </w:p>
        </w:tc>
        <w:tc>
          <w:tcPr>
            <w:tcW w:type="dxa" w:w="2835"/>
            <w:vAlign w:val="top"/>
          </w:tcPr>
          <w:p>
            <w:pPr>
              <w:spacing w:after="0"/>
            </w:pPr>
            <w:r/>
            <w:r>
              <w:rPr>
                <w:rFonts w:ascii="Times New Roman" w:hAnsi="Times New Roman" w:eastAsia="Times New Roman"/>
                <w:b w:val="0"/>
                <w:sz w:val="18"/>
              </w:rPr>
              <w:t>20%</w:t>
            </w:r>
          </w:p>
        </w:tc>
      </w:tr>
      <w:tr>
        <w:tc>
          <w:tcPr>
            <w:tcW w:type="dxa" w:w="1134"/>
            <w:vAlign w:val="top"/>
          </w:tcPr>
          <w:p>
            <w:pPr>
              <w:spacing w:after="0"/>
            </w:pPr>
            <w:r/>
            <w:r>
              <w:rPr>
                <w:rFonts w:ascii="Times New Roman" w:hAnsi="Times New Roman" w:eastAsia="Times New Roman"/>
                <w:b w:val="0"/>
                <w:sz w:val="18"/>
              </w:rPr>
              <w:t>D</w:t>
            </w:r>
          </w:p>
        </w:tc>
        <w:tc>
          <w:tcPr>
            <w:tcW w:type="dxa" w:w="5102"/>
            <w:vAlign w:val="top"/>
          </w:tcPr>
          <w:p>
            <w:pPr>
              <w:spacing w:after="0"/>
            </w:pPr>
            <w:r>
              <w:t>Construction and excavation equipment; assets under Sections 17(3), 18(3) and other depreciable property not included elsewhere.</w:t>
            </w:r>
            <w:r>
              <w:rPr>
                <w:rFonts w:ascii="Times New Roman" w:hAnsi="Times New Roman" w:eastAsia="Times New Roman"/>
                <w:b w:val="0"/>
                <w:sz w:val="18"/>
              </w:rPr>
            </w:r>
          </w:p>
        </w:tc>
        <w:tc>
          <w:tcPr>
            <w:tcW w:type="dxa" w:w="2835"/>
            <w:vAlign w:val="top"/>
          </w:tcPr>
          <w:p>
            <w:pPr>
              <w:spacing w:after="0"/>
            </w:pPr>
            <w:r/>
            <w:r>
              <w:rPr>
                <w:rFonts w:ascii="Times New Roman" w:hAnsi="Times New Roman" w:eastAsia="Times New Roman"/>
                <w:b w:val="0"/>
                <w:sz w:val="18"/>
              </w:rPr>
              <w:t>15%</w:t>
            </w:r>
          </w:p>
        </w:tc>
      </w:tr>
      <w:tr>
        <w:tc>
          <w:tcPr>
            <w:tcW w:type="dxa" w:w="1134"/>
            <w:vAlign w:val="top"/>
          </w:tcPr>
          <w:p>
            <w:pPr>
              <w:spacing w:after="0"/>
            </w:pPr>
            <w:r/>
            <w:r>
              <w:rPr>
                <w:rFonts w:ascii="Times New Roman" w:hAnsi="Times New Roman" w:eastAsia="Times New Roman"/>
                <w:b w:val="0"/>
                <w:sz w:val="18"/>
              </w:rPr>
              <w:t>E</w:t>
            </w:r>
          </w:p>
        </w:tc>
        <w:tc>
          <w:tcPr>
            <w:tcW w:type="dxa" w:w="5102"/>
            <w:vAlign w:val="top"/>
          </w:tcPr>
          <w:p>
            <w:pPr>
              <w:spacing w:after="0"/>
            </w:pPr>
            <w:r/>
            <w:r>
              <w:rPr>
                <w:rFonts w:ascii="Times New Roman" w:hAnsi="Times New Roman" w:eastAsia="Times New Roman"/>
                <w:b w:val="0"/>
                <w:sz w:val="18"/>
              </w:rPr>
              <w:t>Intangible assets other than Pool D assets; e.g., patent, copyright, trademark, formula, brand where rights are linked with time.</w:t>
            </w:r>
          </w:p>
        </w:tc>
        <w:tc>
          <w:tcPr>
            <w:tcW w:type="dxa" w:w="2835"/>
            <w:vAlign w:val="top"/>
          </w:tcPr>
          <w:p>
            <w:pPr>
              <w:spacing w:after="0"/>
            </w:pPr>
            <w:r/>
            <w:r>
              <w:rPr>
                <w:rFonts w:ascii="Times New Roman" w:hAnsi="Times New Roman" w:eastAsia="Times New Roman"/>
                <w:b w:val="0"/>
                <w:sz w:val="18"/>
              </w:rPr>
              <w:t>Cost divided by useful life, rounded to nearest half-year, expressed as a rate.</w:t>
            </w:r>
          </w:p>
        </w:tc>
      </w:tr>
    </w:tbl>
    <w:p/>
    <w:p>
      <w:pPr>
        <w:spacing w:after="80"/>
      </w:pPr>
      <w:r>
        <w:rPr>
          <w:rFonts w:ascii="Times New Roman" w:hAnsi="Times New Roman" w:eastAsia="Times New Roman"/>
          <w:b w:val="0"/>
          <w:i w:val="0"/>
          <w:sz w:val="21"/>
        </w:rPr>
        <w:t>Pool A to D assets are grouped by class. Pool E intangible assets are kept in separate pools even if they fall in the same class. Costs of exploration, extraction and development of natural resources are treated as costs of assets for the relevant business and placed in Pool D.</w:t>
      </w:r>
    </w:p>
    <w:tbl>
      <w:tblPr>
        <w:tblStyle w:val="TableGrid"/>
        <w:tblW w:type="auto" w:w="0"/>
        <w:jc w:val="center"/>
        <w:tblLook w:firstColumn="1" w:firstRow="1" w:lastColumn="0" w:lastRow="0" w:noHBand="0" w:noVBand="1" w:val="04A0"/>
      </w:tblPr>
      <w:tblGrid>
        <w:gridCol w:w="5156"/>
        <w:gridCol w:w="5156"/>
      </w:tblGrid>
      <w:tr>
        <w:tc>
          <w:tcPr>
            <w:tcW w:type="dxa" w:w="1701"/>
            <w:vAlign w:val="top"/>
            <w:shd w:fill="D9EAF7"/>
          </w:tcPr>
          <w:p>
            <w:pPr>
              <w:spacing w:after="0"/>
            </w:pPr>
            <w:r/>
            <w:r>
              <w:rPr>
                <w:rFonts w:ascii="Times New Roman" w:hAnsi="Times New Roman" w:eastAsia="Times New Roman"/>
                <w:b/>
                <w:sz w:val="18"/>
              </w:rPr>
              <w:t>Example</w:t>
            </w:r>
          </w:p>
        </w:tc>
        <w:tc>
          <w:tcPr>
            <w:tcW w:type="dxa" w:w="7370"/>
            <w:vAlign w:val="top"/>
            <w:shd w:fill="D9EAF7"/>
          </w:tcPr>
          <w:p>
            <w:pPr>
              <w:spacing w:after="0"/>
            </w:pPr>
            <w:r/>
            <w:r>
              <w:rPr>
                <w:rFonts w:ascii="Times New Roman" w:hAnsi="Times New Roman" w:eastAsia="Times New Roman"/>
                <w:b/>
                <w:sz w:val="18"/>
              </w:rPr>
              <w:t>Classification</w:t>
            </w:r>
          </w:p>
        </w:tc>
      </w:tr>
      <w:tr>
        <w:tc>
          <w:tcPr>
            <w:tcW w:type="dxa" w:w="1701"/>
            <w:vAlign w:val="top"/>
          </w:tcPr>
          <w:p>
            <w:pPr>
              <w:spacing w:after="0"/>
            </w:pPr>
            <w:r/>
            <w:r>
              <w:rPr>
                <w:rFonts w:ascii="Times New Roman" w:hAnsi="Times New Roman" w:eastAsia="Times New Roman"/>
                <w:b w:val="0"/>
                <w:sz w:val="18"/>
              </w:rPr>
              <w:t>18.6.12A</w:t>
            </w:r>
          </w:p>
        </w:tc>
        <w:tc>
          <w:tcPr>
            <w:tcW w:type="dxa" w:w="7370"/>
            <w:vAlign w:val="top"/>
          </w:tcPr>
          <w:p>
            <w:pPr>
              <w:spacing w:after="0"/>
            </w:pPr>
            <w:r/>
            <w:r>
              <w:rPr>
                <w:rFonts w:ascii="Times New Roman" w:hAnsi="Times New Roman" w:eastAsia="Times New Roman"/>
                <w:b w:val="0"/>
                <w:sz w:val="18"/>
              </w:rPr>
              <w:t>Chairs and tables bought by a school and a restaurant are Pool B assets.</w:t>
            </w:r>
          </w:p>
        </w:tc>
      </w:tr>
      <w:tr>
        <w:tc>
          <w:tcPr>
            <w:tcW w:type="dxa" w:w="1701"/>
            <w:vAlign w:val="top"/>
          </w:tcPr>
          <w:p>
            <w:pPr>
              <w:spacing w:after="0"/>
            </w:pPr>
            <w:r/>
            <w:r>
              <w:rPr>
                <w:rFonts w:ascii="Times New Roman" w:hAnsi="Times New Roman" w:eastAsia="Times New Roman"/>
                <w:b w:val="0"/>
                <w:sz w:val="18"/>
              </w:rPr>
              <w:t>18.6.12B</w:t>
            </w:r>
          </w:p>
        </w:tc>
        <w:tc>
          <w:tcPr>
            <w:tcW w:type="dxa" w:w="7370"/>
            <w:vAlign w:val="top"/>
          </w:tcPr>
          <w:p>
            <w:pPr>
              <w:spacing w:after="0"/>
            </w:pPr>
            <w:r/>
            <w:r>
              <w:rPr>
                <w:rFonts w:ascii="Times New Roman" w:hAnsi="Times New Roman" w:eastAsia="Times New Roman"/>
                <w:b w:val="0"/>
                <w:sz w:val="18"/>
              </w:rPr>
              <w:t>A school bus and a tourist jeep are Pool C assets because they are motor vehicles.</w:t>
            </w:r>
          </w:p>
        </w:tc>
      </w:tr>
      <w:tr>
        <w:tc>
          <w:tcPr>
            <w:tcW w:type="dxa" w:w="1701"/>
            <w:vAlign w:val="top"/>
          </w:tcPr>
          <w:p>
            <w:pPr>
              <w:spacing w:after="0"/>
            </w:pPr>
            <w:r/>
            <w:r>
              <w:rPr>
                <w:rFonts w:ascii="Times New Roman" w:hAnsi="Times New Roman" w:eastAsia="Times New Roman"/>
                <w:b w:val="0"/>
                <w:sz w:val="18"/>
              </w:rPr>
              <w:t>18.6.13</w:t>
            </w:r>
          </w:p>
        </w:tc>
        <w:tc>
          <w:tcPr>
            <w:tcW w:type="dxa" w:w="7370"/>
            <w:vAlign w:val="top"/>
          </w:tcPr>
          <w:p>
            <w:pPr>
              <w:spacing w:after="0"/>
            </w:pPr>
            <w:r/>
            <w:r>
              <w:rPr>
                <w:rFonts w:ascii="Times New Roman" w:hAnsi="Times New Roman" w:eastAsia="Times New Roman"/>
                <w:b w:val="0"/>
                <w:sz w:val="18"/>
              </w:rPr>
              <w:t>Table, computer, cupboard and bench are grouped in Pool B (Rs. 97,000). Car and motorcycle are Pool C (Rs. 1,920,000). Bicycle, generator and water pump are Pool D (Rs. 114,000).</w:t>
            </w:r>
          </w:p>
        </w:tc>
      </w:tr>
    </w:tbl>
    <w:p/>
    <w:p>
      <w:pPr>
        <w:spacing w:after="80"/>
      </w:pPr>
      <w:r>
        <w:rPr>
          <w:rFonts w:ascii="Times New Roman" w:hAnsi="Times New Roman" w:eastAsia="Times New Roman"/>
          <w:b w:val="0"/>
          <w:i w:val="0"/>
          <w:sz w:val="21"/>
        </w:rPr>
        <w:t>Certain entities are allowed accelerated depreciation by adding one-third to the normal depreciation rate for Pool A to D assets, including specified special industries, tram/trolley bus, ropeway/cable car/sky bridge and infrastructure operators, public-infrastructure/BOT/BOOT and power-generation/transmission projects, and taxable cooperative unions and institutions. The accelerated rates are: Pool A 6.67%, Pool B 33.33%, Pool C 26.67% and Pool D 20%.</w:t>
      </w:r>
    </w:p>
    <w:tbl>
      <w:tblPr>
        <w:tblStyle w:val="TableGrid"/>
        <w:tblW w:type="auto" w:w="0"/>
        <w:jc w:val="center"/>
        <w:tblLook w:firstColumn="1" w:firstRow="1" w:lastColumn="0" w:lastRow="0" w:noHBand="0" w:noVBand="1" w:val="04A0"/>
      </w:tblPr>
      <w:tblGrid>
        <w:gridCol w:w="5156"/>
        <w:gridCol w:w="5156"/>
      </w:tblGrid>
      <w:tr>
        <w:tc>
          <w:tcPr>
            <w:tcW w:type="dxa" w:w="2835"/>
            <w:vAlign w:val="top"/>
            <w:shd w:fill="D9EAF7"/>
          </w:tcPr>
          <w:p>
            <w:pPr>
              <w:spacing w:after="0"/>
            </w:pPr>
            <w:r/>
            <w:r>
              <w:rPr>
                <w:rFonts w:ascii="Times New Roman" w:hAnsi="Times New Roman" w:eastAsia="Times New Roman"/>
                <w:b/>
                <w:sz w:val="18"/>
              </w:rPr>
              <w:t>Rule / example</w:t>
            </w:r>
          </w:p>
        </w:tc>
        <w:tc>
          <w:tcPr>
            <w:tcW w:type="dxa" w:w="6236"/>
            <w:vAlign w:val="top"/>
            <w:shd w:fill="D9EAF7"/>
          </w:tcPr>
          <w:p>
            <w:pPr>
              <w:spacing w:after="0"/>
            </w:pPr>
            <w:r/>
            <w:r>
              <w:rPr>
                <w:rFonts w:ascii="Times New Roman" w:hAnsi="Times New Roman" w:eastAsia="Times New Roman"/>
                <w:b/>
                <w:sz w:val="18"/>
              </w:rPr>
              <w:t>Computation or treatment</w:t>
            </w:r>
          </w:p>
        </w:tc>
      </w:tr>
      <w:tr>
        <w:tc>
          <w:tcPr>
            <w:tcW w:type="dxa" w:w="2835"/>
            <w:vAlign w:val="top"/>
          </w:tcPr>
          <w:p>
            <w:pPr>
              <w:spacing w:after="0"/>
            </w:pPr>
            <w:r/>
            <w:r>
              <w:rPr>
                <w:rFonts w:ascii="Times New Roman" w:hAnsi="Times New Roman" w:eastAsia="Times New Roman"/>
                <w:b w:val="0"/>
                <w:sz w:val="18"/>
              </w:rPr>
              <w:t>Formula</w:t>
            </w:r>
          </w:p>
        </w:tc>
        <w:tc>
          <w:tcPr>
            <w:tcW w:type="dxa" w:w="6236"/>
            <w:vAlign w:val="top"/>
          </w:tcPr>
          <w:p>
            <w:pPr>
              <w:spacing w:after="0"/>
            </w:pPr>
            <w:r/>
            <w:r>
              <w:rPr>
                <w:rFonts w:ascii="Times New Roman" w:hAnsi="Times New Roman" w:eastAsia="Times New Roman"/>
                <w:b w:val="0"/>
                <w:sz w:val="18"/>
              </w:rPr>
              <w:t>Depreciation = depreciation base at year-end x applicable rate.</w:t>
            </w:r>
          </w:p>
        </w:tc>
      </w:tr>
      <w:tr>
        <w:tc>
          <w:tcPr>
            <w:tcW w:type="dxa" w:w="2835"/>
            <w:vAlign w:val="top"/>
          </w:tcPr>
          <w:p>
            <w:pPr>
              <w:spacing w:after="0"/>
            </w:pPr>
            <w:r/>
            <w:r>
              <w:rPr>
                <w:rFonts w:ascii="Times New Roman" w:hAnsi="Times New Roman" w:eastAsia="Times New Roman"/>
                <w:b w:val="0"/>
                <w:sz w:val="18"/>
              </w:rPr>
              <w:t>18.6.14</w:t>
            </w:r>
          </w:p>
        </w:tc>
        <w:tc>
          <w:tcPr>
            <w:tcW w:type="dxa" w:w="6236"/>
            <w:vAlign w:val="top"/>
          </w:tcPr>
          <w:p>
            <w:pPr>
              <w:spacing w:after="0"/>
            </w:pPr>
            <w:r/>
            <w:r>
              <w:rPr>
                <w:rFonts w:ascii="Times New Roman" w:hAnsi="Times New Roman" w:eastAsia="Times New Roman"/>
                <w:b w:val="0"/>
                <w:sz w:val="18"/>
              </w:rPr>
              <w:t>Pool B depreciation base Rs. 100,000 x 25% = depreciation expense Rs. 25,000.</w:t>
            </w:r>
          </w:p>
        </w:tc>
      </w:tr>
      <w:tr>
        <w:tc>
          <w:tcPr>
            <w:tcW w:type="dxa" w:w="2835"/>
            <w:vAlign w:val="top"/>
          </w:tcPr>
          <w:p>
            <w:pPr>
              <w:spacing w:after="0"/>
            </w:pPr>
            <w:r/>
            <w:r>
              <w:rPr>
                <w:rFonts w:ascii="Times New Roman" w:hAnsi="Times New Roman" w:eastAsia="Times New Roman"/>
                <w:b w:val="0"/>
                <w:sz w:val="18"/>
              </w:rPr>
              <w:t>Low balance rule</w:t>
            </w:r>
          </w:p>
        </w:tc>
        <w:tc>
          <w:tcPr>
            <w:tcW w:type="dxa" w:w="6236"/>
            <w:vAlign w:val="top"/>
          </w:tcPr>
          <w:p>
            <w:pPr>
              <w:spacing w:after="0"/>
            </w:pPr>
            <w:r/>
            <w:r>
              <w:rPr>
                <w:rFonts w:ascii="Times New Roman" w:hAnsi="Times New Roman" w:eastAsia="Times New Roman"/>
                <w:b w:val="0"/>
                <w:sz w:val="18"/>
              </w:rPr>
              <w:t>If, after normal depreciation, the remaining depreciation base of Pool A-D is less than Rs. 2,000, the whole balance is allowed as additional depreciation.</w:t>
            </w:r>
          </w:p>
        </w:tc>
      </w:tr>
      <w:tr>
        <w:tc>
          <w:tcPr>
            <w:tcW w:type="dxa" w:w="2835"/>
            <w:vAlign w:val="top"/>
          </w:tcPr>
          <w:p>
            <w:pPr>
              <w:spacing w:after="0"/>
            </w:pPr>
            <w:r/>
            <w:r>
              <w:rPr>
                <w:rFonts w:ascii="Times New Roman" w:hAnsi="Times New Roman" w:eastAsia="Times New Roman"/>
                <w:b w:val="0"/>
                <w:sz w:val="18"/>
              </w:rPr>
              <w:t>18.6.15</w:t>
            </w:r>
          </w:p>
        </w:tc>
        <w:tc>
          <w:tcPr>
            <w:tcW w:type="dxa" w:w="6236"/>
            <w:vAlign w:val="top"/>
          </w:tcPr>
          <w:p>
            <w:pPr>
              <w:spacing w:after="0"/>
            </w:pPr>
            <w:r/>
            <w:r>
              <w:rPr>
                <w:rFonts w:ascii="Times New Roman" w:hAnsi="Times New Roman" w:eastAsia="Times New Roman"/>
                <w:b w:val="0"/>
                <w:sz w:val="18"/>
              </w:rPr>
              <w:t>Pool B base Rs. 2,400; depreciation Rs. 600; remaining Rs. 1,800, being below Rs. 2,000, is deductible as additional depreciation.</w:t>
            </w:r>
          </w:p>
        </w:tc>
      </w:tr>
    </w:tbl>
    <w:p/>
    <w:p>
      <w:pPr>
        <w:spacing w:after="80"/>
      </w:pPr>
      <w:r>
        <w:rPr>
          <w:rFonts w:ascii="Times New Roman" w:hAnsi="Times New Roman" w:eastAsia="Times New Roman"/>
          <w:b w:val="0"/>
          <w:i w:val="0"/>
          <w:sz w:val="21"/>
        </w:rPr>
        <w:t>When an asset is added to Pool A-D, the cost added to the depreciation base depends on the time of use/addition: full cost if added from the start of the year to the end of Poush; two-thirds if added from Magh to Chaitra; one-third if added from Baisakh to year-end. The balance is added at the beginning of the next income year, unless the pool is dissolved.</w:t>
      </w:r>
    </w:p>
    <w:tbl>
      <w:tblPr>
        <w:tblStyle w:val="TableGrid"/>
        <w:tblW w:type="auto" w:w="0"/>
        <w:jc w:val="center"/>
        <w:tblLook w:firstColumn="1" w:firstRow="1" w:lastColumn="0" w:lastRow="0" w:noHBand="0" w:noVBand="1" w:val="04A0"/>
      </w:tblPr>
      <w:tblGrid>
        <w:gridCol w:w="5156"/>
        <w:gridCol w:w="5156"/>
      </w:tblGrid>
      <w:tr>
        <w:tc>
          <w:tcPr>
            <w:tcW w:type="dxa" w:w="1701"/>
            <w:vAlign w:val="top"/>
            <w:shd w:fill="D9EAF7"/>
          </w:tcPr>
          <w:p>
            <w:pPr>
              <w:spacing w:after="0"/>
            </w:pPr>
            <w:r/>
            <w:r>
              <w:rPr>
                <w:rFonts w:ascii="Times New Roman" w:hAnsi="Times New Roman" w:eastAsia="Times New Roman"/>
                <w:b/>
                <w:sz w:val="18"/>
              </w:rPr>
              <w:t>Example</w:t>
            </w:r>
          </w:p>
        </w:tc>
        <w:tc>
          <w:tcPr>
            <w:tcW w:type="dxa" w:w="7370"/>
            <w:vAlign w:val="top"/>
            <w:shd w:fill="D9EAF7"/>
          </w:tcPr>
          <w:p>
            <w:pPr>
              <w:spacing w:after="0"/>
            </w:pPr>
            <w:r/>
            <w:r>
              <w:rPr>
                <w:rFonts w:ascii="Times New Roman" w:hAnsi="Times New Roman" w:eastAsia="Times New Roman"/>
                <w:b/>
                <w:sz w:val="18"/>
              </w:rPr>
              <w:t>Treatment</w:t>
            </w:r>
          </w:p>
        </w:tc>
      </w:tr>
      <w:tr>
        <w:tc>
          <w:tcPr>
            <w:tcW w:type="dxa" w:w="1701"/>
            <w:vAlign w:val="top"/>
          </w:tcPr>
          <w:p>
            <w:pPr>
              <w:spacing w:after="0"/>
            </w:pPr>
            <w:r/>
            <w:r>
              <w:rPr>
                <w:rFonts w:ascii="Times New Roman" w:hAnsi="Times New Roman" w:eastAsia="Times New Roman"/>
                <w:b w:val="0"/>
                <w:sz w:val="18"/>
              </w:rPr>
              <w:t>18.6.16</w:t>
            </w:r>
          </w:p>
        </w:tc>
        <w:tc>
          <w:tcPr>
            <w:tcW w:type="dxa" w:w="7370"/>
            <w:vAlign w:val="top"/>
          </w:tcPr>
          <w:p>
            <w:pPr>
              <w:spacing w:after="0"/>
            </w:pPr>
            <w:r/>
            <w:r>
              <w:rPr>
                <w:rFonts w:ascii="Times New Roman" w:hAnsi="Times New Roman" w:eastAsia="Times New Roman"/>
                <w:b w:val="0"/>
                <w:sz w:val="18"/>
              </w:rPr>
              <w:t>Computer costing Rs. 60,000 added by Poush: full Rs. 60,000 is included in the depreciation base. If added between Magh and Chaitra: Rs. 40,000. If added from Baisakh to Ashadh: Rs. 20,000.</w:t>
            </w:r>
          </w:p>
        </w:tc>
      </w:tr>
      <w:tr>
        <w:tc>
          <w:tcPr>
            <w:tcW w:type="dxa" w:w="1701"/>
            <w:vAlign w:val="top"/>
          </w:tcPr>
          <w:p>
            <w:pPr>
              <w:spacing w:after="0"/>
            </w:pPr>
            <w:r/>
            <w:r>
              <w:rPr>
                <w:rFonts w:ascii="Times New Roman" w:hAnsi="Times New Roman" w:eastAsia="Times New Roman"/>
                <w:b w:val="0"/>
                <w:sz w:val="18"/>
              </w:rPr>
              <w:t>18.6.17</w:t>
            </w:r>
          </w:p>
        </w:tc>
        <w:tc>
          <w:tcPr>
            <w:tcW w:type="dxa" w:w="7370"/>
            <w:vAlign w:val="top"/>
          </w:tcPr>
          <w:p>
            <w:pPr>
              <w:spacing w:after="0"/>
            </w:pPr>
            <w:r/>
            <w:r>
              <w:rPr>
                <w:rFonts w:ascii="Times New Roman" w:hAnsi="Times New Roman" w:eastAsia="Times New Roman"/>
                <w:b w:val="0"/>
                <w:sz w:val="18"/>
              </w:rPr>
              <w:t>Trademark licence costing Rs. 600,000 with useful life around five years is depreciated as a Pool E intangible over its useful life.</w:t>
            </w:r>
          </w:p>
        </w:tc>
      </w:tr>
    </w:tbl>
    <w:p/>
    <w:p>
      <w:pPr>
        <w:spacing w:after="80"/>
      </w:pPr>
      <w:r>
        <w:rPr>
          <w:rFonts w:ascii="Times New Roman" w:hAnsi="Times New Roman" w:eastAsia="Times New Roman"/>
          <w:b w:val="0"/>
          <w:i w:val="0"/>
          <w:sz w:val="21"/>
        </w:rPr>
        <w:t>On disposal of Pool A-D assets, proceeds reduce the pool. If proceeds exceed the pool base, the excess is a balancing charge and is included in income. If all assets in a pool are disposed and the pool has a remaining value, that remaining value is terminal depreciation. Written down value means the previous year-end depreciation base less depreciation allowed for the year.</w:t>
      </w:r>
    </w:p>
    <w:tbl>
      <w:tblPr>
        <w:tblStyle w:val="TableGrid"/>
        <w:tblW w:type="auto" w:w="0"/>
        <w:jc w:val="center"/>
        <w:tblLook w:firstColumn="1" w:firstRow="1" w:lastColumn="0" w:lastRow="0" w:noHBand="0" w:noVBand="1" w:val="04A0"/>
      </w:tblPr>
      <w:tblGrid>
        <w:gridCol w:w="5156"/>
        <w:gridCol w:w="5156"/>
      </w:tblGrid>
      <w:tr>
        <w:tc>
          <w:tcPr>
            <w:tcW w:type="dxa" w:w="1701"/>
            <w:vAlign w:val="top"/>
            <w:shd w:fill="D9EAF7"/>
          </w:tcPr>
          <w:p>
            <w:pPr>
              <w:spacing w:after="0"/>
            </w:pPr>
            <w:r/>
            <w:r>
              <w:rPr>
                <w:rFonts w:ascii="Times New Roman" w:hAnsi="Times New Roman" w:eastAsia="Times New Roman"/>
                <w:b/>
                <w:sz w:val="18"/>
              </w:rPr>
              <w:t>Example</w:t>
            </w:r>
          </w:p>
        </w:tc>
        <w:tc>
          <w:tcPr>
            <w:tcW w:type="dxa" w:w="7370"/>
            <w:vAlign w:val="top"/>
            <w:shd w:fill="D9EAF7"/>
          </w:tcPr>
          <w:p>
            <w:pPr>
              <w:spacing w:after="0"/>
            </w:pPr>
            <w:r/>
            <w:r>
              <w:rPr>
                <w:rFonts w:ascii="Times New Roman" w:hAnsi="Times New Roman" w:eastAsia="Times New Roman"/>
                <w:b/>
                <w:sz w:val="18"/>
              </w:rPr>
              <w:t>Result</w:t>
            </w:r>
          </w:p>
        </w:tc>
      </w:tr>
      <w:tr>
        <w:tc>
          <w:tcPr>
            <w:tcW w:type="dxa" w:w="1701"/>
            <w:vAlign w:val="top"/>
          </w:tcPr>
          <w:p>
            <w:pPr>
              <w:spacing w:after="0"/>
            </w:pPr>
            <w:r/>
            <w:r>
              <w:rPr>
                <w:rFonts w:ascii="Times New Roman" w:hAnsi="Times New Roman" w:eastAsia="Times New Roman"/>
                <w:b w:val="0"/>
                <w:sz w:val="18"/>
              </w:rPr>
              <w:t>18.6.18</w:t>
            </w:r>
          </w:p>
        </w:tc>
        <w:tc>
          <w:tcPr>
            <w:tcW w:type="dxa" w:w="7370"/>
            <w:vAlign w:val="top"/>
          </w:tcPr>
          <w:p>
            <w:pPr>
              <w:spacing w:after="0"/>
            </w:pPr>
            <w:r/>
            <w:r>
              <w:rPr>
                <w:rFonts w:ascii="Times New Roman" w:hAnsi="Times New Roman" w:eastAsia="Times New Roman"/>
                <w:b w:val="0"/>
                <w:sz w:val="18"/>
              </w:rPr>
              <w:t>Pool C beginning base Rs. 1,500,000, addition Rs. 100,000, disposal Rs. 1,700,000: balancing charge Rs. 100,000. Pool D beginning base Rs. 1,050,000, disposal Rs. 900,000 with no asset left: terminal depreciation Rs. 150,000.</w:t>
            </w:r>
          </w:p>
        </w:tc>
      </w:tr>
      <w:tr>
        <w:tc>
          <w:tcPr>
            <w:tcW w:type="dxa" w:w="1701"/>
            <w:vAlign w:val="top"/>
          </w:tcPr>
          <w:p>
            <w:pPr>
              <w:spacing w:after="0"/>
            </w:pPr>
            <w:r/>
            <w:r>
              <w:rPr>
                <w:rFonts w:ascii="Times New Roman" w:hAnsi="Times New Roman" w:eastAsia="Times New Roman"/>
                <w:b w:val="0"/>
                <w:sz w:val="18"/>
              </w:rPr>
              <w:t>18.6.19</w:t>
            </w:r>
          </w:p>
        </w:tc>
        <w:tc>
          <w:tcPr>
            <w:tcW w:type="dxa" w:w="7370"/>
            <w:vAlign w:val="top"/>
          </w:tcPr>
          <w:p>
            <w:pPr>
              <w:spacing w:after="0"/>
            </w:pPr>
            <w:r/>
            <w:r>
              <w:rPr>
                <w:rFonts w:ascii="Times New Roman" w:hAnsi="Times New Roman" w:eastAsia="Times New Roman"/>
                <w:b w:val="0"/>
                <w:sz w:val="18"/>
              </w:rPr>
              <w:t>Where Pool D is dissolved and a value remains, the remaining value is allowed as terminal depreciation in the year of dissolution.</w:t>
            </w:r>
          </w:p>
        </w:tc>
      </w:tr>
      <w:tr>
        <w:tc>
          <w:tcPr>
            <w:tcW w:type="dxa" w:w="1701"/>
            <w:vAlign w:val="top"/>
          </w:tcPr>
          <w:p>
            <w:pPr>
              <w:spacing w:after="0"/>
            </w:pPr>
            <w:r/>
            <w:r>
              <w:rPr>
                <w:rFonts w:ascii="Times New Roman" w:hAnsi="Times New Roman" w:eastAsia="Times New Roman"/>
                <w:b w:val="0"/>
                <w:sz w:val="18"/>
              </w:rPr>
              <w:t>18.6.20</w:t>
            </w:r>
          </w:p>
        </w:tc>
        <w:tc>
          <w:tcPr>
            <w:tcW w:type="dxa" w:w="7370"/>
            <w:vAlign w:val="top"/>
          </w:tcPr>
          <w:p>
            <w:pPr>
              <w:spacing w:after="0"/>
            </w:pPr>
            <w:r/>
            <w:r>
              <w:rPr>
                <w:rFonts w:ascii="Times New Roman" w:hAnsi="Times New Roman" w:eastAsia="Times New Roman"/>
                <w:b w:val="0"/>
                <w:sz w:val="18"/>
              </w:rPr>
              <w:t>Pool C base Rs. 1,240,000; depreciation Rs. 310,000; written down value Rs. 930,000.</w:t>
            </w:r>
          </w:p>
        </w:tc>
      </w:tr>
      <w:tr>
        <w:tc>
          <w:tcPr>
            <w:tcW w:type="dxa" w:w="1701"/>
            <w:vAlign w:val="top"/>
          </w:tcPr>
          <w:p>
            <w:pPr>
              <w:spacing w:after="0"/>
            </w:pPr>
            <w:r/>
            <w:r>
              <w:rPr>
                <w:rFonts w:ascii="Times New Roman" w:hAnsi="Times New Roman" w:eastAsia="Times New Roman"/>
                <w:b w:val="0"/>
                <w:sz w:val="18"/>
              </w:rPr>
              <w:t>18.6.21</w:t>
            </w:r>
          </w:p>
        </w:tc>
        <w:tc>
          <w:tcPr>
            <w:tcW w:type="dxa" w:w="7370"/>
            <w:vAlign w:val="top"/>
          </w:tcPr>
          <w:p>
            <w:pPr>
              <w:spacing w:after="0"/>
            </w:pPr>
            <w:r/>
            <w:r>
              <w:rPr>
                <w:rFonts w:ascii="Times New Roman" w:hAnsi="Times New Roman" w:eastAsia="Times New Roman"/>
                <w:b w:val="0"/>
                <w:sz w:val="18"/>
              </w:rPr>
              <w:t>In a hydropower project required to transfer the project to the Government after 30 years, land cost of Rs. 9,000,000 connected with the project may be depreciated over the licence period, i.e., Rs. 300,000 per year.</w:t>
            </w:r>
          </w:p>
        </w:tc>
      </w:tr>
      <w:tr>
        <w:tc>
          <w:tcPr>
            <w:tcW w:type="dxa" w:w="1701"/>
            <w:vAlign w:val="top"/>
          </w:tcPr>
          <w:p>
            <w:pPr>
              <w:spacing w:after="0"/>
            </w:pPr>
            <w:r/>
            <w:r>
              <w:rPr>
                <w:rFonts w:ascii="Times New Roman" w:hAnsi="Times New Roman" w:eastAsia="Times New Roman"/>
                <w:b w:val="0"/>
                <w:sz w:val="18"/>
              </w:rPr>
              <w:t>18.6.22</w:t>
            </w:r>
          </w:p>
        </w:tc>
        <w:tc>
          <w:tcPr>
            <w:tcW w:type="dxa" w:w="7370"/>
            <w:vAlign w:val="top"/>
          </w:tcPr>
          <w:p>
            <w:pPr>
              <w:spacing w:after="0"/>
            </w:pPr>
            <w:r/>
            <w:r>
              <w:rPr>
                <w:rFonts w:ascii="Times New Roman" w:hAnsi="Times New Roman" w:eastAsia="Times New Roman"/>
                <w:b w:val="0"/>
                <w:sz w:val="18"/>
              </w:rPr>
              <w:t>Generator for own business energy production costing Rs. 900,000: 50% special depreciation Rs. 450,000 plus normal depreciation on Pool D. With opening Pool D base Rs. 2,900,000 and special-industry rate 20%, normal depreciation Rs. 580,000; total depreciation Rs. 1,030,000.</w:t>
            </w:r>
          </w:p>
        </w:tc>
      </w:tr>
      <w:tr>
        <w:tc>
          <w:tcPr>
            <w:tcW w:type="dxa" w:w="1701"/>
            <w:vAlign w:val="top"/>
          </w:tcPr>
          <w:p>
            <w:pPr>
              <w:spacing w:after="0"/>
            </w:pPr>
            <w:r/>
            <w:r>
              <w:rPr>
                <w:rFonts w:ascii="Times New Roman" w:hAnsi="Times New Roman" w:eastAsia="Times New Roman"/>
                <w:b w:val="0"/>
                <w:sz w:val="18"/>
              </w:rPr>
              <w:t>18.6.23</w:t>
            </w:r>
          </w:p>
        </w:tc>
        <w:tc>
          <w:tcPr>
            <w:tcW w:type="dxa" w:w="7370"/>
            <w:vAlign w:val="top"/>
          </w:tcPr>
          <w:p>
            <w:pPr>
              <w:spacing w:after="0"/>
            </w:pPr>
            <w:r/>
            <w:r>
              <w:rPr>
                <w:rFonts w:ascii="Times New Roman" w:hAnsi="Times New Roman" w:eastAsia="Times New Roman"/>
                <w:b w:val="0"/>
                <w:sz w:val="18"/>
              </w:rPr>
              <w:t>Fiscal printer and cash machine costing Rs. 50,000: entire amount is allowed as depreciation expense in the year in which the printer/cash machine is used for invoice issue.</w:t>
            </w:r>
          </w:p>
        </w:tc>
      </w:tr>
    </w:tbl>
    <w:p/>
    <w:p>
      <w:pPr>
        <w:pStyle w:val="Heading2"/>
      </w:pPr>
      <w:r>
        <w:t>18.7 Other Special Provisions</w:t>
      </w:r>
    </w:p>
    <w:p>
      <w:pPr>
        <w:pStyle w:val="Heading3"/>
      </w:pPr>
      <w:r>
        <w:t>18.7.1 Banking and insurance business</w:t>
      </w:r>
    </w:p>
    <w:p>
      <w:pPr>
        <w:spacing w:after="80"/>
      </w:pPr>
      <w:r>
        <w:rPr>
          <w:rFonts w:ascii="Times New Roman" w:hAnsi="Times New Roman" w:eastAsia="Times New Roman"/>
          <w:b w:val="0"/>
          <w:i w:val="0"/>
          <w:sz w:val="21"/>
        </w:rPr>
        <w:t>Special provisions for computing income of banking and insurance businesses are explained in Chapter 19 of the Directive.</w:t>
      </w:r>
    </w:p>
    <w:p>
      <w:pPr>
        <w:pStyle w:val="Heading3"/>
      </w:pPr>
      <w:r>
        <w:t>18.7.2 Long-term contracts</w:t>
      </w:r>
    </w:p>
    <w:p>
      <w:pPr>
        <w:spacing w:after="80"/>
      </w:pPr>
      <w:r>
        <w:rPr>
          <w:rFonts w:ascii="Times New Roman" w:hAnsi="Times New Roman" w:eastAsia="Times New Roman"/>
          <w:b w:val="0"/>
          <w:i w:val="0"/>
          <w:sz w:val="21"/>
        </w:rPr>
        <w:t>Section 26 contains special rules for computation of income from long-term contracts. Detailed explanation is in Chapter 20 of the Directive.</w:t>
      </w:r>
    </w:p>
    <w:p>
      <w:pPr>
        <w:pStyle w:val="Heading3"/>
      </w:pPr>
      <w:r>
        <w:t>18.7.3 Claiming expense for foreign income tax</w:t>
      </w:r>
    </w:p>
    <w:p>
      <w:pPr>
        <w:spacing w:after="80"/>
      </w:pPr>
      <w:r>
        <w:rPr>
          <w:rFonts w:ascii="Times New Roman" w:hAnsi="Times New Roman" w:eastAsia="Times New Roman"/>
          <w:b w:val="0"/>
          <w:i w:val="0"/>
          <w:sz w:val="21"/>
        </w:rPr>
        <w:t>A resident person with foreign income on which foreign income tax is paid may claim foreign tax adjustment within the limitation based on the average rate of Nepal tax. Section 71(4) also permits the person to waive the foreign tax adjustment claim and instead claim as an expense the amount of foreign income tax for which credit would otherwise have been available.</w:t>
      </w:r>
    </w:p>
    <w:p>
      <w:pPr>
        <w:pStyle w:val="Heading2"/>
      </w:pPr>
      <w:r>
        <w:t>18.8 Loss from Business</w:t>
      </w:r>
    </w:p>
    <w:p>
      <w:pPr>
        <w:spacing w:after="80"/>
      </w:pPr>
      <w:r>
        <w:rPr>
          <w:rFonts w:ascii="Times New Roman" w:hAnsi="Times New Roman" w:eastAsia="Times New Roman"/>
          <w:b w:val="0"/>
          <w:i w:val="0"/>
          <w:sz w:val="21"/>
        </w:rPr>
        <w:t>Section 20 allows losses from business and investment to be deducted subject to limitations. A current-year loss from one business may be set off against income from another business. A business loss not deducted may generally be carried forward for seven income years. For public-infrastructure projects transferred to the Government, power-house construction/generation/transmission projects and petroleum operations under the Nepal Petroleum Act, 2040, the carry-forward period is twelve years.</w:t>
      </w:r>
    </w:p>
    <w:p>
      <w:pPr>
        <w:spacing w:after="80"/>
      </w:pPr>
      <w:r>
        <w:rPr>
          <w:rFonts w:ascii="Times New Roman" w:hAnsi="Times New Roman" w:eastAsia="Times New Roman"/>
          <w:b w:val="0"/>
          <w:i w:val="0"/>
          <w:sz w:val="21"/>
        </w:rPr>
        <w:t>Business loss may be deducted against investment income, but investment loss may not be deducted against business income. Business or investment loss cannot be deducted from employment income. A foreign-source loss may be deducted only against foreign-source income from the same country on a per-country basis. Loss relating to exempt income may be deducted only against exempt income.</w:t>
      </w:r>
    </w:p>
    <w:tbl>
      <w:tblPr>
        <w:tblStyle w:val="TableGrid"/>
        <w:tblW w:type="auto" w:w="0"/>
        <w:jc w:val="center"/>
        <w:tblLook w:firstColumn="1" w:firstRow="1" w:lastColumn="0" w:lastRow="0" w:noHBand="0" w:noVBand="1" w:val="04A0"/>
      </w:tblPr>
      <w:tblGrid>
        <w:gridCol w:w="5156"/>
        <w:gridCol w:w="5156"/>
      </w:tblGrid>
      <w:tr>
        <w:tc>
          <w:tcPr>
            <w:tcW w:type="dxa" w:w="1701"/>
            <w:vAlign w:val="top"/>
            <w:shd w:fill="D9EAF7"/>
          </w:tcPr>
          <w:p>
            <w:pPr>
              <w:spacing w:after="0"/>
            </w:pPr>
            <w:r/>
            <w:r>
              <w:rPr>
                <w:rFonts w:ascii="Times New Roman" w:hAnsi="Times New Roman" w:eastAsia="Times New Roman"/>
                <w:b/>
                <w:sz w:val="18"/>
              </w:rPr>
              <w:t>Example</w:t>
            </w:r>
          </w:p>
        </w:tc>
        <w:tc>
          <w:tcPr>
            <w:tcW w:type="dxa" w:w="7370"/>
            <w:vAlign w:val="top"/>
            <w:shd w:fill="D9EAF7"/>
          </w:tcPr>
          <w:p>
            <w:pPr>
              <w:spacing w:after="0"/>
            </w:pPr>
            <w:r/>
            <w:r>
              <w:rPr>
                <w:rFonts w:ascii="Times New Roman" w:hAnsi="Times New Roman" w:eastAsia="Times New Roman"/>
                <w:b/>
                <w:sz w:val="18"/>
              </w:rPr>
              <w:t>Treatment</w:t>
            </w:r>
          </w:p>
        </w:tc>
      </w:tr>
      <w:tr>
        <w:tc>
          <w:tcPr>
            <w:tcW w:type="dxa" w:w="1701"/>
            <w:vAlign w:val="top"/>
          </w:tcPr>
          <w:p>
            <w:pPr>
              <w:spacing w:after="0"/>
            </w:pPr>
            <w:r/>
            <w:r>
              <w:rPr>
                <w:rFonts w:ascii="Times New Roman" w:hAnsi="Times New Roman" w:eastAsia="Times New Roman"/>
                <w:b w:val="0"/>
                <w:sz w:val="18"/>
              </w:rPr>
              <w:t>18.8.1</w:t>
            </w:r>
          </w:p>
        </w:tc>
        <w:tc>
          <w:tcPr>
            <w:tcW w:type="dxa" w:w="7370"/>
            <w:vAlign w:val="top"/>
          </w:tcPr>
          <w:p>
            <w:pPr>
              <w:spacing w:after="0"/>
            </w:pPr>
            <w:r/>
            <w:r>
              <w:rPr>
                <w:rFonts w:ascii="Times New Roman" w:hAnsi="Times New Roman" w:eastAsia="Times New Roman"/>
                <w:b w:val="0"/>
                <w:sz w:val="18"/>
              </w:rPr>
              <w:t>Ganesh Singhada has Rs. 10,000,000 income from import business and Rs. 5,000,000 loss from hotel operation in 2080/81. The hotel loss may be deducted from import-business income.</w:t>
            </w:r>
          </w:p>
        </w:tc>
      </w:tr>
      <w:tr>
        <w:tc>
          <w:tcPr>
            <w:tcW w:type="dxa" w:w="1701"/>
            <w:vAlign w:val="top"/>
          </w:tcPr>
          <w:p>
            <w:pPr>
              <w:spacing w:after="0"/>
            </w:pPr>
            <w:r/>
            <w:r>
              <w:rPr>
                <w:rFonts w:ascii="Times New Roman" w:hAnsi="Times New Roman" w:eastAsia="Times New Roman"/>
                <w:b w:val="0"/>
                <w:sz w:val="18"/>
              </w:rPr>
              <w:t>18.8.2</w:t>
            </w:r>
          </w:p>
        </w:tc>
        <w:tc>
          <w:tcPr>
            <w:tcW w:type="dxa" w:w="7370"/>
            <w:vAlign w:val="top"/>
          </w:tcPr>
          <w:p>
            <w:pPr>
              <w:spacing w:after="0"/>
            </w:pPr>
            <w:r/>
            <w:r>
              <w:rPr>
                <w:rFonts w:ascii="Times New Roman" w:hAnsi="Times New Roman" w:eastAsia="Times New Roman"/>
                <w:b w:val="0"/>
                <w:sz w:val="18"/>
              </w:rPr>
              <w:t>If Ganesh has Rs. 5,000,000 hotel loss and no other income, the loss may be carried forward and deducted from business or investment income up to seven years.</w:t>
            </w:r>
          </w:p>
        </w:tc>
      </w:tr>
      <w:tr>
        <w:tc>
          <w:tcPr>
            <w:tcW w:type="dxa" w:w="1701"/>
            <w:vAlign w:val="top"/>
          </w:tcPr>
          <w:p>
            <w:pPr>
              <w:spacing w:after="0"/>
            </w:pPr>
            <w:r/>
            <w:r>
              <w:rPr>
                <w:rFonts w:ascii="Times New Roman" w:hAnsi="Times New Roman" w:eastAsia="Times New Roman"/>
                <w:b w:val="0"/>
                <w:sz w:val="18"/>
              </w:rPr>
              <w:t>18.8.3</w:t>
            </w:r>
          </w:p>
        </w:tc>
        <w:tc>
          <w:tcPr>
            <w:tcW w:type="dxa" w:w="7370"/>
            <w:vAlign w:val="top"/>
          </w:tcPr>
          <w:p>
            <w:pPr>
              <w:spacing w:after="0"/>
            </w:pPr>
            <w:r/>
            <w:r>
              <w:rPr>
                <w:rFonts w:ascii="Times New Roman" w:hAnsi="Times New Roman" w:eastAsia="Times New Roman"/>
                <w:b w:val="0"/>
                <w:sz w:val="18"/>
              </w:rPr>
              <w:t>A company with trading-business loss Rs. 1,000,000 and income from two LPG factories may choose the order in which the loss is deducted from the different eligible business incomes.</w:t>
            </w:r>
          </w:p>
        </w:tc>
      </w:tr>
      <w:tr>
        <w:tc>
          <w:tcPr>
            <w:tcW w:type="dxa" w:w="1701"/>
            <w:vAlign w:val="top"/>
          </w:tcPr>
          <w:p>
            <w:pPr>
              <w:spacing w:after="0"/>
            </w:pPr>
            <w:r/>
            <w:r>
              <w:rPr>
                <w:rFonts w:ascii="Times New Roman" w:hAnsi="Times New Roman" w:eastAsia="Times New Roman"/>
                <w:b w:val="0"/>
                <w:sz w:val="18"/>
              </w:rPr>
              <w:t>18.8.4</w:t>
            </w:r>
          </w:p>
        </w:tc>
        <w:tc>
          <w:tcPr>
            <w:tcW w:type="dxa" w:w="7370"/>
            <w:vAlign w:val="top"/>
          </w:tcPr>
          <w:p>
            <w:pPr>
              <w:spacing w:after="0"/>
            </w:pPr>
            <w:r/>
            <w:r>
              <w:rPr>
                <w:rFonts w:ascii="Times New Roman" w:hAnsi="Times New Roman" w:eastAsia="Times New Roman"/>
                <w:b w:val="0"/>
                <w:sz w:val="18"/>
              </w:rPr>
              <w:t>A small hydropower company enjoying full tax exemption up to 2079/80 cannot carry forward Rs. 6,000,000 loss from the full-exemption period to offset income of 2080/81. If 2080/81 income is Rs. 1,000,000, tax is payable on that income.</w:t>
            </w:r>
          </w:p>
        </w:tc>
      </w:tr>
      <w:tr>
        <w:tc>
          <w:tcPr>
            <w:tcW w:type="dxa" w:w="1701"/>
            <w:vAlign w:val="top"/>
          </w:tcPr>
          <w:p>
            <w:pPr>
              <w:spacing w:after="0"/>
            </w:pPr>
            <w:r/>
            <w:r>
              <w:rPr>
                <w:rFonts w:ascii="Times New Roman" w:hAnsi="Times New Roman" w:eastAsia="Times New Roman"/>
                <w:b w:val="0"/>
                <w:sz w:val="18"/>
              </w:rPr>
              <w:t>18.8.5</w:t>
            </w:r>
          </w:p>
        </w:tc>
        <w:tc>
          <w:tcPr>
            <w:tcW w:type="dxa" w:w="7370"/>
            <w:vAlign w:val="top"/>
          </w:tcPr>
          <w:p>
            <w:pPr>
              <w:spacing w:after="0"/>
            </w:pPr>
            <w:r/>
            <w:r>
              <w:rPr>
                <w:rFonts w:ascii="Times New Roman" w:hAnsi="Times New Roman" w:eastAsia="Times New Roman"/>
                <w:b w:val="0"/>
                <w:sz w:val="18"/>
              </w:rPr>
              <w:t>If the earlier exemption was only partial, the Rs. 6,000,000 loss could be carried forward subject to Section 20(1).</w:t>
            </w:r>
          </w:p>
        </w:tc>
      </w:tr>
    </w:tbl>
    <w:p/>
    <w:p>
      <w:pPr>
        <w:spacing w:after="80"/>
      </w:pPr>
      <w:r>
        <w:rPr>
          <w:rFonts w:ascii="Times New Roman" w:hAnsi="Times New Roman" w:eastAsia="Times New Roman"/>
          <w:b w:val="0"/>
          <w:i w:val="0"/>
          <w:sz w:val="21"/>
        </w:rPr>
        <w:t>For an internationally competitive long-term contract, the Department may, by written notice, allow loss on completion or disposal of the contract to be carried back to past income years to the extent of earlier income from that long-term contract. If ownership/control of an entity changes by 50% or more compared with ownership up to three years earlier under Section 57, pre-change losses cannot be deducted after the change, and losses after the change cannot be carried back to pre-change years.</w:t>
      </w:r>
    </w:p>
    <w:p>
      <w:pPr>
        <w:pStyle w:val="Heading2"/>
      </w:pPr>
      <w:r>
        <w:t>18.9 Deductible Donation Amount</w:t>
      </w:r>
    </w:p>
    <w:p>
      <w:pPr>
        <w:spacing w:after="80"/>
      </w:pPr>
      <w:r>
        <w:rPr>
          <w:rFonts w:ascii="Times New Roman" w:hAnsi="Times New Roman" w:eastAsia="Times New Roman"/>
          <w:b w:val="0"/>
          <w:i w:val="0"/>
          <w:sz w:val="21"/>
        </w:rPr>
        <w:t>Section 12 allows deduction for gifts or donations made to a organization entitled to enjoy exemption approved by the Department. The deduction for an income year is limited to the lower of Rs. 100,000 or 5% of adjusted taxable income. In a specific case, the Government of Nepal may, by notice in the Nepal Gazette, prescribe that an expense or donation for a specified purpose may be deducted wholly or partly.</w:t>
      </w:r>
    </w:p>
    <w:p>
      <w:pPr>
        <w:spacing w:after="80"/>
      </w:pPr>
      <w:r>
        <w:rPr>
          <w:rFonts w:ascii="Times New Roman" w:hAnsi="Times New Roman" w:eastAsia="Times New Roman"/>
          <w:b w:val="0"/>
          <w:i w:val="0"/>
          <w:sz w:val="21"/>
        </w:rPr>
        <w:t>Adjusted taxable income for this purpose is taxable income computed before deduction under Sections 12, 12A, 12B and 12C and before deduction of interest restricted under Section 14(2), pollution control expense under Section 17 and R&amp;D expense under Section 18. Where those special expenses do not apply, adjusted taxable income is generally assessable income less allowable retirement contribution, as applicable.</w:t>
      </w:r>
    </w:p>
    <w:p>
      <w:pPr>
        <w:pStyle w:val="Heading2"/>
      </w:pPr>
      <w:r>
        <w:t>18.10 Expense for Heritage Conservation and Sports Development</w:t>
      </w:r>
    </w:p>
    <w:p>
      <w:pPr>
        <w:spacing w:after="80"/>
      </w:pPr>
      <w:r>
        <w:rPr>
          <w:rFonts w:ascii="Times New Roman" w:hAnsi="Times New Roman" w:eastAsia="Times New Roman"/>
          <w:b w:val="0"/>
          <w:i w:val="0"/>
          <w:sz w:val="21"/>
        </w:rPr>
        <w:t>Under Section 12A, a company may deduct expenditure incurred with prior approval of the Department for conserving and promoting ancient, religious or cultural heritage in Nepal or for constructing public physical infrastructure for sports. The deductible amount is limited to the lower of Rs. 1,000,000 or 10% of assessable income for the year.</w:t>
      </w:r>
    </w:p>
    <w:p>
      <w:pPr>
        <w:spacing w:after="80"/>
      </w:pPr>
      <w:r>
        <w:rPr>
          <w:rFonts w:ascii="Times New Roman" w:hAnsi="Times New Roman" w:eastAsia="Times New Roman"/>
          <w:b w:val="0"/>
          <w:i w:val="0"/>
          <w:sz w:val="21"/>
        </w:rPr>
        <w:t>The application for prior approval should state the purpose of expenditure, estimated amount, time limit and process of spending, such as direct payment to the concerned body, self-execution or contract execution. The application should be submitted to the concerned office at least seven days before incurring the expense, and the office should decide and notify the taxpayer.</w:t>
      </w:r>
    </w:p>
    <w:p>
      <w:pPr>
        <w:pStyle w:val="Heading2"/>
      </w:pPr>
      <w:r>
        <w:t>18.11 Contribution to Prime Minister Disaster Relief Fund and Government Reconstruction Fund</w:t>
      </w:r>
    </w:p>
    <w:p>
      <w:pPr>
        <w:spacing w:after="80"/>
      </w:pPr>
      <w:r>
        <w:rPr>
          <w:rFonts w:ascii="Times New Roman" w:hAnsi="Times New Roman" w:eastAsia="Times New Roman"/>
          <w:b w:val="0"/>
          <w:i w:val="0"/>
          <w:sz w:val="21"/>
        </w:rPr>
        <w:t>Section 12B allows a person to deduct, in computing taxable income for the year, the amount contributed to the Prime Minister Disaster Relief Fund and the Reconstruction Fund established by the Government of Nepal.</w:t>
      </w:r>
    </w:p>
    <w:p>
      <w:pPr>
        <w:pStyle w:val="Heading2"/>
      </w:pPr>
      <w:r>
        <w:t>18.11A Deduction for Seed Capital Given to Startup Business</w:t>
      </w:r>
    </w:p>
    <w:p>
      <w:pPr>
        <w:spacing w:after="80"/>
      </w:pPr>
      <w:r>
        <w:rPr>
          <w:rFonts w:ascii="Times New Roman" w:hAnsi="Times New Roman" w:eastAsia="Times New Roman"/>
          <w:b w:val="0"/>
          <w:i w:val="0"/>
          <w:sz w:val="21"/>
        </w:rPr>
        <w:t>Where a person provides seed-capital grant of up to Rs. 100,000 per business to not more than five startup businesses, other than associated persons, the amount is deductible in computing taxable income.</w:t>
      </w:r>
    </w:p>
    <w:p>
      <w:pPr>
        <w:pStyle w:val="Heading2"/>
      </w:pPr>
      <w:r>
        <w:t>18.12 Deductible Retirement Contribution</w:t>
      </w:r>
    </w:p>
    <w:p>
      <w:pPr>
        <w:spacing w:after="80"/>
      </w:pPr>
      <w:r>
        <w:rPr>
          <w:rFonts w:ascii="Times New Roman" w:hAnsi="Times New Roman" w:eastAsia="Times New Roman"/>
          <w:b w:val="0"/>
          <w:i w:val="0"/>
          <w:sz w:val="21"/>
        </w:rPr>
        <w:t>Under Section 63(2), a natural person may claim deduction for retirement contribution made to an approved retirement fund in an income year. Under Section 63(3) and Rule 21, the deduction is limited to the lower of Rs. 300,000 or one-third of assessable income. Contributions to an unapproved retirement fund are not deductible. For a person contributing to the Social Security Fund established under the Contribution-based Social Security Fund Act, 2074, the limit is the lower of Rs. 500,000 or one-third of assessable income.</w:t>
      </w:r>
    </w:p>
    <w:p>
      <w:pPr>
        <w:pStyle w:val="Heading2"/>
      </w:pPr>
      <w:r>
        <w:t>18.13 Bonus Expense Deduction</w:t>
      </w:r>
    </w:p>
    <w:p>
      <w:pPr>
        <w:spacing w:after="80"/>
      </w:pPr>
      <w:r>
        <w:rPr>
          <w:rFonts w:ascii="Times New Roman" w:hAnsi="Times New Roman" w:eastAsia="Times New Roman"/>
          <w:b w:val="0"/>
          <w:i w:val="0"/>
          <w:sz w:val="21"/>
        </w:rPr>
        <w:t>The Bonus Act, 2030 requires an establishment to allocate and distribute bonus to employees up to 10% of net profit for the income year. The Department had clarified by public circular dated 2061/03/14 that bonus provision made under the Bonus Act is deductible for income tax purposes subject to Sections 13 and 24 of the Income Tax Act, 2058, because distribution results in inclusion in the income of the recipients.</w:t>
      </w:r>
    </w:p>
    <w:p>
      <w:pPr>
        <w:spacing w:after="80"/>
      </w:pPr>
      <w:r>
        <w:rPr>
          <w:rFonts w:ascii="Times New Roman" w:hAnsi="Times New Roman" w:eastAsia="Times New Roman"/>
          <w:b w:val="0"/>
          <w:i w:val="0"/>
          <w:sz w:val="21"/>
        </w:rPr>
        <w:t>If bonus provided for and deducted is not distributed, or if the amount provided exceeds the distributable amount under the Bonus Act, the Directive clarifies the following treatment:</w:t>
      </w:r>
    </w:p>
    <w:p>
      <w:pPr>
        <w:pStyle w:val="ListNumber"/>
        <w:spacing w:after="40"/>
      </w:pPr>
      <w:r>
        <w:rPr>
          <w:rFonts w:ascii="Times New Roman" w:hAnsi="Times New Roman" w:eastAsia="Times New Roman"/>
          <w:sz w:val="21"/>
        </w:rPr>
        <w:t>Bonus provided up to 10% of net profit under the Bonus Act is deductible for income tax purposes.</w:t>
      </w:r>
    </w:p>
    <w:p>
      <w:pPr>
        <w:pStyle w:val="ListNumber"/>
        <w:spacing w:after="40"/>
      </w:pPr>
      <w:r>
        <w:rPr>
          <w:rFonts w:ascii="Times New Roman" w:hAnsi="Times New Roman" w:eastAsia="Times New Roman"/>
          <w:sz w:val="21"/>
        </w:rPr>
        <w:t>Bonus provided and deducted in an income year must be distributed in the immediately following income year. For public enterprises requiring prior Government approval, distribution must be made within the income year in which approval is granted.</w:t>
      </w:r>
    </w:p>
    <w:p>
      <w:pPr>
        <w:pStyle w:val="ListNumber"/>
        <w:spacing w:after="40"/>
      </w:pPr>
      <w:r>
        <w:rPr>
          <w:rFonts w:ascii="Times New Roman" w:hAnsi="Times New Roman" w:eastAsia="Times New Roman"/>
          <w:sz w:val="21"/>
        </w:rPr>
        <w:t>Any bonus amount that remains undistributed within the stated time must be included in income in the immediately following income year under Section 25(1)(c), except to the extent the amount is deposited in the national-level welfare fund or establishment-level welfare fund under the Bonus Act within that following year.</w:t>
      </w:r>
    </w:p>
    <w:p>
      <w:pPr>
        <w:pStyle w:val="Heading2"/>
      </w:pPr>
      <w:r>
        <w:t>18.14 Expenses Not Deductible</w:t>
      </w:r>
    </w:p>
    <w:p>
      <w:pPr>
        <w:spacing w:after="80"/>
      </w:pPr>
      <w:r>
        <w:rPr>
          <w:rFonts w:ascii="Times New Roman" w:hAnsi="Times New Roman" w:eastAsia="Times New Roman"/>
          <w:b w:val="0"/>
          <w:i w:val="0"/>
          <w:sz w:val="21"/>
        </w:rPr>
        <w:t>Although expenses incurred by a person for deriving business income are generally deductible, Section 21 lists expenses that are not deductible in computing income from business, employment or investment.</w:t>
      </w:r>
    </w:p>
    <w:tbl>
      <w:tblPr>
        <w:tblStyle w:val="TableGrid"/>
        <w:tblW w:type="auto" w:w="0"/>
        <w:jc w:val="center"/>
        <w:tblLook w:firstColumn="1" w:firstRow="1" w:lastColumn="0" w:lastRow="0" w:noHBand="0" w:noVBand="1" w:val="04A0"/>
      </w:tblPr>
      <w:tblGrid>
        <w:gridCol w:w="5156"/>
        <w:gridCol w:w="5156"/>
      </w:tblGrid>
      <w:tr>
        <w:tc>
          <w:tcPr>
            <w:tcW w:type="dxa" w:w="2268"/>
            <w:vAlign w:val="top"/>
            <w:shd w:fill="D9EAF7"/>
          </w:tcPr>
          <w:p>
            <w:pPr>
              <w:spacing w:after="0"/>
            </w:pPr>
            <w:r/>
            <w:r>
              <w:rPr>
                <w:rFonts w:ascii="Times New Roman" w:hAnsi="Times New Roman" w:eastAsia="Times New Roman"/>
                <w:b/>
                <w:sz w:val="18"/>
              </w:rPr>
              <w:t>Section / item</w:t>
            </w:r>
          </w:p>
        </w:tc>
        <w:tc>
          <w:tcPr>
            <w:tcW w:type="dxa" w:w="6803"/>
            <w:vAlign w:val="top"/>
            <w:shd w:fill="D9EAF7"/>
          </w:tcPr>
          <w:p>
            <w:pPr>
              <w:spacing w:after="0"/>
            </w:pPr>
            <w:r/>
            <w:r>
              <w:rPr>
                <w:rFonts w:ascii="Times New Roman" w:hAnsi="Times New Roman" w:eastAsia="Times New Roman"/>
                <w:b/>
                <w:sz w:val="18"/>
              </w:rPr>
              <w:t>Non-deductible treatment</w:t>
            </w:r>
          </w:p>
        </w:tc>
      </w:tr>
      <w:tr>
        <w:tc>
          <w:tcPr>
            <w:tcW w:type="dxa" w:w="2268"/>
            <w:vAlign w:val="top"/>
          </w:tcPr>
          <w:p>
            <w:pPr>
              <w:spacing w:after="0"/>
            </w:pPr>
            <w:r/>
            <w:r>
              <w:rPr>
                <w:rFonts w:ascii="Times New Roman" w:hAnsi="Times New Roman" w:eastAsia="Times New Roman"/>
                <w:b w:val="0"/>
                <w:sz w:val="18"/>
              </w:rPr>
              <w:t>21(1)(a)</w:t>
            </w:r>
          </w:p>
        </w:tc>
        <w:tc>
          <w:tcPr>
            <w:tcW w:type="dxa" w:w="6803"/>
            <w:vAlign w:val="top"/>
          </w:tcPr>
          <w:p>
            <w:pPr>
              <w:spacing w:after="0"/>
            </w:pPr>
            <w:r/>
            <w:r>
              <w:rPr>
                <w:rFonts w:ascii="Times New Roman" w:hAnsi="Times New Roman" w:eastAsia="Times New Roman"/>
                <w:b w:val="0"/>
                <w:sz w:val="18"/>
              </w:rPr>
              <w:t>Domestic or personal expenses.</w:t>
            </w:r>
          </w:p>
        </w:tc>
      </w:tr>
      <w:tr>
        <w:tc>
          <w:tcPr>
            <w:tcW w:type="dxa" w:w="2268"/>
            <w:vAlign w:val="top"/>
          </w:tcPr>
          <w:p>
            <w:pPr>
              <w:spacing w:after="0"/>
            </w:pPr>
            <w:r/>
            <w:r>
              <w:rPr>
                <w:rFonts w:ascii="Times New Roman" w:hAnsi="Times New Roman" w:eastAsia="Times New Roman"/>
                <w:b w:val="0"/>
                <w:sz w:val="18"/>
              </w:rPr>
              <w:t>21(1)(b)</w:t>
            </w:r>
          </w:p>
        </w:tc>
        <w:tc>
          <w:tcPr>
            <w:tcW w:type="dxa" w:w="6803"/>
            <w:vAlign w:val="top"/>
          </w:tcPr>
          <w:p>
            <w:pPr>
              <w:spacing w:after="0"/>
            </w:pPr>
            <w:r/>
            <w:r>
              <w:rPr>
                <w:rFonts w:ascii="Times New Roman" w:hAnsi="Times New Roman" w:eastAsia="Times New Roman"/>
                <w:b w:val="0"/>
                <w:sz w:val="18"/>
              </w:rPr>
              <w:t>Income tax payable under the Act and fines or similar charges paid to any government or local body for violation of law. However, taxes paid to Provincial Government and Local Level are deductible as expenses.</w:t>
            </w:r>
          </w:p>
        </w:tc>
      </w:tr>
      <w:tr>
        <w:tc>
          <w:tcPr>
            <w:tcW w:type="dxa" w:w="2268"/>
            <w:vAlign w:val="top"/>
          </w:tcPr>
          <w:p>
            <w:pPr>
              <w:spacing w:after="0"/>
            </w:pPr>
            <w:r/>
            <w:r>
              <w:rPr>
                <w:rFonts w:ascii="Times New Roman" w:hAnsi="Times New Roman" w:eastAsia="Times New Roman"/>
                <w:b w:val="0"/>
                <w:sz w:val="18"/>
              </w:rPr>
              <w:t>21(1)(c)</w:t>
            </w:r>
          </w:p>
        </w:tc>
        <w:tc>
          <w:tcPr>
            <w:tcW w:type="dxa" w:w="6803"/>
            <w:vAlign w:val="top"/>
          </w:tcPr>
          <w:p>
            <w:pPr>
              <w:spacing w:after="0"/>
            </w:pPr>
            <w:r/>
            <w:r>
              <w:rPr>
                <w:rFonts w:ascii="Times New Roman" w:hAnsi="Times New Roman" w:eastAsia="Times New Roman"/>
                <w:b w:val="0"/>
                <w:sz w:val="18"/>
              </w:rPr>
              <w:t>Expenses incurred to earn exempt amounts under Section 10 or amounts subject to final withholding.</w:t>
            </w:r>
          </w:p>
        </w:tc>
      </w:tr>
      <w:tr>
        <w:tc>
          <w:tcPr>
            <w:tcW w:type="dxa" w:w="2268"/>
            <w:vAlign w:val="top"/>
          </w:tcPr>
          <w:p>
            <w:pPr>
              <w:spacing w:after="0"/>
            </w:pPr>
            <w:r/>
            <w:r>
              <w:rPr>
                <w:rFonts w:ascii="Times New Roman" w:hAnsi="Times New Roman" w:eastAsia="Times New Roman"/>
                <w:b w:val="0"/>
                <w:sz w:val="18"/>
              </w:rPr>
              <w:t>21(1)(d)</w:t>
            </w:r>
          </w:p>
        </w:tc>
        <w:tc>
          <w:tcPr>
            <w:tcW w:type="dxa" w:w="6803"/>
            <w:vAlign w:val="top"/>
          </w:tcPr>
          <w:p>
            <w:pPr>
              <w:spacing w:after="0"/>
            </w:pPr>
            <w:r/>
            <w:r>
              <w:rPr>
                <w:rFonts w:ascii="Times New Roman" w:hAnsi="Times New Roman" w:eastAsia="Times New Roman"/>
                <w:b w:val="0"/>
                <w:sz w:val="18"/>
              </w:rPr>
              <w:t>Expenses for payments described in Section 21(2), including certain large cash payments.</w:t>
            </w:r>
          </w:p>
        </w:tc>
      </w:tr>
      <w:tr>
        <w:tc>
          <w:tcPr>
            <w:tcW w:type="dxa" w:w="2268"/>
            <w:vAlign w:val="top"/>
          </w:tcPr>
          <w:p>
            <w:pPr>
              <w:spacing w:after="0"/>
            </w:pPr>
            <w:r/>
            <w:r>
              <w:rPr>
                <w:rFonts w:ascii="Times New Roman" w:hAnsi="Times New Roman" w:eastAsia="Times New Roman"/>
                <w:b w:val="0"/>
                <w:sz w:val="18"/>
              </w:rPr>
              <w:t>21(1)(d1)</w:t>
            </w:r>
          </w:p>
        </w:tc>
        <w:tc>
          <w:tcPr>
            <w:tcW w:type="dxa" w:w="6803"/>
            <w:vAlign w:val="top"/>
          </w:tcPr>
          <w:p>
            <w:pPr>
              <w:spacing w:after="0"/>
            </w:pPr>
            <w:r/>
            <w:r>
              <w:rPr>
                <w:rFonts w:ascii="Times New Roman" w:hAnsi="Times New Roman" w:eastAsia="Times New Roman"/>
                <w:b w:val="0"/>
                <w:sz w:val="18"/>
              </w:rPr>
              <w:t>Remuneration and wages paid to employees or workers who have not obtained PAN, except casual wage payments up to Rs. 3,000 at a time.</w:t>
            </w:r>
          </w:p>
        </w:tc>
      </w:tr>
      <w:tr>
        <w:tc>
          <w:tcPr>
            <w:tcW w:type="dxa" w:w="2268"/>
            <w:vAlign w:val="top"/>
          </w:tcPr>
          <w:p>
            <w:pPr>
              <w:spacing w:after="0"/>
            </w:pPr>
            <w:r/>
            <w:r>
              <w:rPr>
                <w:rFonts w:ascii="Times New Roman" w:hAnsi="Times New Roman" w:eastAsia="Times New Roman"/>
                <w:b w:val="0"/>
                <w:sz w:val="18"/>
              </w:rPr>
              <w:t>21(1)(d2)</w:t>
            </w:r>
          </w:p>
        </w:tc>
        <w:tc>
          <w:tcPr>
            <w:tcW w:type="dxa" w:w="6803"/>
            <w:vAlign w:val="top"/>
          </w:tcPr>
          <w:p>
            <w:pPr>
              <w:spacing w:after="0"/>
            </w:pPr>
            <w:r/>
            <w:r>
              <w:rPr>
                <w:rFonts w:ascii="Times New Roman" w:hAnsi="Times New Roman" w:eastAsia="Times New Roman"/>
                <w:b w:val="0"/>
                <w:sz w:val="18"/>
              </w:rPr>
              <w:t>Expense based on an invoice exceeding Rs. 2,000 where PAN is not stated, except direct purchase of agricultural, forest, livestock and other household products from a natural person not carrying on business where the seller has not obtained PAN.</w:t>
            </w:r>
          </w:p>
        </w:tc>
      </w:tr>
      <w:tr>
        <w:tc>
          <w:tcPr>
            <w:tcW w:type="dxa" w:w="2268"/>
            <w:vAlign w:val="top"/>
          </w:tcPr>
          <w:p>
            <w:pPr>
              <w:spacing w:after="0"/>
            </w:pPr>
            <w:r/>
            <w:r>
              <w:rPr>
                <w:rFonts w:ascii="Times New Roman" w:hAnsi="Times New Roman" w:eastAsia="Times New Roman"/>
                <w:b w:val="0"/>
                <w:sz w:val="18"/>
              </w:rPr>
              <w:t>21(1)(e)</w:t>
            </w:r>
          </w:p>
        </w:tc>
        <w:tc>
          <w:tcPr>
            <w:tcW w:type="dxa" w:w="6803"/>
            <w:vAlign w:val="top"/>
          </w:tcPr>
          <w:p>
            <w:pPr>
              <w:spacing w:after="0"/>
            </w:pPr>
            <w:r/>
            <w:r>
              <w:rPr>
                <w:rFonts w:ascii="Times New Roman" w:hAnsi="Times New Roman" w:eastAsia="Times New Roman"/>
                <w:b w:val="0"/>
                <w:sz w:val="18"/>
              </w:rPr>
              <w:t>Distribution of profit by an entity.</w:t>
            </w:r>
          </w:p>
        </w:tc>
      </w:tr>
      <w:tr>
        <w:tc>
          <w:tcPr>
            <w:tcW w:type="dxa" w:w="2268"/>
            <w:vAlign w:val="top"/>
          </w:tcPr>
          <w:p>
            <w:pPr>
              <w:spacing w:after="0"/>
            </w:pPr>
            <w:r/>
            <w:r>
              <w:rPr>
                <w:rFonts w:ascii="Times New Roman" w:hAnsi="Times New Roman" w:eastAsia="Times New Roman"/>
                <w:b w:val="0"/>
                <w:sz w:val="18"/>
              </w:rPr>
              <w:t>21(1)(f)</w:t>
            </w:r>
          </w:p>
        </w:tc>
        <w:tc>
          <w:tcPr>
            <w:tcW w:type="dxa" w:w="6803"/>
            <w:vAlign w:val="top"/>
          </w:tcPr>
          <w:p>
            <w:pPr>
              <w:spacing w:after="0"/>
            </w:pPr>
            <w:r/>
            <w:r>
              <w:rPr>
                <w:rFonts w:ascii="Times New Roman" w:hAnsi="Times New Roman" w:eastAsia="Times New Roman"/>
                <w:b w:val="0"/>
                <w:sz w:val="18"/>
              </w:rPr>
              <w:t>Other amounts not allowed under the Act except amounts provided under Chapter 5 or Chapters 6, 7, 10, 11, 12 or 13.</w:t>
            </w:r>
          </w:p>
        </w:tc>
      </w:tr>
    </w:tbl>
    <w:p/>
    <w:p>
      <w:pPr>
        <w:spacing w:after="80"/>
      </w:pPr>
      <w:r>
        <w:rPr>
          <w:rFonts w:ascii="Times New Roman" w:hAnsi="Times New Roman" w:eastAsia="Times New Roman"/>
          <w:b w:val="0"/>
          <w:i w:val="0"/>
          <w:sz w:val="21"/>
        </w:rPr>
        <w:t>For a person with annual turnover exceeding Rs. 2,000,000, cash payment exceeding Rs. 50,000 at a time is not deductible, except for payments to Government, constitutional bodies, Government-owned institutions, banks or financial institutions; payments to farmers/producers for primary agricultural products including their own primary processing; retirement contribution or retirement payment; payments in places without banking services; payments when banking services are closed or where unavoidable compulsion requires cash; or amounts deposited into the bank account of the payee.</w:t>
      </w:r>
    </w:p>
    <w:p>
      <w:pPr>
        <w:spacing w:after="80"/>
      </w:pPr>
      <w:r>
        <w:rPr>
          <w:rFonts w:ascii="Times New Roman" w:hAnsi="Times New Roman" w:eastAsia="Times New Roman"/>
          <w:b w:val="0"/>
          <w:i w:val="0"/>
          <w:sz w:val="21"/>
        </w:rPr>
        <w:t>Section 21(3) also provides that, subject to Sections 14 to 20 and 71, expenses of capital nature and foreign income tax are not deductible unless specifically allowed. Domestic or personal expenses include private expenses of a natural person, interest on loans used for personal purposes, accommodation, food, refreshments, entertainment, commuting between home and business/investment place except business travel, clothing except work-only clothing, and education/training expenses except directly business/investment related education not leading to a degree or diploma.</w:t>
      </w:r>
    </w:p>
    <w:p>
      <w:pPr>
        <w:spacing w:after="80"/>
      </w:pPr>
      <w:r>
        <w:rPr>
          <w:rFonts w:ascii="Times New Roman" w:hAnsi="Times New Roman" w:eastAsia="Times New Roman"/>
          <w:b w:val="0"/>
          <w:i w:val="0"/>
          <w:sz w:val="21"/>
        </w:rPr>
        <w:t>Cash payment means a payment other than payment made through a bank or financial institution by letter of credit, account-payee cheque, draft, money order, telegraphic transfer, money transfer deposited into bank account or transfer between banks or financial institutions. Capital expenditure includes expenditure on feasibility study, exploration and development of natural resources, expenditure to acquire an asset with useful life exceeding twelve months, and expenditure to dispose of a liability.</w:t>
      </w:r>
    </w:p>
    <w:p>
      <w:pPr>
        <w:pStyle w:val="Heading2"/>
      </w:pPr>
      <w:r>
        <w:t>End of Part 18</w:t>
      </w:r>
    </w:p>
    <w:p>
      <w:pPr>
        <w:spacing w:after="80"/>
      </w:pPr>
      <w:r>
        <w:rPr>
          <w:rFonts w:ascii="Times New Roman" w:hAnsi="Times New Roman" w:eastAsia="Times New Roman"/>
          <w:b w:val="0"/>
          <w:i w:val="0"/>
          <w:sz w:val="21"/>
        </w:rPr>
        <w:t>Next part: Chapter 19 - Special Provision for Banking and Insurance Business.</w:t>
      </w:r>
    </w:p>
    <w:p>
      <w:r>
        <w:br w:type="page"/>
      </w:r>
    </w:p>
    <w:p>
      <w:pPr>
        <w:jc w:val="center"/>
      </w:pPr>
      <w:r>
        <w:rPr>
          <w:rFonts w:ascii="Liberation Serif" w:hAnsi="Liberation Serif" w:eastAsia="Liberation Serif"/>
          <w:b/>
          <w:sz w:val="32"/>
        </w:rPr>
        <w:t>Income Tax Directive, 2066</w:t>
        <w:br/>
        <w:t>(with Fifth Amendment, 2081)</w:t>
      </w:r>
    </w:p>
    <w:p>
      <w:pPr>
        <w:pStyle w:val="Title"/>
        <w:spacing w:after="80" w:line="252" w:lineRule="auto"/>
        <w:jc w:val="center"/>
      </w:pPr>
      <w:r>
        <w:rPr>
          <w:rFonts w:ascii="Liberation Serif" w:hAnsi="Liberation Serif" w:eastAsia="Liberation Serif"/>
          <w:b w:val="0"/>
          <w:i w:val="0"/>
          <w:sz w:val="21"/>
        </w:rPr>
        <w:t>English Translation - Part 19</w:t>
      </w:r>
    </w:p>
    <w:p>
      <w:pPr>
        <w:pStyle w:val="Title"/>
        <w:spacing w:after="80" w:line="252" w:lineRule="auto"/>
        <w:jc w:val="center"/>
      </w:pPr>
      <w:r>
        <w:rPr>
          <w:rFonts w:ascii="Liberation Serif" w:hAnsi="Liberation Serif" w:eastAsia="Liberation Serif"/>
          <w:b w:val="0"/>
          <w:i w:val="0"/>
          <w:sz w:val="21"/>
        </w:rPr>
        <w:t>Chapter 19: Special Provision for Banking and Insurance Business</w:t>
      </w:r>
    </w:p>
    <w:p>
      <w:pPr>
        <w:spacing w:after="80" w:line="252" w:lineRule="auto"/>
        <w:jc w:val="center"/>
      </w:pPr>
      <w:r>
        <w:rPr>
          <w:rFonts w:ascii="Liberation Serif" w:hAnsi="Liberation Serif" w:eastAsia="Liberation Serif"/>
          <w:b w:val="0"/>
          <w:i/>
          <w:sz w:val="21"/>
        </w:rPr>
        <w:t>Source pages: Directive pages 371-390</w:t>
      </w:r>
    </w:p>
    <w:p>
      <w:pPr>
        <w:spacing w:after="80" w:line="252" w:lineRule="auto"/>
      </w:pPr>
      <w:r>
        <w:rPr>
          <w:rFonts w:ascii="Liberation Serif" w:hAnsi="Liberation Serif" w:eastAsia="Liberation Serif"/>
          <w:b w:val="0"/>
          <w:i/>
          <w:sz w:val="21"/>
        </w:rPr>
        <w:t>Working translation prepared in Word format. The sequence, numbering, statutory references, examples and tabular presentation are preserved as far as practicable. Statutory terms are aligned with the official English Income Tax Act, 2002 (2058) terminology where applicable.</w:t>
      </w:r>
    </w:p>
    <w:p>
      <w:r>
        <w:br w:type="page"/>
      </w:r>
    </w:p>
    <w:p>
      <w:pPr>
        <w:pStyle w:val="Heading1"/>
      </w:pPr>
      <w:r>
        <w:t>Chapter 19</w:t>
      </w:r>
    </w:p>
    <w:p>
      <w:pPr>
        <w:pStyle w:val="Heading1"/>
      </w:pPr>
      <w:r>
        <w:t>Special Provision for Banking and Insurance Business</w:t>
      </w:r>
    </w:p>
    <w:p>
      <w:pPr>
        <w:pStyle w:val="Heading2"/>
      </w:pPr>
      <w:r>
        <w:t>19.1 Introduction</w:t>
      </w:r>
    </w:p>
    <w:p>
      <w:pPr>
        <w:spacing w:after="80" w:line="252" w:lineRule="auto"/>
      </w:pPr>
      <w:r>
        <w:rPr>
          <w:rFonts w:ascii="Liberation Serif" w:hAnsi="Liberation Serif" w:eastAsia="Liberation Serif"/>
          <w:b w:val="0"/>
          <w:i w:val="0"/>
          <w:sz w:val="21"/>
        </w:rPr>
        <w:t>Banking and insurance businesses significantly affect the general public as well as other persons carrying on business. For this reason, Nepal Rastra Bank, using the powers conferred by the laws relating to banks and financial institutions and by the Nepal Rastra Bank Act, issues various directives to, and monitors, entities carrying on banking business. Similarly, the insurance regulator, using the powers conferred by insurance law, issues directives to, and monitors, entities carrying on insurance business.</w:t>
      </w:r>
    </w:p>
    <w:p>
      <w:pPr>
        <w:spacing w:after="80" w:line="252" w:lineRule="auto"/>
      </w:pPr>
      <w:r>
        <w:rPr>
          <w:rFonts w:ascii="Liberation Serif" w:hAnsi="Liberation Serif" w:eastAsia="Liberation Serif"/>
          <w:b w:val="0"/>
          <w:i w:val="0"/>
          <w:sz w:val="21"/>
        </w:rPr>
        <w:t>The Income Tax Act, 2031 contained a separate provision for determining the income of insurance business. After the eighth amendment to that Act, a proviso added in Section 41(j) also made separate additional provision for entities carrying on banking business. In the same context, Chapter 11 of the Income Tax Act, 2058 contains special provisions relating to the determination of income from banking and insurance business.</w:t>
      </w:r>
    </w:p>
    <w:p>
      <w:pPr>
        <w:spacing w:after="80" w:line="252" w:lineRule="auto"/>
      </w:pPr>
      <w:r>
        <w:rPr>
          <w:rFonts w:ascii="Liberation Serif" w:hAnsi="Liberation Serif" w:eastAsia="Liberation Serif"/>
          <w:b w:val="0"/>
          <w:i w:val="0"/>
          <w:sz w:val="21"/>
        </w:rPr>
        <w:t>The purpose of this chapter is to explain, with appropriate examples, the special provisions contained in the Act while determining taxable income of entities carrying on banking and insurance business.</w:t>
      </w:r>
    </w:p>
    <w:p>
      <w:pPr>
        <w:pStyle w:val="Heading2"/>
      </w:pPr>
      <w:r>
        <w:t>19.2 Special Provision for Banking Business</w:t>
      </w:r>
    </w:p>
    <w:p>
      <w:pPr>
        <w:pStyle w:val="Heading3"/>
      </w:pPr>
      <w:r>
        <w:t>19.2.1 Key terminology</w:t>
      </w:r>
    </w:p>
    <w:tbl>
      <w:tblPr>
        <w:tblStyle w:val="TableGrid"/>
        <w:tblW w:type="auto" w:w="0"/>
        <w:jc w:val="center"/>
        <w:tblLook w:firstColumn="1" w:firstRow="1" w:lastColumn="0" w:lastRow="0" w:noHBand="0" w:noVBand="1" w:val="04A0"/>
      </w:tblPr>
      <w:tblGrid>
        <w:gridCol w:w="5213"/>
        <w:gridCol w:w="5213"/>
      </w:tblGrid>
      <w:tr>
        <w:trPr>
          <w:tblHeader w:val="true"/>
        </w:trPr>
        <w:tc>
          <w:tcPr>
            <w:tcW w:type="dxa" w:w="2381"/>
            <w:vAlign w:val="top"/>
            <w:shd w:fill="D9EAF7"/>
          </w:tcPr>
          <w:p>
            <w:pPr>
              <w:spacing w:after="0" w:line="240" w:lineRule="auto"/>
            </w:pPr>
            <w:r/>
            <w:r>
              <w:rPr>
                <w:rFonts w:ascii="Liberation Serif" w:hAnsi="Liberation Serif" w:eastAsia="Liberation Serif"/>
                <w:b/>
                <w:sz w:val="17"/>
              </w:rPr>
              <w:t>Term</w:t>
            </w:r>
          </w:p>
        </w:tc>
        <w:tc>
          <w:tcPr>
            <w:tcW w:type="dxa" w:w="6690"/>
            <w:vAlign w:val="top"/>
            <w:shd w:fill="D9EAF7"/>
          </w:tcPr>
          <w:p>
            <w:pPr>
              <w:spacing w:after="0" w:line="240" w:lineRule="auto"/>
            </w:pPr>
            <w:r/>
            <w:r>
              <w:rPr>
                <w:rFonts w:ascii="Liberation Serif" w:hAnsi="Liberation Serif" w:eastAsia="Liberation Serif"/>
                <w:b/>
                <w:sz w:val="17"/>
              </w:rPr>
              <w:t>Meaning / explanation</w:t>
            </w:r>
          </w:p>
        </w:tc>
      </w:tr>
      <w:tr>
        <w:tc>
          <w:tcPr>
            <w:tcW w:type="dxa" w:w="2381"/>
            <w:vAlign w:val="top"/>
          </w:tcPr>
          <w:p>
            <w:pPr>
              <w:spacing w:after="0" w:line="240" w:lineRule="auto"/>
            </w:pPr>
            <w:r/>
            <w:r>
              <w:rPr>
                <w:rFonts w:ascii="Liberation Serif" w:hAnsi="Liberation Serif" w:eastAsia="Liberation Serif"/>
                <w:b w:val="0"/>
                <w:sz w:val="17"/>
              </w:rPr>
              <w:t>Banking business</w:t>
            </w:r>
          </w:p>
        </w:tc>
        <w:tc>
          <w:tcPr>
            <w:tcW w:type="dxa" w:w="6690"/>
            <w:vAlign w:val="top"/>
          </w:tcPr>
          <w:p>
            <w:pPr>
              <w:spacing w:after="0" w:line="240" w:lineRule="auto"/>
            </w:pPr>
            <w:r/>
            <w:r>
              <w:rPr>
                <w:rFonts w:ascii="Liberation Serif" w:hAnsi="Liberation Serif" w:eastAsia="Liberation Serif"/>
                <w:b w:val="0"/>
                <w:sz w:val="17"/>
              </w:rPr>
              <w:t>According to the Explanation to Section 59 of the Income Tax Act, 2058, “banking business” means banking transactions carried on by banks and financial institutions that have approval to carry on banking transactions under the prevailing law. Under the prevailing law, banking transactions may be carried on only after obtaining approval from Nepal Rastra Bank. Under Section 59(1), when computing the income or loss of a person from banking business for an income year, the banking business must be treated as a business separate from any other business carried on by that person.</w:t>
            </w:r>
          </w:p>
        </w:tc>
      </w:tr>
      <w:tr>
        <w:tc>
          <w:tcPr>
            <w:tcW w:type="dxa" w:w="2381"/>
            <w:vAlign w:val="top"/>
          </w:tcPr>
          <w:p>
            <w:pPr>
              <w:spacing w:after="0" w:line="240" w:lineRule="auto"/>
            </w:pPr>
            <w:r/>
            <w:r>
              <w:rPr>
                <w:rFonts w:ascii="Liberation Serif" w:hAnsi="Liberation Serif" w:eastAsia="Liberation Serif"/>
                <w:b w:val="0"/>
                <w:sz w:val="17"/>
              </w:rPr>
              <w:t>Financial institution</w:t>
            </w:r>
          </w:p>
        </w:tc>
        <w:tc>
          <w:tcPr>
            <w:tcW w:type="dxa" w:w="6690"/>
            <w:vAlign w:val="top"/>
          </w:tcPr>
          <w:p>
            <w:pPr>
              <w:spacing w:after="0" w:line="240" w:lineRule="auto"/>
            </w:pPr>
            <w:r/>
            <w:r>
              <w:rPr>
                <w:rFonts w:ascii="Liberation Serif" w:hAnsi="Liberation Serif" w:eastAsia="Liberation Serif"/>
                <w:b w:val="0"/>
                <w:sz w:val="17"/>
              </w:rPr>
              <w:t>Under Section 2(g) of the Nepal Rastra Bank Act, 2058, this means a financial institution established under prevailing law for giving loans for agriculture, cooperative, industry or any specific economic purpose, or for collecting deposits from the public. It also includes an institution designated as a financial institution by the Government of Nepal by notification in the Nepal Gazette.</w:t>
            </w:r>
          </w:p>
        </w:tc>
      </w:tr>
      <w:tr>
        <w:tc>
          <w:tcPr>
            <w:tcW w:type="dxa" w:w="2381"/>
            <w:vAlign w:val="top"/>
          </w:tcPr>
          <w:p>
            <w:pPr>
              <w:spacing w:after="0" w:line="240" w:lineRule="auto"/>
            </w:pPr>
            <w:r/>
            <w:r>
              <w:rPr>
                <w:rFonts w:ascii="Liberation Serif" w:hAnsi="Liberation Serif" w:eastAsia="Liberation Serif"/>
                <w:b w:val="0"/>
                <w:sz w:val="17"/>
              </w:rPr>
              <w:t>Financial transaction / banking business</w:t>
            </w:r>
          </w:p>
        </w:tc>
        <w:tc>
          <w:tcPr>
            <w:tcW w:type="dxa" w:w="6690"/>
            <w:vAlign w:val="top"/>
          </w:tcPr>
          <w:p>
            <w:pPr>
              <w:spacing w:after="0" w:line="240" w:lineRule="auto"/>
            </w:pPr>
            <w:r/>
            <w:r>
              <w:rPr>
                <w:rFonts w:ascii="Liberation Serif" w:hAnsi="Liberation Serif" w:eastAsia="Liberation Serif"/>
                <w:b w:val="0"/>
                <w:sz w:val="17"/>
              </w:rPr>
              <w:t>Under Section 49 of the Banks and Financial Institutions Act, 2073, this mainly means accepting deposits payable on demand or after a specified time, with or without interest, repaying such deposits, and lending money, according to the prevailing practice.</w:t>
            </w:r>
          </w:p>
        </w:tc>
      </w:tr>
    </w:tbl>
    <w:p/>
    <w:p>
      <w:pPr>
        <w:pStyle w:val="Heading3"/>
      </w:pPr>
      <w:r>
        <w:t>19.2.2 Provision relating to risk-bearing fund</w:t>
      </w:r>
    </w:p>
    <w:p>
      <w:pPr>
        <w:spacing w:after="80" w:line="252" w:lineRule="auto"/>
      </w:pPr>
      <w:r>
        <w:rPr>
          <w:rFonts w:ascii="Liberation Serif" w:hAnsi="Liberation Serif" w:eastAsia="Liberation Serif"/>
          <w:b w:val="0"/>
          <w:i w:val="0"/>
          <w:sz w:val="21"/>
        </w:rPr>
        <w:t>Sections 59(1A), 59(1B) and 59(1C) provide as follows in relation to a risk-bearing fund:</w:t>
      </w:r>
    </w:p>
    <w:tbl>
      <w:tblPr>
        <w:tblStyle w:val="TableGrid"/>
        <w:tblW w:type="auto" w:w="0"/>
        <w:jc w:val="center"/>
        <w:tblLook w:firstColumn="1" w:firstRow="1" w:lastColumn="0" w:lastRow="0" w:noHBand="0" w:noVBand="1" w:val="04A0"/>
      </w:tblPr>
      <w:tblGrid>
        <w:gridCol w:w="5213"/>
        <w:gridCol w:w="5213"/>
      </w:tblGrid>
      <w:tr>
        <w:trPr>
          <w:tblHeader w:val="true"/>
        </w:trPr>
        <w:tc>
          <w:tcPr>
            <w:tcW w:type="dxa" w:w="1531"/>
            <w:vAlign w:val="top"/>
            <w:shd w:fill="D9EAF7"/>
          </w:tcPr>
          <w:p>
            <w:pPr>
              <w:spacing w:after="0" w:line="240" w:lineRule="auto"/>
            </w:pPr>
            <w:r/>
            <w:r>
              <w:rPr>
                <w:rFonts w:ascii="Liberation Serif" w:hAnsi="Liberation Serif" w:eastAsia="Liberation Serif"/>
                <w:b/>
                <w:sz w:val="17"/>
              </w:rPr>
              <w:t>Section</w:t>
            </w:r>
          </w:p>
        </w:tc>
        <w:tc>
          <w:tcPr>
            <w:tcW w:type="dxa" w:w="7540"/>
            <w:vAlign w:val="top"/>
            <w:shd w:fill="D9EAF7"/>
          </w:tcPr>
          <w:p>
            <w:pPr>
              <w:spacing w:after="0" w:line="240" w:lineRule="auto"/>
            </w:pPr>
            <w:r/>
            <w:r>
              <w:rPr>
                <w:rFonts w:ascii="Liberation Serif" w:hAnsi="Liberation Serif" w:eastAsia="Liberation Serif"/>
                <w:b/>
                <w:sz w:val="17"/>
              </w:rPr>
              <w:t>Provision</w:t>
            </w:r>
          </w:p>
        </w:tc>
      </w:tr>
      <w:tr>
        <w:tc>
          <w:tcPr>
            <w:tcW w:type="dxa" w:w="1531"/>
            <w:vAlign w:val="top"/>
          </w:tcPr>
          <w:p>
            <w:pPr>
              <w:spacing w:after="0" w:line="240" w:lineRule="auto"/>
            </w:pPr>
            <w:r/>
            <w:r>
              <w:rPr>
                <w:rFonts w:ascii="Liberation Serif" w:hAnsi="Liberation Serif" w:eastAsia="Liberation Serif"/>
                <w:b w:val="0"/>
                <w:sz w:val="17"/>
              </w:rPr>
              <w:t>59(1A)</w:t>
            </w:r>
          </w:p>
        </w:tc>
        <w:tc>
          <w:tcPr>
            <w:tcW w:type="dxa" w:w="7540"/>
            <w:vAlign w:val="top"/>
          </w:tcPr>
          <w:p>
            <w:pPr>
              <w:spacing w:after="0" w:line="240" w:lineRule="auto"/>
            </w:pPr>
            <w:r/>
            <w:r>
              <w:rPr>
                <w:rFonts w:ascii="Liberation Serif" w:hAnsi="Liberation Serif" w:eastAsia="Liberation Serif"/>
                <w:b w:val="0"/>
                <w:sz w:val="17"/>
              </w:rPr>
              <w:t>A person carrying on banking business may deduct, as expense, an amount up to five percent of the outstanding loan amount set aside in the risk-bearing fund, including the amount provided against non-banking assets, subject to the standard prescribed by Nepal Rastra Bank.</w:t>
            </w:r>
          </w:p>
        </w:tc>
      </w:tr>
      <w:tr>
        <w:tc>
          <w:tcPr>
            <w:tcW w:type="dxa" w:w="1531"/>
            <w:vAlign w:val="top"/>
          </w:tcPr>
          <w:p>
            <w:pPr>
              <w:spacing w:after="0" w:line="240" w:lineRule="auto"/>
            </w:pPr>
            <w:r/>
            <w:r>
              <w:rPr>
                <w:rFonts w:ascii="Liberation Serif" w:hAnsi="Liberation Serif" w:eastAsia="Liberation Serif"/>
                <w:b w:val="0"/>
                <w:sz w:val="17"/>
              </w:rPr>
              <w:t>59(1B)</w:t>
            </w:r>
          </w:p>
        </w:tc>
        <w:tc>
          <w:tcPr>
            <w:tcW w:type="dxa" w:w="7540"/>
            <w:vAlign w:val="top"/>
          </w:tcPr>
          <w:p>
            <w:pPr>
              <w:spacing w:after="0" w:line="240" w:lineRule="auto"/>
            </w:pPr>
            <w:r/>
            <w:r>
              <w:rPr>
                <w:rFonts w:ascii="Liberation Serif" w:hAnsi="Liberation Serif" w:eastAsia="Liberation Serif"/>
                <w:b w:val="0"/>
                <w:sz w:val="17"/>
              </w:rPr>
              <w:t>A cooperative institution may deduct, as expense, an amount up to five percent of the outstanding loan amount set aside in the risk-bearing fund.</w:t>
            </w:r>
          </w:p>
        </w:tc>
      </w:tr>
      <w:tr>
        <w:tc>
          <w:tcPr>
            <w:tcW w:type="dxa" w:w="1531"/>
            <w:vAlign w:val="top"/>
          </w:tcPr>
          <w:p>
            <w:pPr>
              <w:spacing w:after="0" w:line="240" w:lineRule="auto"/>
            </w:pPr>
            <w:r/>
            <w:r>
              <w:rPr>
                <w:rFonts w:ascii="Liberation Serif" w:hAnsi="Liberation Serif" w:eastAsia="Liberation Serif"/>
                <w:b w:val="0"/>
                <w:sz w:val="17"/>
              </w:rPr>
              <w:t>59(1C)</w:t>
            </w:r>
          </w:p>
        </w:tc>
        <w:tc>
          <w:tcPr>
            <w:tcW w:type="dxa" w:w="7540"/>
            <w:vAlign w:val="top"/>
          </w:tcPr>
          <w:p>
            <w:pPr>
              <w:spacing w:after="0" w:line="240" w:lineRule="auto"/>
            </w:pPr>
            <w:r/>
            <w:r>
              <w:rPr>
                <w:rFonts w:ascii="Liberation Serif" w:hAnsi="Liberation Serif" w:eastAsia="Liberation Serif"/>
                <w:b w:val="0"/>
                <w:sz w:val="17"/>
              </w:rPr>
              <w:t>Where a risk-bearing fund is maintained under subsection (1A) or (1B), an amount written off from profit as a bad debt shall not be allowed as deduction. If an amount in that fund is capitalised or distributed as profit or dividend, it shall be included in the income of the year in which it is so capitalised or distributed.</w:t>
            </w:r>
          </w:p>
        </w:tc>
      </w:tr>
    </w:tbl>
    <w:p/>
    <w:p>
      <w:pPr>
        <w:spacing w:after="80" w:line="252" w:lineRule="auto"/>
      </w:pPr>
      <w:r>
        <w:rPr>
          <w:rFonts w:ascii="Liberation Serif" w:hAnsi="Liberation Serif" w:eastAsia="Liberation Serif"/>
          <w:b w:val="0"/>
          <w:i w:val="0"/>
          <w:sz w:val="21"/>
        </w:rPr>
        <w:t>Under Section 41(j) of the Income Tax Act, 2031, a bank was allowed a deduction up to three percent of total outstanding loans transferred to a risk-bearing fund in accordance with the standard prescribed by Nepal Rastra Bank. Under Section 59(1A) of the Income Tax Act, 2058, a person carrying on banking business may claim as expense up to five percent of the total of outstanding loans and the amount provided against non-banking assets, subject to the standard prescribed by Nepal Rastra Bank.</w:t>
      </w:r>
    </w:p>
    <w:p>
      <w:pPr>
        <w:spacing w:after="80" w:line="252" w:lineRule="auto"/>
      </w:pPr>
      <w:r>
        <w:rPr>
          <w:rFonts w:ascii="Liberation Serif" w:hAnsi="Liberation Serif" w:eastAsia="Liberation Serif"/>
          <w:b w:val="0"/>
          <w:i w:val="0"/>
          <w:sz w:val="21"/>
        </w:rPr>
        <w:t>After the amendment made by the Finance Act, 2071, banks and financial institutions may include non-banking assets, in addition to loans, while calculating the five percent limit for the risk-bearing fund deduction. Similarly, because Section 59(1B) was added by the Finance Act, 2071, a cooperative institution may claim deduction up to five percent of outstanding loans kept in the risk-bearing fund. Non-banking assets are not included in computing the five percent limit for cooperative institutions.</w:t>
      </w:r>
    </w:p>
    <w:p>
      <w:pPr>
        <w:spacing w:after="80" w:line="252" w:lineRule="auto"/>
      </w:pPr>
      <w:r>
        <w:rPr>
          <w:rFonts w:ascii="Liberation Serif" w:hAnsi="Liberation Serif" w:eastAsia="Liberation Serif"/>
          <w:b w:val="0"/>
          <w:i w:val="0"/>
          <w:sz w:val="21"/>
        </w:rPr>
        <w:t>Where a risk-bearing fund is maintained, an amount written off from profit as bad debt is not allowed as deduction. If an amount in that fund is capitalised or distributed as profit or dividend, it is included in the income of the year in which it is distributed. Thus, an entity carrying on banking business must choose either to create a risk-bearing fund and claim the statutory deduction, or to write off actual bad loans under the relevant provision.</w:t>
      </w:r>
    </w:p>
    <w:tbl>
      <w:tblPr>
        <w:tblStyle w:val="TableGrid"/>
        <w:tblW w:type="auto" w:w="0"/>
        <w:jc w:val="center"/>
        <w:tblLook w:firstColumn="1" w:firstRow="1" w:lastColumn="0" w:lastRow="0" w:noHBand="0" w:noVBand="1" w:val="04A0"/>
      </w:tblPr>
      <w:tblGrid>
        <w:gridCol w:w="3475"/>
        <w:gridCol w:w="3475"/>
        <w:gridCol w:w="3475"/>
      </w:tblGrid>
      <w:tr>
        <w:trPr>
          <w:tblHeader w:val="true"/>
        </w:trPr>
        <w:tc>
          <w:tcPr>
            <w:tcW w:type="dxa" w:w="1361"/>
            <w:vAlign w:val="top"/>
            <w:shd w:fill="D9EAF7"/>
          </w:tcPr>
          <w:p>
            <w:pPr>
              <w:spacing w:after="0" w:line="240" w:lineRule="auto"/>
            </w:pPr>
            <w:r/>
            <w:r>
              <w:rPr>
                <w:rFonts w:ascii="Liberation Serif" w:hAnsi="Liberation Serif" w:eastAsia="Liberation Serif"/>
                <w:b/>
                <w:sz w:val="16"/>
              </w:rPr>
              <w:t>Example</w:t>
            </w:r>
          </w:p>
        </w:tc>
        <w:tc>
          <w:tcPr>
            <w:tcW w:type="dxa" w:w="3969"/>
            <w:vAlign w:val="top"/>
            <w:shd w:fill="D9EAF7"/>
          </w:tcPr>
          <w:p>
            <w:pPr>
              <w:spacing w:after="0" w:line="240" w:lineRule="auto"/>
            </w:pPr>
            <w:r/>
            <w:r>
              <w:rPr>
                <w:rFonts w:ascii="Liberation Serif" w:hAnsi="Liberation Serif" w:eastAsia="Liberation Serif"/>
                <w:b/>
                <w:sz w:val="16"/>
              </w:rPr>
              <w:t>Facts</w:t>
            </w:r>
          </w:p>
        </w:tc>
        <w:tc>
          <w:tcPr>
            <w:tcW w:type="dxa" w:w="3742"/>
            <w:vAlign w:val="top"/>
            <w:shd w:fill="D9EAF7"/>
          </w:tcPr>
          <w:p>
            <w:pPr>
              <w:spacing w:after="0" w:line="240" w:lineRule="auto"/>
            </w:pPr>
            <w:r/>
            <w:r>
              <w:rPr>
                <w:rFonts w:ascii="Liberation Serif" w:hAnsi="Liberation Serif" w:eastAsia="Liberation Serif"/>
                <w:b/>
                <w:sz w:val="16"/>
              </w:rPr>
              <w:t>Tax treatment / computation</w:t>
            </w:r>
          </w:p>
        </w:tc>
      </w:tr>
      <w:tr>
        <w:tc>
          <w:tcPr>
            <w:tcW w:type="dxa" w:w="1361"/>
            <w:vAlign w:val="top"/>
          </w:tcPr>
          <w:p>
            <w:pPr>
              <w:spacing w:after="0" w:line="240" w:lineRule="auto"/>
            </w:pPr>
            <w:r/>
            <w:r>
              <w:rPr>
                <w:rFonts w:ascii="Liberation Serif" w:hAnsi="Liberation Serif" w:eastAsia="Liberation Serif"/>
                <w:b w:val="0"/>
                <w:sz w:val="16"/>
              </w:rPr>
              <w:t>19.2.1</w:t>
            </w:r>
          </w:p>
        </w:tc>
        <w:tc>
          <w:tcPr>
            <w:tcW w:type="dxa" w:w="3969"/>
            <w:vAlign w:val="top"/>
          </w:tcPr>
          <w:p>
            <w:pPr>
              <w:spacing w:after="0" w:line="240" w:lineRule="auto"/>
            </w:pPr>
            <w:r/>
            <w:r>
              <w:rPr>
                <w:rFonts w:ascii="Liberation Serif" w:hAnsi="Liberation Serif" w:eastAsia="Liberation Serif"/>
                <w:b w:val="0"/>
                <w:sz w:val="16"/>
              </w:rPr>
              <w:t>At the end of income year 2057/58, New Bank Ltd. has total outstanding loans of Rs. 15,000,000 and a risk-bearing fund of Rs. 630,000. For tax purposes, Rs. 450,000 had been allowed, being 3% of outstanding loans. At the end of income year 2058/59, outstanding loans are Rs. 25,500,000 and the fund balance is Rs. 1,400,000.</w:t>
            </w:r>
          </w:p>
        </w:tc>
        <w:tc>
          <w:tcPr>
            <w:tcW w:type="dxa" w:w="3742"/>
            <w:vAlign w:val="top"/>
          </w:tcPr>
          <w:p>
            <w:pPr>
              <w:spacing w:after="0" w:line="240" w:lineRule="auto"/>
            </w:pPr>
            <w:r/>
            <w:r>
              <w:rPr>
                <w:rFonts w:ascii="Liberation Serif" w:hAnsi="Liberation Serif" w:eastAsia="Liberation Serif"/>
                <w:b w:val="0"/>
                <w:sz w:val="16"/>
              </w:rPr>
              <w:t>5% of loans at end of 2058/59 = Rs. 1,275,000. Less previously allowed amount of Rs. 450,000. Additional allowable amount = Rs. 825,000. Although Rs. 770,000 is recorded in profit and loss for 2058/59, the amount that may be claimed under the section is determined by the statutory limit.</w:t>
            </w:r>
          </w:p>
        </w:tc>
      </w:tr>
      <w:tr>
        <w:tc>
          <w:tcPr>
            <w:tcW w:type="dxa" w:w="1361"/>
            <w:vAlign w:val="top"/>
          </w:tcPr>
          <w:p>
            <w:pPr>
              <w:spacing w:after="0" w:line="240" w:lineRule="auto"/>
            </w:pPr>
            <w:r/>
            <w:r>
              <w:rPr>
                <w:rFonts w:ascii="Liberation Serif" w:hAnsi="Liberation Serif" w:eastAsia="Liberation Serif"/>
                <w:b w:val="0"/>
                <w:sz w:val="16"/>
              </w:rPr>
              <w:t>19.2.2</w:t>
            </w:r>
          </w:p>
        </w:tc>
        <w:tc>
          <w:tcPr>
            <w:tcW w:type="dxa" w:w="3969"/>
            <w:vAlign w:val="top"/>
          </w:tcPr>
          <w:p>
            <w:pPr>
              <w:spacing w:after="0" w:line="240" w:lineRule="auto"/>
            </w:pPr>
            <w:r/>
            <w:r>
              <w:rPr>
                <w:rFonts w:ascii="Liberation Serif" w:hAnsi="Liberation Serif" w:eastAsia="Liberation Serif"/>
                <w:b w:val="0"/>
                <w:sz w:val="16"/>
              </w:rPr>
              <w:t>Using the preceding example, at the end of income year 2059/60, outstanding loans are Rs. 24,000,000 and the risk-bearing fund is Rs. 1,450,000. Rs. 1,275,000 had already been allowed in the previous year.</w:t>
            </w:r>
          </w:p>
        </w:tc>
        <w:tc>
          <w:tcPr>
            <w:tcW w:type="dxa" w:w="3742"/>
            <w:vAlign w:val="top"/>
          </w:tcPr>
          <w:p>
            <w:pPr>
              <w:spacing w:after="0" w:line="240" w:lineRule="auto"/>
            </w:pPr>
            <w:r/>
            <w:r>
              <w:rPr>
                <w:rFonts w:ascii="Liberation Serif" w:hAnsi="Liberation Serif" w:eastAsia="Liberation Serif"/>
                <w:b w:val="0"/>
                <w:sz w:val="16"/>
              </w:rPr>
              <w:t>5% of outstanding loans = Rs. 1,200,000. Since Rs. 1,275,000 was already claimed, the excess Rs. 75,000 must be included in income for income-tax purposes in 2059/60, even though Rs. 50,000 was recorded as expense in profit and loss.</w:t>
            </w:r>
          </w:p>
        </w:tc>
      </w:tr>
      <w:tr>
        <w:tc>
          <w:tcPr>
            <w:tcW w:type="dxa" w:w="1361"/>
            <w:vAlign w:val="top"/>
          </w:tcPr>
          <w:p>
            <w:pPr>
              <w:spacing w:after="0" w:line="240" w:lineRule="auto"/>
            </w:pPr>
            <w:r/>
            <w:r>
              <w:rPr>
                <w:rFonts w:ascii="Liberation Serif" w:hAnsi="Liberation Serif" w:eastAsia="Liberation Serif"/>
                <w:b w:val="0"/>
                <w:sz w:val="16"/>
              </w:rPr>
              <w:t>19.2.3</w:t>
            </w:r>
          </w:p>
        </w:tc>
        <w:tc>
          <w:tcPr>
            <w:tcW w:type="dxa" w:w="3969"/>
            <w:vAlign w:val="top"/>
          </w:tcPr>
          <w:p>
            <w:pPr>
              <w:spacing w:after="0" w:line="240" w:lineRule="auto"/>
            </w:pPr>
            <w:r/>
            <w:r>
              <w:rPr>
                <w:rFonts w:ascii="Liberation Serif" w:hAnsi="Liberation Serif" w:eastAsia="Liberation Serif"/>
                <w:b w:val="0"/>
                <w:sz w:val="16"/>
              </w:rPr>
              <w:t>At the end of income year 2070/71, outstanding loans, non-banking assets and risk-bearing fund are Rs. 23,000,000, Rs. 2,000,000 and Rs. 1,400,000 respectively. At the end of income year 2071/72, the respective amounts are Rs. 24,000,000, Rs. 2,000,000 and Rs. 1,450,000.</w:t>
            </w:r>
          </w:p>
        </w:tc>
        <w:tc>
          <w:tcPr>
            <w:tcW w:type="dxa" w:w="3742"/>
            <w:vAlign w:val="top"/>
          </w:tcPr>
          <w:p>
            <w:pPr>
              <w:spacing w:after="0" w:line="240" w:lineRule="auto"/>
            </w:pPr>
            <w:r/>
            <w:r>
              <w:rPr>
                <w:rFonts w:ascii="Liberation Serif" w:hAnsi="Liberation Serif" w:eastAsia="Liberation Serif"/>
                <w:b w:val="0"/>
                <w:sz w:val="16"/>
              </w:rPr>
              <w:t>For 2071/72, 5% of loans plus non-banking assets = Rs. 1,300,000. For 2070/71 only loans were considered, so previously allowed amount = 5% of Rs. 23,000,000 = Rs. 1,150,000. Additional amount within the limit = Rs. 150,000, which may be claimed for 2071/72.</w:t>
            </w:r>
          </w:p>
        </w:tc>
      </w:tr>
    </w:tbl>
    <w:p/>
    <w:p>
      <w:pPr>
        <w:pStyle w:val="Heading3"/>
      </w:pPr>
      <w:r>
        <w:t>19.2.3 Loan write-off</w:t>
      </w:r>
    </w:p>
    <w:p>
      <w:pPr>
        <w:spacing w:after="80" w:line="252" w:lineRule="auto"/>
      </w:pPr>
      <w:r>
        <w:rPr>
          <w:rFonts w:ascii="Liberation Serif" w:hAnsi="Liberation Serif" w:eastAsia="Liberation Serif"/>
          <w:b w:val="0"/>
          <w:i w:val="0"/>
          <w:sz w:val="21"/>
        </w:rPr>
        <w:t>Section 25(2)(a) provides that a person may abandon the right to receive an amount or may write off that person's debt claim as a bad debt only where, in the case of the debt claim of a financial institution or bank, the debt claim has become a bad debt in accordance with the prescribed standard.</w:t>
      </w:r>
    </w:p>
    <w:p>
      <w:pPr>
        <w:spacing w:after="80" w:line="252" w:lineRule="auto"/>
      </w:pPr>
      <w:r>
        <w:rPr>
          <w:rFonts w:ascii="Liberation Serif" w:hAnsi="Liberation Serif" w:eastAsia="Liberation Serif"/>
          <w:b w:val="0"/>
          <w:i w:val="0"/>
          <w:sz w:val="21"/>
        </w:rPr>
        <w:t>Section 40(3)(c)(1) treats the property consisting of a debt claim as disposed of where, in the case of a debt claim of a bank or financial institution, the debt becomes a bad loan in accordance with the prescribed standard. Rule 9 of the Income Tax Rules provides that, for Sections 25(2)(a) and 40(3)(c)(1), a bank or financial institution's debt becoming a bad or doubtful debt shall be determined according to the standard prescribed by Nepal Rastra Bank.</w:t>
      </w:r>
    </w:p>
    <w:p>
      <w:pPr>
        <w:spacing w:after="80" w:line="252" w:lineRule="auto"/>
      </w:pPr>
      <w:r>
        <w:rPr>
          <w:rFonts w:ascii="Liberation Serif" w:hAnsi="Liberation Serif" w:eastAsia="Liberation Serif"/>
          <w:b w:val="0"/>
          <w:i w:val="0"/>
          <w:sz w:val="21"/>
        </w:rPr>
        <w:t>Therefore, under Section 25(2)(a) of the Act and Rule 9 of the Income Tax Rules, 2059, a financial institution or bank may write off a debt claim when that debt claim has become a bad debt according to the standard prescribed by Nepal Rastra Bank.</w:t>
      </w:r>
    </w:p>
    <w:p>
      <w:pPr>
        <w:spacing w:after="80" w:line="252" w:lineRule="auto"/>
      </w:pPr>
      <w:r>
        <w:rPr>
          <w:rFonts w:ascii="Liberation Serif" w:hAnsi="Liberation Serif" w:eastAsia="Liberation Serif"/>
          <w:b w:val="0"/>
          <w:i w:val="0"/>
          <w:sz w:val="21"/>
        </w:rPr>
        <w:t>However, a bank or financial institution that claims deduction for a risk-bearing fund under Section 59(1A) cannot also claim deduction for loan write-off under Section 25 in respect of the same matter. If, while writing off a loan, an amount at least equal to the loan written off is included in income from the risk-bearing fund, the write-off is not treated as a separate claim of expense for the debt claim.</w:t>
      </w:r>
    </w:p>
    <w:tbl>
      <w:tblPr>
        <w:tblStyle w:val="TableGrid"/>
        <w:tblW w:type="auto" w:w="0"/>
        <w:jc w:val="center"/>
        <w:tblLook w:firstColumn="1" w:firstRow="1" w:lastColumn="0" w:lastRow="0" w:noHBand="0" w:noVBand="1" w:val="04A0"/>
      </w:tblPr>
      <w:tblGrid>
        <w:gridCol w:w="3475"/>
        <w:gridCol w:w="3475"/>
        <w:gridCol w:w="3475"/>
      </w:tblGrid>
      <w:tr>
        <w:trPr>
          <w:tblHeader w:val="true"/>
        </w:trPr>
        <w:tc>
          <w:tcPr>
            <w:tcW w:type="dxa" w:w="1361"/>
            <w:vAlign w:val="top"/>
            <w:shd w:fill="D9EAF7"/>
          </w:tcPr>
          <w:p>
            <w:pPr>
              <w:spacing w:after="0" w:line="240" w:lineRule="auto"/>
            </w:pPr>
            <w:r/>
            <w:r>
              <w:rPr>
                <w:rFonts w:ascii="Liberation Serif" w:hAnsi="Liberation Serif" w:eastAsia="Liberation Serif"/>
                <w:b/>
                <w:sz w:val="16"/>
              </w:rPr>
              <w:t>Example</w:t>
            </w:r>
          </w:p>
        </w:tc>
        <w:tc>
          <w:tcPr>
            <w:tcW w:type="dxa" w:w="4252"/>
            <w:vAlign w:val="top"/>
            <w:shd w:fill="D9EAF7"/>
          </w:tcPr>
          <w:p>
            <w:pPr>
              <w:spacing w:after="0" w:line="240" w:lineRule="auto"/>
            </w:pPr>
            <w:r/>
            <w:r>
              <w:rPr>
                <w:rFonts w:ascii="Liberation Serif" w:hAnsi="Liberation Serif" w:eastAsia="Liberation Serif"/>
                <w:b/>
                <w:sz w:val="16"/>
              </w:rPr>
              <w:t>Facts</w:t>
            </w:r>
          </w:p>
        </w:tc>
        <w:tc>
          <w:tcPr>
            <w:tcW w:type="dxa" w:w="3458"/>
            <w:vAlign w:val="top"/>
            <w:shd w:fill="D9EAF7"/>
          </w:tcPr>
          <w:p>
            <w:pPr>
              <w:spacing w:after="0" w:line="240" w:lineRule="auto"/>
            </w:pPr>
            <w:r/>
            <w:r>
              <w:rPr>
                <w:rFonts w:ascii="Liberation Serif" w:hAnsi="Liberation Serif" w:eastAsia="Liberation Serif"/>
                <w:b/>
                <w:sz w:val="16"/>
              </w:rPr>
              <w:t>Tax treatment</w:t>
            </w:r>
          </w:p>
        </w:tc>
      </w:tr>
      <w:tr>
        <w:tc>
          <w:tcPr>
            <w:tcW w:type="dxa" w:w="1361"/>
            <w:vAlign w:val="top"/>
          </w:tcPr>
          <w:p>
            <w:pPr>
              <w:spacing w:after="0" w:line="240" w:lineRule="auto"/>
            </w:pPr>
            <w:r/>
            <w:r>
              <w:rPr>
                <w:rFonts w:ascii="Liberation Serif" w:hAnsi="Liberation Serif" w:eastAsia="Liberation Serif"/>
                <w:b w:val="0"/>
                <w:sz w:val="16"/>
              </w:rPr>
              <w:t>19.2.4</w:t>
            </w:r>
          </w:p>
        </w:tc>
        <w:tc>
          <w:tcPr>
            <w:tcW w:type="dxa" w:w="4252"/>
            <w:vAlign w:val="top"/>
          </w:tcPr>
          <w:p>
            <w:pPr>
              <w:spacing w:after="0" w:line="240" w:lineRule="auto"/>
            </w:pPr>
            <w:r/>
            <w:r>
              <w:rPr>
                <w:rFonts w:ascii="Liberation Serif" w:hAnsi="Liberation Serif" w:eastAsia="Liberation Serif"/>
                <w:b w:val="0"/>
                <w:sz w:val="16"/>
              </w:rPr>
              <w:t>At the end of income year 2080/81, New Bank Ltd. has total loans before write-off of Rs. 1,000,000,000; loans to be written off of Rs. 60,000,000; and balance loans after write-off of Rs. 940,000,000. The write-off is made within the Nepal Rastra Bank standard and the bank has not claimed risk-bearing fund expense under Section 59(1A).</w:t>
            </w:r>
          </w:p>
        </w:tc>
        <w:tc>
          <w:tcPr>
            <w:tcW w:type="dxa" w:w="3458"/>
            <w:vAlign w:val="top"/>
          </w:tcPr>
          <w:p>
            <w:pPr>
              <w:spacing w:after="0" w:line="240" w:lineRule="auto"/>
            </w:pPr>
            <w:r/>
            <w:r>
              <w:rPr>
                <w:rFonts w:ascii="Liberation Serif" w:hAnsi="Liberation Serif" w:eastAsia="Liberation Serif"/>
                <w:b w:val="0"/>
                <w:sz w:val="16"/>
              </w:rPr>
              <w:t>The bank may claim deduction of Rs. 60,000,000 as loan write-off under Section 25.</w:t>
            </w:r>
          </w:p>
        </w:tc>
      </w:tr>
      <w:tr>
        <w:tc>
          <w:tcPr>
            <w:tcW w:type="dxa" w:w="1361"/>
            <w:vAlign w:val="top"/>
          </w:tcPr>
          <w:p>
            <w:pPr>
              <w:spacing w:after="0" w:line="240" w:lineRule="auto"/>
            </w:pPr>
            <w:r/>
            <w:r>
              <w:rPr>
                <w:rFonts w:ascii="Liberation Serif" w:hAnsi="Liberation Serif" w:eastAsia="Liberation Serif"/>
                <w:b w:val="0"/>
                <w:sz w:val="16"/>
              </w:rPr>
              <w:t>19.2.5</w:t>
            </w:r>
          </w:p>
        </w:tc>
        <w:tc>
          <w:tcPr>
            <w:tcW w:type="dxa" w:w="4252"/>
            <w:vAlign w:val="top"/>
          </w:tcPr>
          <w:p>
            <w:pPr>
              <w:spacing w:after="0" w:line="240" w:lineRule="auto"/>
            </w:pPr>
            <w:r/>
            <w:r>
              <w:rPr>
                <w:rFonts w:ascii="Liberation Serif" w:hAnsi="Liberation Serif" w:eastAsia="Liberation Serif"/>
                <w:b w:val="0"/>
                <w:sz w:val="16"/>
              </w:rPr>
              <w:t>New Bank Ltd. claims expense for a risk-bearing fund under Section 59(1A). At the end of income year 2080/81: loans before write-off Rs. 1,000,000,000; loan written off Rs. 10,000,000; balance after write-off Rs. 990,000,000; remaining risk-bearing fund provision according to Nepal Rastra Bank Rs. 41,000,000; provision up to 2079/80 Rs. 37,000,000.</w:t>
            </w:r>
          </w:p>
        </w:tc>
        <w:tc>
          <w:tcPr>
            <w:tcW w:type="dxa" w:w="3458"/>
            <w:vAlign w:val="top"/>
          </w:tcPr>
          <w:p>
            <w:pPr>
              <w:spacing w:after="0" w:line="240" w:lineRule="auto"/>
            </w:pPr>
            <w:r/>
            <w:r>
              <w:rPr>
                <w:rFonts w:ascii="Liberation Serif" w:hAnsi="Liberation Serif" w:eastAsia="Liberation Serif"/>
                <w:b w:val="0"/>
                <w:sz w:val="16"/>
              </w:rPr>
              <w:t>A person using Section 59(1A) cannot directly write off the loan in the profit and loss account under Section 25(2). When the mandatory write-off required by Nepal Rastra Bank is removed from books, the written-off amount is credited to the risk-bearing fund and expense is recorded. Total of write-off and remaining risk-bearing fund = Rs. 51,000,000. Since 5% of loans before write-off is Rs. 50,000,000, the excess Rs. 1,000,000 cannot be claimed as expense.</w:t>
            </w:r>
          </w:p>
        </w:tc>
      </w:tr>
    </w:tbl>
    <w:p/>
    <w:p>
      <w:pPr>
        <w:pStyle w:val="Heading3"/>
      </w:pPr>
      <w:r>
        <w:t>19.2.4 Computation of interest income</w:t>
      </w:r>
    </w:p>
    <w:p>
      <w:pPr>
        <w:spacing w:after="80" w:line="252" w:lineRule="auto"/>
      </w:pPr>
      <w:r>
        <w:rPr>
          <w:rFonts w:ascii="Liberation Serif" w:hAnsi="Liberation Serif" w:eastAsia="Liberation Serif"/>
          <w:b w:val="0"/>
          <w:i w:val="0"/>
          <w:sz w:val="21"/>
        </w:rPr>
        <w:t>Under Section 24(1), where a person keeps accounts for tax purposes on the accrual basis in computing income from business or investment, payment is treated as received and included in income as soon as the right to receive the payment is created.</w:t>
      </w:r>
    </w:p>
    <w:p>
      <w:pPr>
        <w:spacing w:after="80" w:line="252" w:lineRule="auto"/>
      </w:pPr>
      <w:r>
        <w:rPr>
          <w:rFonts w:ascii="Liberation Serif" w:hAnsi="Liberation Serif" w:eastAsia="Liberation Serif"/>
          <w:b w:val="0"/>
          <w:i w:val="0"/>
          <w:sz w:val="21"/>
        </w:rPr>
        <w:t>Section 24(3), however, provides a special rule for banking business: notwithstanding subsection (1), in relation to banking business, the Department may recognise accounting prescribed by Nepal Rastra Bank under the Nepal Rastra Bank Act, 2058 and the prevailing law relating to banking. The proviso further states that a cooperative institution may also account for interest income on the cash basis.</w:t>
      </w:r>
    </w:p>
    <w:p>
      <w:pPr>
        <w:pStyle w:val="Heading3"/>
      </w:pPr>
      <w:r>
        <w:t>19.2.5 Foreign-currency transaction income</w:t>
      </w:r>
    </w:p>
    <w:p>
      <w:pPr>
        <w:spacing w:after="80" w:line="252" w:lineRule="auto"/>
      </w:pPr>
      <w:r>
        <w:rPr>
          <w:rFonts w:ascii="Liberation Serif" w:hAnsi="Liberation Serif" w:eastAsia="Liberation Serif"/>
          <w:b w:val="0"/>
          <w:i w:val="0"/>
          <w:sz w:val="21"/>
        </w:rPr>
        <w:t>Sections 28(1) and 28(2) provide that, for purposes of the Act, if a person's income, and amounts included or deducted in determining that income, are denominated in a currency other than Nepalese rupees, those amounts must be converted into Nepalese rupees. Where an amount to be included or deducted in computing income for an income year is denominated in a currency other than Nepalese rupees, the conversion must be made at the exchange rate prevailing at the time when the amount is received, expended, given, paid, or otherwise accounted for tax purposes.</w:t>
      </w:r>
    </w:p>
    <w:p>
      <w:pPr>
        <w:spacing w:after="80" w:line="252" w:lineRule="auto"/>
      </w:pPr>
      <w:r>
        <w:rPr>
          <w:rFonts w:ascii="Liberation Serif" w:hAnsi="Liberation Serif" w:eastAsia="Liberation Serif"/>
          <w:b w:val="0"/>
          <w:i w:val="0"/>
          <w:sz w:val="21"/>
        </w:rPr>
        <w:t>A person carrying on banking business may maintain assets and liabilities in foreign currency. Therefore, where the exchange rate changes, assets and liabilities must also be converted accordingly. Nepal Accounting Standard 11 (NAS 11: Effects of Changes in Foreign Exchange Rates) also requires transactions in foreign currency to be recorded in Nepalese currency, the functional currency, using the exchange rate prevailing at the time of transaction. Conversion should be made using the prevailing rate, unless the Department permits, by written notice, use of an average exchange rate specified by the Department.</w:t>
      </w:r>
    </w:p>
    <w:p>
      <w:pPr>
        <w:pStyle w:val="Heading2"/>
      </w:pPr>
      <w:r>
        <w:t>19.3 Special Provision for General Insurance Business</w:t>
      </w:r>
    </w:p>
    <w:p>
      <w:pPr>
        <w:pStyle w:val="Heading3"/>
      </w:pPr>
      <w:r>
        <w:t>19.3.1 Key terminology</w:t>
      </w:r>
    </w:p>
    <w:tbl>
      <w:tblPr>
        <w:tblStyle w:val="TableGrid"/>
        <w:tblW w:type="auto" w:w="0"/>
        <w:jc w:val="center"/>
        <w:tblLook w:firstColumn="1" w:firstRow="1" w:lastColumn="0" w:lastRow="0" w:noHBand="0" w:noVBand="1" w:val="04A0"/>
      </w:tblPr>
      <w:tblGrid>
        <w:gridCol w:w="5213"/>
        <w:gridCol w:w="5213"/>
      </w:tblGrid>
      <w:tr>
        <w:trPr>
          <w:tblHeader w:val="true"/>
        </w:trPr>
        <w:tc>
          <w:tcPr>
            <w:tcW w:type="dxa" w:w="2268"/>
            <w:vAlign w:val="top"/>
            <w:shd w:fill="D9EAF7"/>
          </w:tcPr>
          <w:p>
            <w:pPr>
              <w:spacing w:after="0" w:line="240" w:lineRule="auto"/>
            </w:pPr>
            <w:r/>
            <w:r>
              <w:rPr>
                <w:rFonts w:ascii="Liberation Serif" w:hAnsi="Liberation Serif" w:eastAsia="Liberation Serif"/>
                <w:b/>
                <w:sz w:val="17"/>
              </w:rPr>
              <w:t>Term</w:t>
            </w:r>
          </w:p>
        </w:tc>
        <w:tc>
          <w:tcPr>
            <w:tcW w:type="dxa" w:w="6803"/>
            <w:vAlign w:val="top"/>
            <w:shd w:fill="D9EAF7"/>
          </w:tcPr>
          <w:p>
            <w:pPr>
              <w:spacing w:after="0" w:line="240" w:lineRule="auto"/>
            </w:pPr>
            <w:r/>
            <w:r>
              <w:rPr>
                <w:rFonts w:ascii="Liberation Serif" w:hAnsi="Liberation Serif" w:eastAsia="Liberation Serif"/>
                <w:b/>
                <w:sz w:val="17"/>
              </w:rPr>
              <w:t>Meaning / explanation</w:t>
            </w:r>
          </w:p>
        </w:tc>
      </w:tr>
      <w:tr>
        <w:tc>
          <w:tcPr>
            <w:tcW w:type="dxa" w:w="2268"/>
            <w:vAlign w:val="top"/>
          </w:tcPr>
          <w:p>
            <w:pPr>
              <w:spacing w:after="0" w:line="240" w:lineRule="auto"/>
            </w:pPr>
            <w:r/>
            <w:r>
              <w:rPr>
                <w:rFonts w:ascii="Liberation Serif" w:hAnsi="Liberation Serif" w:eastAsia="Liberation Serif"/>
                <w:b w:val="0"/>
                <w:sz w:val="17"/>
              </w:rPr>
              <w:t>General insurance</w:t>
            </w:r>
          </w:p>
        </w:tc>
        <w:tc>
          <w:tcPr>
            <w:tcW w:type="dxa" w:w="6803"/>
            <w:vAlign w:val="top"/>
          </w:tcPr>
          <w:p>
            <w:pPr>
              <w:spacing w:after="0" w:line="240" w:lineRule="auto"/>
            </w:pPr>
            <w:r/>
            <w:r>
              <w:rPr>
                <w:rFonts w:ascii="Liberation Serif" w:hAnsi="Liberation Serif" w:eastAsia="Liberation Serif"/>
                <w:b w:val="0"/>
                <w:sz w:val="17"/>
              </w:rPr>
              <w:t>Under Section 2(kaf) of the Act, “general insurance” means insurance other than investment insurance. Generally, general insurance refers to short-term insurance such as transit insurance, accidental insurance, medical insurance, fire insurance, motor insurance and engineering insurance. Such policies are usually effective for one year or less.</w:t>
            </w:r>
          </w:p>
        </w:tc>
      </w:tr>
      <w:tr>
        <w:tc>
          <w:tcPr>
            <w:tcW w:type="dxa" w:w="2268"/>
            <w:vAlign w:val="top"/>
          </w:tcPr>
          <w:p>
            <w:pPr>
              <w:spacing w:after="0" w:line="240" w:lineRule="auto"/>
            </w:pPr>
            <w:r/>
            <w:r>
              <w:rPr>
                <w:rFonts w:ascii="Liberation Serif" w:hAnsi="Liberation Serif" w:eastAsia="Liberation Serif"/>
                <w:b w:val="0"/>
                <w:sz w:val="17"/>
              </w:rPr>
              <w:t>Registered general insurance business</w:t>
            </w:r>
          </w:p>
        </w:tc>
        <w:tc>
          <w:tcPr>
            <w:tcW w:type="dxa" w:w="6803"/>
            <w:vAlign w:val="top"/>
          </w:tcPr>
          <w:p>
            <w:pPr>
              <w:spacing w:after="0" w:line="240" w:lineRule="auto"/>
            </w:pPr>
            <w:r/>
            <w:r>
              <w:rPr>
                <w:rFonts w:ascii="Liberation Serif" w:hAnsi="Liberation Serif" w:eastAsia="Liberation Serif"/>
                <w:b w:val="0"/>
                <w:sz w:val="17"/>
              </w:rPr>
              <w:t>According to the Explanation to Section 60, this means an insurance business registered in Nepal under the prevailing law and carrying on general insurance transactions. To carry on insurance business in Nepal, approval must be obtained from the insurance regulator under insurance law.</w:t>
            </w:r>
          </w:p>
        </w:tc>
      </w:tr>
      <w:tr>
        <w:tc>
          <w:tcPr>
            <w:tcW w:type="dxa" w:w="2268"/>
            <w:vAlign w:val="top"/>
          </w:tcPr>
          <w:p>
            <w:pPr>
              <w:spacing w:after="0" w:line="240" w:lineRule="auto"/>
            </w:pPr>
            <w:r/>
            <w:r>
              <w:rPr>
                <w:rFonts w:ascii="Liberation Serif" w:hAnsi="Liberation Serif" w:eastAsia="Liberation Serif"/>
                <w:b w:val="0"/>
                <w:sz w:val="17"/>
              </w:rPr>
              <w:t>Insurer</w:t>
            </w:r>
          </w:p>
        </w:tc>
        <w:tc>
          <w:tcPr>
            <w:tcW w:type="dxa" w:w="6803"/>
            <w:vAlign w:val="top"/>
          </w:tcPr>
          <w:p>
            <w:pPr>
              <w:spacing w:after="0" w:line="240" w:lineRule="auto"/>
            </w:pPr>
            <w:r/>
            <w:r>
              <w:rPr>
                <w:rFonts w:ascii="Liberation Serif" w:hAnsi="Liberation Serif" w:eastAsia="Liberation Serif"/>
                <w:b w:val="0"/>
                <w:sz w:val="17"/>
              </w:rPr>
              <w:t>An entity that has obtained approval under prevailing law to carry on insurance or reinsurance business. Because only an organised entity may apply to carry on insurance business under insurance law, a natural person cannot be an insurer.</w:t>
            </w:r>
          </w:p>
        </w:tc>
      </w:tr>
      <w:tr>
        <w:tc>
          <w:tcPr>
            <w:tcW w:type="dxa" w:w="2268"/>
            <w:vAlign w:val="top"/>
          </w:tcPr>
          <w:p>
            <w:pPr>
              <w:spacing w:after="0" w:line="240" w:lineRule="auto"/>
            </w:pPr>
            <w:r/>
            <w:r>
              <w:rPr>
                <w:rFonts w:ascii="Liberation Serif" w:hAnsi="Liberation Serif" w:eastAsia="Liberation Serif"/>
                <w:b w:val="0"/>
                <w:sz w:val="17"/>
              </w:rPr>
              <w:t>Insured</w:t>
            </w:r>
          </w:p>
        </w:tc>
        <w:tc>
          <w:tcPr>
            <w:tcW w:type="dxa" w:w="6803"/>
            <w:vAlign w:val="top"/>
          </w:tcPr>
          <w:p>
            <w:pPr>
              <w:spacing w:after="0" w:line="240" w:lineRule="auto"/>
            </w:pPr>
            <w:r/>
            <w:r>
              <w:rPr>
                <w:rFonts w:ascii="Liberation Serif" w:hAnsi="Liberation Serif" w:eastAsia="Liberation Serif"/>
                <w:b w:val="0"/>
                <w:sz w:val="17"/>
              </w:rPr>
              <w:t>A natural person or organisation that obtains insurance.</w:t>
            </w:r>
          </w:p>
        </w:tc>
      </w:tr>
    </w:tbl>
    <w:p/>
    <w:p>
      <w:pPr>
        <w:pStyle w:val="Heading3"/>
      </w:pPr>
      <w:r>
        <w:t>19.3.2 Income of general insurance business</w:t>
      </w:r>
    </w:p>
    <w:p>
      <w:pPr>
        <w:spacing w:after="80" w:line="252" w:lineRule="auto"/>
      </w:pPr>
      <w:r>
        <w:rPr>
          <w:rFonts w:ascii="Liberation Serif" w:hAnsi="Liberation Serif" w:eastAsia="Liberation Serif"/>
          <w:b w:val="0"/>
          <w:i w:val="0"/>
          <w:sz w:val="21"/>
        </w:rPr>
        <w:t>Section 60(1) provides that, when computing the income or loss of a person from general insurance business for an income year, the insurance business must be treated as a business separate from any other business carried on by that person.</w:t>
      </w:r>
    </w:p>
    <w:p>
      <w:pPr>
        <w:pStyle w:val="Heading3"/>
      </w:pPr>
      <w:r>
        <w:t>19.3.3 Method of computing income of general insurance</w:t>
      </w:r>
    </w:p>
    <w:p>
      <w:pPr>
        <w:spacing w:after="80" w:line="252" w:lineRule="auto"/>
      </w:pPr>
      <w:r>
        <w:rPr>
          <w:rFonts w:ascii="Liberation Serif" w:hAnsi="Liberation Serif" w:eastAsia="Liberation Serif"/>
          <w:b w:val="0"/>
          <w:i w:val="0"/>
          <w:sz w:val="21"/>
        </w:rPr>
        <w:t>Section 60(2) provides the special rules for computing income of a person carrying on general insurance business for an income year.</w:t>
      </w:r>
    </w:p>
    <w:tbl>
      <w:tblPr>
        <w:tblStyle w:val="TableGrid"/>
        <w:tblW w:type="auto" w:w="0"/>
        <w:jc w:val="center"/>
        <w:tblLook w:firstColumn="1" w:firstRow="1" w:lastColumn="0" w:lastRow="0" w:noHBand="0" w:noVBand="1" w:val="04A0"/>
      </w:tblPr>
      <w:tblGrid>
        <w:gridCol w:w="5213"/>
        <w:gridCol w:w="5213"/>
      </w:tblGrid>
      <w:tr>
        <w:trPr>
          <w:tblHeader w:val="true"/>
        </w:trPr>
        <w:tc>
          <w:tcPr>
            <w:tcW w:type="dxa" w:w="2381"/>
            <w:vAlign w:val="top"/>
            <w:shd w:fill="D9EAF7"/>
          </w:tcPr>
          <w:p>
            <w:pPr>
              <w:spacing w:after="0" w:line="240" w:lineRule="auto"/>
            </w:pPr>
            <w:r/>
            <w:r>
              <w:rPr>
                <w:rFonts w:ascii="Liberation Serif" w:hAnsi="Liberation Serif" w:eastAsia="Liberation Serif"/>
                <w:b/>
                <w:sz w:val="17"/>
              </w:rPr>
              <w:t>Category</w:t>
            </w:r>
          </w:p>
        </w:tc>
        <w:tc>
          <w:tcPr>
            <w:tcW w:type="dxa" w:w="6690"/>
            <w:vAlign w:val="top"/>
            <w:shd w:fill="D9EAF7"/>
          </w:tcPr>
          <w:p>
            <w:pPr>
              <w:spacing w:after="0" w:line="240" w:lineRule="auto"/>
            </w:pPr>
            <w:r/>
            <w:r>
              <w:rPr>
                <w:rFonts w:ascii="Liberation Serif" w:hAnsi="Liberation Serif" w:eastAsia="Liberation Serif"/>
                <w:b/>
                <w:sz w:val="17"/>
              </w:rPr>
              <w:t>Amounts to include / deduct</w:t>
            </w:r>
          </w:p>
        </w:tc>
      </w:tr>
      <w:tr>
        <w:tc>
          <w:tcPr>
            <w:tcW w:type="dxa" w:w="2381"/>
            <w:vAlign w:val="top"/>
          </w:tcPr>
          <w:p>
            <w:pPr>
              <w:spacing w:after="0" w:line="240" w:lineRule="auto"/>
            </w:pPr>
            <w:r/>
            <w:r>
              <w:rPr>
                <w:rFonts w:ascii="Liberation Serif" w:hAnsi="Liberation Serif" w:eastAsia="Liberation Serif"/>
                <w:b w:val="0"/>
                <w:sz w:val="17"/>
              </w:rPr>
              <w:t>Amounts to be included</w:t>
            </w:r>
          </w:p>
        </w:tc>
        <w:tc>
          <w:tcPr>
            <w:tcW w:type="dxa" w:w="6690"/>
            <w:vAlign w:val="top"/>
          </w:tcPr>
          <w:p>
            <w:pPr>
              <w:spacing w:after="0" w:line="240" w:lineRule="auto"/>
            </w:pPr>
            <w:r/>
            <w:r>
              <w:rPr>
                <w:rFonts w:ascii="Liberation Serif" w:hAnsi="Liberation Serif" w:eastAsia="Liberation Serif"/>
                <w:b w:val="0"/>
                <w:sz w:val="17"/>
              </w:rPr>
              <w:t>In addition to any other amounts required to be included under the Act: (i) insurance premiums, including reinsurance premiums received during the year from carrying on the business; and (ii) amounts received during the year under reinsurance, guarantee, security or indemnity contracts in respect of payments covered by Section 60(2)(b)(1).</w:t>
            </w:r>
          </w:p>
        </w:tc>
      </w:tr>
      <w:tr>
        <w:tc>
          <w:tcPr>
            <w:tcW w:type="dxa" w:w="2381"/>
            <w:vAlign w:val="top"/>
          </w:tcPr>
          <w:p>
            <w:pPr>
              <w:spacing w:after="0" w:line="240" w:lineRule="auto"/>
            </w:pPr>
            <w:r/>
            <w:r>
              <w:rPr>
                <w:rFonts w:ascii="Liberation Serif" w:hAnsi="Liberation Serif" w:eastAsia="Liberation Serif"/>
                <w:b w:val="0"/>
                <w:sz w:val="17"/>
              </w:rPr>
              <w:t>Amounts deductible</w:t>
            </w:r>
          </w:p>
        </w:tc>
        <w:tc>
          <w:tcPr>
            <w:tcW w:type="dxa" w:w="6690"/>
            <w:vAlign w:val="top"/>
          </w:tcPr>
          <w:p>
            <w:pPr>
              <w:spacing w:after="0" w:line="240" w:lineRule="auto"/>
            </w:pPr>
            <w:r/>
            <w:r>
              <w:rPr>
                <w:rFonts w:ascii="Liberation Serif" w:hAnsi="Liberation Serif" w:eastAsia="Liberation Serif"/>
                <w:b w:val="0"/>
                <w:sz w:val="17"/>
              </w:rPr>
              <w:t>In addition to amounts deductible under the Act: (i) payments made during the year by the person in the capacity of insurer in carrying on the business; (ii) premiums refunded during the year to the insured that were included under Section 60(2)(a)(1) in computing income of that year or a past year; and (iii) the sum of specified amounts set aside in the risk-bearing fund.</w:t>
            </w:r>
          </w:p>
        </w:tc>
      </w:tr>
      <w:tr>
        <w:tc>
          <w:tcPr>
            <w:tcW w:type="dxa" w:w="2381"/>
            <w:vAlign w:val="top"/>
          </w:tcPr>
          <w:p>
            <w:pPr>
              <w:spacing w:after="0" w:line="240" w:lineRule="auto"/>
            </w:pPr>
            <w:r/>
            <w:r>
              <w:rPr>
                <w:rFonts w:ascii="Liberation Serif" w:hAnsi="Liberation Serif" w:eastAsia="Liberation Serif"/>
                <w:b w:val="0"/>
                <w:sz w:val="17"/>
              </w:rPr>
              <w:t>Risk-bearing fund</w:t>
            </w:r>
          </w:p>
        </w:tc>
        <w:tc>
          <w:tcPr>
            <w:tcW w:type="dxa" w:w="6690"/>
            <w:vAlign w:val="top"/>
          </w:tcPr>
          <w:p>
            <w:pPr>
              <w:spacing w:after="0" w:line="240" w:lineRule="auto"/>
            </w:pPr>
            <w:r/>
            <w:r>
              <w:rPr>
                <w:rFonts w:ascii="Liberation Serif" w:hAnsi="Liberation Serif" w:eastAsia="Liberation Serif"/>
                <w:b w:val="0"/>
                <w:sz w:val="17"/>
              </w:rPr>
              <w:t>The deductible risk-bearing fund amount includes: (a) up to 50% of net insurance premium shown in the profit and loss account of the year; and (b) up to 115% of the amount outstanding at the end of the year for claim payments. However, an amount deducted in a year under this provision must be included in income when computing insurance-business income of the following income year.</w:t>
            </w:r>
          </w:p>
        </w:tc>
      </w:tr>
    </w:tbl>
    <w:p/>
    <w:p>
      <w:pPr>
        <w:spacing w:after="80" w:line="252" w:lineRule="auto"/>
      </w:pPr>
      <w:r>
        <w:rPr>
          <w:rFonts w:ascii="Liberation Serif" w:hAnsi="Liberation Serif" w:eastAsia="Liberation Serif"/>
          <w:b w:val="0"/>
          <w:i w:val="0"/>
          <w:sz w:val="21"/>
        </w:rPr>
        <w:t>Interest income from investments is also a significant component of the income of persons carrying on general insurance business. In addition, general insurance business has certain insurance-specific income, including premiums received for accepting insurance liability, premiums received for accepting reinsurance, commissions received for reinsurance ceded, and recoveries under insurance contracts for payments made by the entity in the capacity of insurer.</w:t>
      </w:r>
    </w:p>
    <w:p>
      <w:pPr>
        <w:spacing w:after="80" w:line="252" w:lineRule="auto"/>
      </w:pPr>
      <w:r>
        <w:rPr>
          <w:rFonts w:ascii="Liberation Serif" w:hAnsi="Liberation Serif" w:eastAsia="Liberation Serif"/>
          <w:b w:val="0"/>
          <w:i w:val="0"/>
          <w:sz w:val="21"/>
        </w:rPr>
        <w:t>Apart from ordinary deductions, a person carrying on general insurance business may claim deductions for specific items such as payments made as insurer under insurance contracts, premiums refunded to the insured, commission on reinsurance transactions, agent commission, unexpired risk reserve equal to 50% of net insurance premium, and reserve for unsettled claims equal to 115% of claims received but not finalised by year end.</w:t>
      </w:r>
    </w:p>
    <w:p>
      <w:pPr>
        <w:spacing w:after="80" w:line="252" w:lineRule="auto"/>
      </w:pPr>
      <w:r>
        <w:rPr>
          <w:rFonts w:ascii="Liberation Serif" w:hAnsi="Liberation Serif" w:eastAsia="Liberation Serif"/>
          <w:b w:val="0"/>
          <w:i w:val="0"/>
          <w:sz w:val="21"/>
        </w:rPr>
        <w:t>A general insurance policy normally runs for one year. Since an insurance company issues policies throughout the year, the company's possible liability is not completely extinguished merely because the financial year ends. Therefore, under insurance law, 50% of the net insurance premium collected during the year, after deducting reinsurance, is transferred to unexpired risk reserve. The amount so transferred must be brought into income in the following year.</w:t>
      </w:r>
    </w:p>
    <w:p>
      <w:pPr>
        <w:spacing w:after="80" w:line="252" w:lineRule="auto"/>
      </w:pPr>
      <w:r>
        <w:rPr>
          <w:rFonts w:ascii="Liberation Serif" w:hAnsi="Liberation Serif" w:eastAsia="Liberation Serif"/>
          <w:b w:val="0"/>
          <w:i w:val="0"/>
          <w:sz w:val="21"/>
        </w:rPr>
        <w:t>Similarly, where claims have been received during the income year but remain unsettled at year end, 115% of those unsettled claims may be transferred to a risk-bearing fund as reserve for unsettled claims and claimed as deduction. The purpose of the additional 15% is to provide for claims relating to insured events that have occurred but have not yet been intimated. The amount claimed as expense in the current year for such reserve must be included in income in the following year.</w:t>
      </w:r>
    </w:p>
    <w:tbl>
      <w:tblPr>
        <w:tblStyle w:val="TableGrid"/>
        <w:tblW w:type="auto" w:w="0"/>
        <w:jc w:val="center"/>
        <w:tblLook w:firstColumn="1" w:firstRow="1" w:lastColumn="0" w:lastRow="0" w:noHBand="0" w:noVBand="1" w:val="04A0"/>
      </w:tblPr>
      <w:tblGrid>
        <w:gridCol w:w="5213"/>
        <w:gridCol w:w="5213"/>
      </w:tblGrid>
      <w:tr>
        <w:trPr>
          <w:tblHeader w:val="true"/>
        </w:trPr>
        <w:tc>
          <w:tcPr>
            <w:tcW w:type="dxa" w:w="6520"/>
            <w:vAlign w:val="top"/>
            <w:shd w:fill="D9EAF7"/>
          </w:tcPr>
          <w:p>
            <w:pPr>
              <w:spacing w:after="0" w:line="240" w:lineRule="auto"/>
            </w:pPr>
            <w:r/>
            <w:r>
              <w:rPr>
                <w:rFonts w:ascii="Liberation Serif" w:hAnsi="Liberation Serif" w:eastAsia="Liberation Serif"/>
                <w:b/>
                <w:sz w:val="16"/>
              </w:rPr>
              <w:t>Example 19.3.1 - Nepal Insurance Company Ltd.</w:t>
            </w:r>
          </w:p>
        </w:tc>
        <w:tc>
          <w:tcPr>
            <w:tcW w:type="dxa" w:w="2551"/>
            <w:vAlign w:val="top"/>
            <w:shd w:fill="D9EAF7"/>
          </w:tcPr>
          <w:p>
            <w:pPr>
              <w:spacing w:after="0" w:line="240" w:lineRule="auto"/>
            </w:pPr>
            <w:r/>
            <w:r>
              <w:rPr>
                <w:rFonts w:ascii="Liberation Serif" w:hAnsi="Liberation Serif" w:eastAsia="Liberation Serif"/>
                <w:b/>
                <w:sz w:val="16"/>
              </w:rPr>
              <w:t>Amount (Rs.)</w:t>
            </w:r>
          </w:p>
        </w:tc>
      </w:tr>
      <w:tr>
        <w:tc>
          <w:tcPr>
            <w:tcW w:type="dxa" w:w="6520"/>
            <w:vAlign w:val="top"/>
          </w:tcPr>
          <w:p>
            <w:pPr>
              <w:spacing w:after="0" w:line="240" w:lineRule="auto"/>
            </w:pPr>
            <w:r/>
            <w:r>
              <w:rPr>
                <w:rFonts w:ascii="Liberation Serif" w:hAnsi="Liberation Serif" w:eastAsia="Liberation Serif"/>
                <w:b w:val="0"/>
                <w:sz w:val="16"/>
              </w:rPr>
              <w:t>Net insurance premium in income year 2080/81</w:t>
            </w:r>
          </w:p>
        </w:tc>
        <w:tc>
          <w:tcPr>
            <w:tcW w:type="dxa" w:w="2551"/>
            <w:vAlign w:val="top"/>
          </w:tcPr>
          <w:p>
            <w:pPr>
              <w:spacing w:after="0" w:line="240" w:lineRule="auto"/>
            </w:pPr>
            <w:r/>
            <w:r>
              <w:rPr>
                <w:rFonts w:ascii="Liberation Serif" w:hAnsi="Liberation Serif" w:eastAsia="Liberation Serif"/>
                <w:b w:val="0"/>
                <w:sz w:val="16"/>
              </w:rPr>
              <w:t>400,000</w:t>
            </w:r>
          </w:p>
        </w:tc>
      </w:tr>
      <w:tr>
        <w:tc>
          <w:tcPr>
            <w:tcW w:type="dxa" w:w="6520"/>
            <w:vAlign w:val="top"/>
          </w:tcPr>
          <w:p>
            <w:pPr>
              <w:spacing w:after="0" w:line="240" w:lineRule="auto"/>
            </w:pPr>
            <w:r/>
            <w:r>
              <w:rPr>
                <w:rFonts w:ascii="Liberation Serif" w:hAnsi="Liberation Serif" w:eastAsia="Liberation Serif"/>
                <w:b w:val="0"/>
                <w:sz w:val="16"/>
              </w:rPr>
              <w:t>Commission received on reinsurance ceded</w:t>
            </w:r>
          </w:p>
        </w:tc>
        <w:tc>
          <w:tcPr>
            <w:tcW w:type="dxa" w:w="2551"/>
            <w:vAlign w:val="top"/>
          </w:tcPr>
          <w:p>
            <w:pPr>
              <w:spacing w:after="0" w:line="240" w:lineRule="auto"/>
            </w:pPr>
            <w:r/>
            <w:r>
              <w:rPr>
                <w:rFonts w:ascii="Liberation Serif" w:hAnsi="Liberation Serif" w:eastAsia="Liberation Serif"/>
                <w:b w:val="0"/>
                <w:sz w:val="16"/>
              </w:rPr>
              <w:t>20,000</w:t>
            </w:r>
          </w:p>
        </w:tc>
      </w:tr>
      <w:tr>
        <w:tc>
          <w:tcPr>
            <w:tcW w:type="dxa" w:w="6520"/>
            <w:vAlign w:val="top"/>
          </w:tcPr>
          <w:p>
            <w:pPr>
              <w:spacing w:after="0" w:line="240" w:lineRule="auto"/>
            </w:pPr>
            <w:r/>
            <w:r>
              <w:rPr>
                <w:rFonts w:ascii="Liberation Serif" w:hAnsi="Liberation Serif" w:eastAsia="Liberation Serif"/>
                <w:b w:val="0"/>
                <w:sz w:val="16"/>
              </w:rPr>
              <w:t>Unexpired insurance fund at end of 2079/80</w:t>
            </w:r>
          </w:p>
        </w:tc>
        <w:tc>
          <w:tcPr>
            <w:tcW w:type="dxa" w:w="2551"/>
            <w:vAlign w:val="top"/>
          </w:tcPr>
          <w:p>
            <w:pPr>
              <w:spacing w:after="0" w:line="240" w:lineRule="auto"/>
            </w:pPr>
            <w:r/>
            <w:r>
              <w:rPr>
                <w:rFonts w:ascii="Liberation Serif" w:hAnsi="Liberation Serif" w:eastAsia="Liberation Serif"/>
                <w:b w:val="0"/>
                <w:sz w:val="16"/>
              </w:rPr>
              <w:t>150,000</w:t>
            </w:r>
          </w:p>
        </w:tc>
      </w:tr>
      <w:tr>
        <w:tc>
          <w:tcPr>
            <w:tcW w:type="dxa" w:w="6520"/>
            <w:vAlign w:val="top"/>
          </w:tcPr>
          <w:p>
            <w:pPr>
              <w:spacing w:after="0" w:line="240" w:lineRule="auto"/>
            </w:pPr>
            <w:r/>
            <w:r>
              <w:rPr>
                <w:rFonts w:ascii="Liberation Serif" w:hAnsi="Liberation Serif" w:eastAsia="Liberation Serif"/>
                <w:b w:val="0"/>
                <w:sz w:val="16"/>
              </w:rPr>
              <w:t>Reserve for unsettled claims at end of 2079/80</w:t>
            </w:r>
          </w:p>
        </w:tc>
        <w:tc>
          <w:tcPr>
            <w:tcW w:type="dxa" w:w="2551"/>
            <w:vAlign w:val="top"/>
          </w:tcPr>
          <w:p>
            <w:pPr>
              <w:spacing w:after="0" w:line="240" w:lineRule="auto"/>
            </w:pPr>
            <w:r/>
            <w:r>
              <w:rPr>
                <w:rFonts w:ascii="Liberation Serif" w:hAnsi="Liberation Serif" w:eastAsia="Liberation Serif"/>
                <w:b w:val="0"/>
                <w:sz w:val="16"/>
              </w:rPr>
              <w:t>23,000</w:t>
            </w:r>
          </w:p>
        </w:tc>
      </w:tr>
      <w:tr>
        <w:tc>
          <w:tcPr>
            <w:tcW w:type="dxa" w:w="6520"/>
            <w:vAlign w:val="top"/>
          </w:tcPr>
          <w:p>
            <w:pPr>
              <w:spacing w:after="0" w:line="240" w:lineRule="auto"/>
            </w:pPr>
            <w:r/>
            <w:r>
              <w:rPr>
                <w:rFonts w:ascii="Liberation Serif" w:hAnsi="Liberation Serif" w:eastAsia="Liberation Serif"/>
                <w:b w:val="0"/>
                <w:sz w:val="16"/>
              </w:rPr>
              <w:t>Commission paid on reinsurance accepted</w:t>
            </w:r>
          </w:p>
        </w:tc>
        <w:tc>
          <w:tcPr>
            <w:tcW w:type="dxa" w:w="2551"/>
            <w:vAlign w:val="top"/>
          </w:tcPr>
          <w:p>
            <w:pPr>
              <w:spacing w:after="0" w:line="240" w:lineRule="auto"/>
            </w:pPr>
            <w:r/>
            <w:r>
              <w:rPr>
                <w:rFonts w:ascii="Liberation Serif" w:hAnsi="Liberation Serif" w:eastAsia="Liberation Serif"/>
                <w:b w:val="0"/>
                <w:sz w:val="16"/>
              </w:rPr>
              <w:t>10,000</w:t>
            </w:r>
          </w:p>
        </w:tc>
      </w:tr>
      <w:tr>
        <w:tc>
          <w:tcPr>
            <w:tcW w:type="dxa" w:w="6520"/>
            <w:vAlign w:val="top"/>
          </w:tcPr>
          <w:p>
            <w:pPr>
              <w:spacing w:after="0" w:line="240" w:lineRule="auto"/>
            </w:pPr>
            <w:r/>
            <w:r>
              <w:rPr>
                <w:rFonts w:ascii="Liberation Serif" w:hAnsi="Liberation Serif" w:eastAsia="Liberation Serif"/>
                <w:b w:val="0"/>
                <w:sz w:val="16"/>
              </w:rPr>
              <w:t>Insurance agent commission paid</w:t>
            </w:r>
          </w:p>
        </w:tc>
        <w:tc>
          <w:tcPr>
            <w:tcW w:type="dxa" w:w="2551"/>
            <w:vAlign w:val="top"/>
          </w:tcPr>
          <w:p>
            <w:pPr>
              <w:spacing w:after="0" w:line="240" w:lineRule="auto"/>
            </w:pPr>
            <w:r/>
            <w:r>
              <w:rPr>
                <w:rFonts w:ascii="Liberation Serif" w:hAnsi="Liberation Serif" w:eastAsia="Liberation Serif"/>
                <w:b w:val="0"/>
                <w:sz w:val="16"/>
              </w:rPr>
              <w:t>15,000</w:t>
            </w:r>
          </w:p>
        </w:tc>
      </w:tr>
      <w:tr>
        <w:tc>
          <w:tcPr>
            <w:tcW w:type="dxa" w:w="6520"/>
            <w:vAlign w:val="top"/>
          </w:tcPr>
          <w:p>
            <w:pPr>
              <w:spacing w:after="0" w:line="240" w:lineRule="auto"/>
            </w:pPr>
            <w:r/>
            <w:r>
              <w:rPr>
                <w:rFonts w:ascii="Liberation Serif" w:hAnsi="Liberation Serif" w:eastAsia="Liberation Serif"/>
                <w:b w:val="0"/>
                <w:sz w:val="16"/>
              </w:rPr>
              <w:t>Management expenses</w:t>
            </w:r>
          </w:p>
        </w:tc>
        <w:tc>
          <w:tcPr>
            <w:tcW w:type="dxa" w:w="2551"/>
            <w:vAlign w:val="top"/>
          </w:tcPr>
          <w:p>
            <w:pPr>
              <w:spacing w:after="0" w:line="240" w:lineRule="auto"/>
            </w:pPr>
            <w:r/>
            <w:r>
              <w:rPr>
                <w:rFonts w:ascii="Liberation Serif" w:hAnsi="Liberation Serif" w:eastAsia="Liberation Serif"/>
                <w:b w:val="0"/>
                <w:sz w:val="16"/>
              </w:rPr>
              <w:t>100,000</w:t>
            </w:r>
          </w:p>
        </w:tc>
      </w:tr>
      <w:tr>
        <w:tc>
          <w:tcPr>
            <w:tcW w:type="dxa" w:w="6520"/>
            <w:vAlign w:val="top"/>
          </w:tcPr>
          <w:p>
            <w:pPr>
              <w:spacing w:after="0" w:line="240" w:lineRule="auto"/>
            </w:pPr>
            <w:r/>
            <w:r>
              <w:rPr>
                <w:rFonts w:ascii="Liberation Serif" w:hAnsi="Liberation Serif" w:eastAsia="Liberation Serif"/>
                <w:b w:val="0"/>
                <w:sz w:val="16"/>
              </w:rPr>
              <w:t>Insurance claims paid in 2080/81</w:t>
            </w:r>
          </w:p>
        </w:tc>
        <w:tc>
          <w:tcPr>
            <w:tcW w:type="dxa" w:w="2551"/>
            <w:vAlign w:val="top"/>
          </w:tcPr>
          <w:p>
            <w:pPr>
              <w:spacing w:after="0" w:line="240" w:lineRule="auto"/>
            </w:pPr>
            <w:r/>
            <w:r>
              <w:rPr>
                <w:rFonts w:ascii="Liberation Serif" w:hAnsi="Liberation Serif" w:eastAsia="Liberation Serif"/>
                <w:b w:val="0"/>
                <w:sz w:val="16"/>
              </w:rPr>
              <w:t>100,000</w:t>
            </w:r>
          </w:p>
        </w:tc>
      </w:tr>
      <w:tr>
        <w:tc>
          <w:tcPr>
            <w:tcW w:type="dxa" w:w="6520"/>
            <w:vAlign w:val="top"/>
          </w:tcPr>
          <w:p>
            <w:pPr>
              <w:spacing w:after="0" w:line="240" w:lineRule="auto"/>
            </w:pPr>
            <w:r/>
            <w:r>
              <w:rPr>
                <w:rFonts w:ascii="Liberation Serif" w:hAnsi="Liberation Serif" w:eastAsia="Liberation Serif"/>
                <w:b w:val="0"/>
                <w:sz w:val="16"/>
              </w:rPr>
              <w:t>Claims received but not settled in 2080/81</w:t>
            </w:r>
          </w:p>
        </w:tc>
        <w:tc>
          <w:tcPr>
            <w:tcW w:type="dxa" w:w="2551"/>
            <w:vAlign w:val="top"/>
          </w:tcPr>
          <w:p>
            <w:pPr>
              <w:spacing w:after="0" w:line="240" w:lineRule="auto"/>
            </w:pPr>
            <w:r/>
            <w:r>
              <w:rPr>
                <w:rFonts w:ascii="Liberation Serif" w:hAnsi="Liberation Serif" w:eastAsia="Liberation Serif"/>
                <w:b w:val="0"/>
                <w:sz w:val="16"/>
              </w:rPr>
              <w:t>30,000</w:t>
            </w:r>
          </w:p>
        </w:tc>
      </w:tr>
      <w:tr>
        <w:tc>
          <w:tcPr>
            <w:tcW w:type="dxa" w:w="6520"/>
            <w:vAlign w:val="top"/>
          </w:tcPr>
          <w:p>
            <w:pPr>
              <w:spacing w:after="0" w:line="240" w:lineRule="auto"/>
            </w:pPr>
            <w:r/>
            <w:r>
              <w:rPr>
                <w:rFonts w:ascii="Liberation Serif" w:hAnsi="Liberation Serif" w:eastAsia="Liberation Serif"/>
                <w:b w:val="0"/>
                <w:sz w:val="16"/>
              </w:rPr>
              <w:t>Interest from investment</w:t>
            </w:r>
          </w:p>
        </w:tc>
        <w:tc>
          <w:tcPr>
            <w:tcW w:type="dxa" w:w="2551"/>
            <w:vAlign w:val="top"/>
          </w:tcPr>
          <w:p>
            <w:pPr>
              <w:spacing w:after="0" w:line="240" w:lineRule="auto"/>
            </w:pPr>
            <w:r/>
            <w:r>
              <w:rPr>
                <w:rFonts w:ascii="Liberation Serif" w:hAnsi="Liberation Serif" w:eastAsia="Liberation Serif"/>
                <w:b w:val="0"/>
                <w:sz w:val="16"/>
              </w:rPr>
              <w:t>50,000</w:t>
            </w:r>
          </w:p>
        </w:tc>
      </w:tr>
      <w:tr>
        <w:tc>
          <w:tcPr>
            <w:tcW w:type="dxa" w:w="6520"/>
            <w:vAlign w:val="top"/>
          </w:tcPr>
          <w:p>
            <w:pPr>
              <w:spacing w:after="0" w:line="240" w:lineRule="auto"/>
            </w:pPr>
            <w:r/>
            <w:r>
              <w:rPr>
                <w:rFonts w:ascii="Liberation Serif" w:hAnsi="Liberation Serif" w:eastAsia="Liberation Serif"/>
                <w:b w:val="0"/>
                <w:sz w:val="16"/>
              </w:rPr>
              <w:t>Allowable depreciation expense</w:t>
            </w:r>
          </w:p>
        </w:tc>
        <w:tc>
          <w:tcPr>
            <w:tcW w:type="dxa" w:w="2551"/>
            <w:vAlign w:val="top"/>
          </w:tcPr>
          <w:p>
            <w:pPr>
              <w:spacing w:after="0" w:line="240" w:lineRule="auto"/>
            </w:pPr>
            <w:r/>
            <w:r>
              <w:rPr>
                <w:rFonts w:ascii="Liberation Serif" w:hAnsi="Liberation Serif" w:eastAsia="Liberation Serif"/>
                <w:b w:val="0"/>
                <w:sz w:val="16"/>
              </w:rPr>
              <w:t>60,000</w:t>
            </w:r>
          </w:p>
        </w:tc>
      </w:tr>
      <w:tr>
        <w:tc>
          <w:tcPr>
            <w:tcW w:type="dxa" w:w="6520"/>
            <w:vAlign w:val="top"/>
          </w:tcPr>
          <w:p>
            <w:pPr>
              <w:spacing w:after="0" w:line="240" w:lineRule="auto"/>
            </w:pPr>
            <w:r/>
            <w:r>
              <w:rPr>
                <w:rFonts w:ascii="Liberation Serif" w:hAnsi="Liberation Serif" w:eastAsia="Liberation Serif"/>
                <w:b w:val="0"/>
                <w:sz w:val="16"/>
              </w:rPr>
              <w:t>Miscellaneous income</w:t>
            </w:r>
          </w:p>
        </w:tc>
        <w:tc>
          <w:tcPr>
            <w:tcW w:type="dxa" w:w="2551"/>
            <w:vAlign w:val="top"/>
          </w:tcPr>
          <w:p>
            <w:pPr>
              <w:spacing w:after="0" w:line="240" w:lineRule="auto"/>
            </w:pPr>
            <w:r/>
            <w:r>
              <w:rPr>
                <w:rFonts w:ascii="Liberation Serif" w:hAnsi="Liberation Serif" w:eastAsia="Liberation Serif"/>
                <w:b w:val="0"/>
                <w:sz w:val="16"/>
              </w:rPr>
              <w:t>25,000</w:t>
            </w:r>
          </w:p>
        </w:tc>
      </w:tr>
    </w:tbl>
    <w:p/>
    <w:tbl>
      <w:tblPr>
        <w:tblStyle w:val="TableGrid"/>
        <w:tblW w:type="auto" w:w="0"/>
        <w:jc w:val="center"/>
        <w:tblLook w:firstColumn="1" w:firstRow="1" w:lastColumn="0" w:lastRow="0" w:noHBand="0" w:noVBand="1" w:val="04A0"/>
      </w:tblPr>
      <w:tblGrid>
        <w:gridCol w:w="5213"/>
        <w:gridCol w:w="5213"/>
      </w:tblGrid>
      <w:tr>
        <w:trPr>
          <w:tblHeader w:val="true"/>
        </w:trPr>
        <w:tc>
          <w:tcPr>
            <w:tcW w:type="dxa" w:w="6520"/>
            <w:vAlign w:val="top"/>
            <w:shd w:fill="D9EAF7"/>
          </w:tcPr>
          <w:p>
            <w:pPr>
              <w:spacing w:after="0" w:line="240" w:lineRule="auto"/>
            </w:pPr>
            <w:r/>
            <w:r>
              <w:rPr>
                <w:rFonts w:ascii="Liberation Serif" w:hAnsi="Liberation Serif" w:eastAsia="Liberation Serif"/>
                <w:b/>
                <w:sz w:val="16"/>
              </w:rPr>
              <w:t>Computation of income - Example 19.3.1</w:t>
            </w:r>
          </w:p>
        </w:tc>
        <w:tc>
          <w:tcPr>
            <w:tcW w:type="dxa" w:w="2551"/>
            <w:vAlign w:val="top"/>
            <w:shd w:fill="D9EAF7"/>
          </w:tcPr>
          <w:p>
            <w:pPr>
              <w:spacing w:after="0" w:line="240" w:lineRule="auto"/>
            </w:pPr>
            <w:r/>
            <w:r>
              <w:rPr>
                <w:rFonts w:ascii="Liberation Serif" w:hAnsi="Liberation Serif" w:eastAsia="Liberation Serif"/>
                <w:b/>
                <w:sz w:val="16"/>
              </w:rPr>
              <w:t>Amount (Rs.)</w:t>
            </w:r>
          </w:p>
        </w:tc>
      </w:tr>
      <w:tr>
        <w:tc>
          <w:tcPr>
            <w:tcW w:type="dxa" w:w="6520"/>
            <w:vAlign w:val="top"/>
          </w:tcPr>
          <w:p>
            <w:pPr>
              <w:spacing w:after="0" w:line="240" w:lineRule="auto"/>
            </w:pPr>
            <w:r/>
            <w:r>
              <w:rPr>
                <w:rFonts w:ascii="Liberation Serif" w:hAnsi="Liberation Serif" w:eastAsia="Liberation Serif"/>
                <w:b w:val="0"/>
                <w:sz w:val="16"/>
              </w:rPr>
              <w:t>Amounts included in income:</w:t>
            </w:r>
          </w:p>
        </w:tc>
        <w:tc>
          <w:tcPr>
            <w:tcW w:type="dxa" w:w="2551"/>
            <w:vAlign w:val="top"/>
          </w:tcPr>
          <w:p>
            <w:pPr>
              <w:spacing w:after="0" w:line="240" w:lineRule="auto"/>
            </w:pPr>
            <w:r/>
            <w:r>
              <w:rPr>
                <w:rFonts w:ascii="Liberation Serif" w:hAnsi="Liberation Serif" w:eastAsia="Liberation Serif"/>
                <w:b w:val="0"/>
                <w:sz w:val="16"/>
              </w:rPr>
            </w:r>
          </w:p>
        </w:tc>
      </w:tr>
      <w:tr>
        <w:tc>
          <w:tcPr>
            <w:tcW w:type="dxa" w:w="6520"/>
            <w:vAlign w:val="top"/>
          </w:tcPr>
          <w:p>
            <w:pPr>
              <w:spacing w:after="0" w:line="240" w:lineRule="auto"/>
            </w:pPr>
            <w:r/>
            <w:r>
              <w:rPr>
                <w:rFonts w:ascii="Liberation Serif" w:hAnsi="Liberation Serif" w:eastAsia="Liberation Serif"/>
                <w:b w:val="0"/>
                <w:sz w:val="16"/>
              </w:rPr>
              <w:t>Previous year's unexpired risk reserve</w:t>
            </w:r>
          </w:p>
        </w:tc>
        <w:tc>
          <w:tcPr>
            <w:tcW w:type="dxa" w:w="2551"/>
            <w:vAlign w:val="top"/>
          </w:tcPr>
          <w:p>
            <w:pPr>
              <w:spacing w:after="0" w:line="240" w:lineRule="auto"/>
            </w:pPr>
            <w:r/>
            <w:r>
              <w:rPr>
                <w:rFonts w:ascii="Liberation Serif" w:hAnsi="Liberation Serif" w:eastAsia="Liberation Serif"/>
                <w:b w:val="0"/>
                <w:sz w:val="16"/>
              </w:rPr>
              <w:t>150,000</w:t>
            </w:r>
          </w:p>
        </w:tc>
      </w:tr>
      <w:tr>
        <w:tc>
          <w:tcPr>
            <w:tcW w:type="dxa" w:w="6520"/>
            <w:vAlign w:val="top"/>
          </w:tcPr>
          <w:p>
            <w:pPr>
              <w:spacing w:after="0" w:line="240" w:lineRule="auto"/>
            </w:pPr>
            <w:r/>
            <w:r>
              <w:rPr>
                <w:rFonts w:ascii="Liberation Serif" w:hAnsi="Liberation Serif" w:eastAsia="Liberation Serif"/>
                <w:b w:val="0"/>
                <w:sz w:val="16"/>
              </w:rPr>
              <w:t>Previous year's reserve for unsettled claims</w:t>
            </w:r>
          </w:p>
        </w:tc>
        <w:tc>
          <w:tcPr>
            <w:tcW w:type="dxa" w:w="2551"/>
            <w:vAlign w:val="top"/>
          </w:tcPr>
          <w:p>
            <w:pPr>
              <w:spacing w:after="0" w:line="240" w:lineRule="auto"/>
            </w:pPr>
            <w:r/>
            <w:r>
              <w:rPr>
                <w:rFonts w:ascii="Liberation Serif" w:hAnsi="Liberation Serif" w:eastAsia="Liberation Serif"/>
                <w:b w:val="0"/>
                <w:sz w:val="16"/>
              </w:rPr>
              <w:t>23,000</w:t>
            </w:r>
          </w:p>
        </w:tc>
      </w:tr>
      <w:tr>
        <w:tc>
          <w:tcPr>
            <w:tcW w:type="dxa" w:w="6520"/>
            <w:vAlign w:val="top"/>
          </w:tcPr>
          <w:p>
            <w:pPr>
              <w:spacing w:after="0" w:line="240" w:lineRule="auto"/>
            </w:pPr>
            <w:r/>
            <w:r>
              <w:rPr>
                <w:rFonts w:ascii="Liberation Serif" w:hAnsi="Liberation Serif" w:eastAsia="Liberation Serif"/>
                <w:b w:val="0"/>
                <w:sz w:val="16"/>
              </w:rPr>
              <w:t>Net insurance premium</w:t>
            </w:r>
          </w:p>
        </w:tc>
        <w:tc>
          <w:tcPr>
            <w:tcW w:type="dxa" w:w="2551"/>
            <w:vAlign w:val="top"/>
          </w:tcPr>
          <w:p>
            <w:pPr>
              <w:spacing w:after="0" w:line="240" w:lineRule="auto"/>
            </w:pPr>
            <w:r/>
            <w:r>
              <w:rPr>
                <w:rFonts w:ascii="Liberation Serif" w:hAnsi="Liberation Serif" w:eastAsia="Liberation Serif"/>
                <w:b w:val="0"/>
                <w:sz w:val="16"/>
              </w:rPr>
              <w:t>400,000</w:t>
            </w:r>
          </w:p>
        </w:tc>
      </w:tr>
      <w:tr>
        <w:tc>
          <w:tcPr>
            <w:tcW w:type="dxa" w:w="6520"/>
            <w:vAlign w:val="top"/>
          </w:tcPr>
          <w:p>
            <w:pPr>
              <w:spacing w:after="0" w:line="240" w:lineRule="auto"/>
            </w:pPr>
            <w:r/>
            <w:r>
              <w:rPr>
                <w:rFonts w:ascii="Liberation Serif" w:hAnsi="Liberation Serif" w:eastAsia="Liberation Serif"/>
                <w:b w:val="0"/>
                <w:sz w:val="16"/>
              </w:rPr>
              <w:t>Reinsurance commission income</w:t>
            </w:r>
          </w:p>
        </w:tc>
        <w:tc>
          <w:tcPr>
            <w:tcW w:type="dxa" w:w="2551"/>
            <w:vAlign w:val="top"/>
          </w:tcPr>
          <w:p>
            <w:pPr>
              <w:spacing w:after="0" w:line="240" w:lineRule="auto"/>
            </w:pPr>
            <w:r/>
            <w:r>
              <w:rPr>
                <w:rFonts w:ascii="Liberation Serif" w:hAnsi="Liberation Serif" w:eastAsia="Liberation Serif"/>
                <w:b w:val="0"/>
                <w:sz w:val="16"/>
              </w:rPr>
              <w:t>20,000</w:t>
            </w:r>
          </w:p>
        </w:tc>
      </w:tr>
      <w:tr>
        <w:tc>
          <w:tcPr>
            <w:tcW w:type="dxa" w:w="6520"/>
            <w:vAlign w:val="top"/>
          </w:tcPr>
          <w:p>
            <w:pPr>
              <w:spacing w:after="0" w:line="240" w:lineRule="auto"/>
            </w:pPr>
            <w:r/>
            <w:r>
              <w:rPr>
                <w:rFonts w:ascii="Liberation Serif" w:hAnsi="Liberation Serif" w:eastAsia="Liberation Serif"/>
                <w:b w:val="0"/>
                <w:sz w:val="16"/>
              </w:rPr>
              <w:t>Interest from investment</w:t>
            </w:r>
          </w:p>
        </w:tc>
        <w:tc>
          <w:tcPr>
            <w:tcW w:type="dxa" w:w="2551"/>
            <w:vAlign w:val="top"/>
          </w:tcPr>
          <w:p>
            <w:pPr>
              <w:spacing w:after="0" w:line="240" w:lineRule="auto"/>
            </w:pPr>
            <w:r/>
            <w:r>
              <w:rPr>
                <w:rFonts w:ascii="Liberation Serif" w:hAnsi="Liberation Serif" w:eastAsia="Liberation Serif"/>
                <w:b w:val="0"/>
                <w:sz w:val="16"/>
              </w:rPr>
              <w:t>50,000</w:t>
            </w:r>
          </w:p>
        </w:tc>
      </w:tr>
      <w:tr>
        <w:tc>
          <w:tcPr>
            <w:tcW w:type="dxa" w:w="6520"/>
            <w:vAlign w:val="top"/>
          </w:tcPr>
          <w:p>
            <w:pPr>
              <w:spacing w:after="0" w:line="240" w:lineRule="auto"/>
            </w:pPr>
            <w:r/>
            <w:r>
              <w:rPr>
                <w:rFonts w:ascii="Liberation Serif" w:hAnsi="Liberation Serif" w:eastAsia="Liberation Serif"/>
                <w:b w:val="0"/>
                <w:sz w:val="16"/>
              </w:rPr>
              <w:t>Miscellaneous income</w:t>
            </w:r>
          </w:p>
        </w:tc>
        <w:tc>
          <w:tcPr>
            <w:tcW w:type="dxa" w:w="2551"/>
            <w:vAlign w:val="top"/>
          </w:tcPr>
          <w:p>
            <w:pPr>
              <w:spacing w:after="0" w:line="240" w:lineRule="auto"/>
            </w:pPr>
            <w:r/>
            <w:r>
              <w:rPr>
                <w:rFonts w:ascii="Liberation Serif" w:hAnsi="Liberation Serif" w:eastAsia="Liberation Serif"/>
                <w:b w:val="0"/>
                <w:sz w:val="16"/>
              </w:rPr>
              <w:t>25,000</w:t>
            </w:r>
          </w:p>
        </w:tc>
      </w:tr>
      <w:tr>
        <w:tc>
          <w:tcPr>
            <w:tcW w:type="dxa" w:w="6520"/>
            <w:vAlign w:val="top"/>
          </w:tcPr>
          <w:p>
            <w:pPr>
              <w:spacing w:after="0" w:line="240" w:lineRule="auto"/>
            </w:pPr>
            <w:r/>
            <w:r>
              <w:rPr>
                <w:rFonts w:ascii="Liberation Serif" w:hAnsi="Liberation Serif" w:eastAsia="Liberation Serif"/>
                <w:b w:val="0"/>
                <w:sz w:val="16"/>
              </w:rPr>
              <w:t>Total amounts included (A)</w:t>
            </w:r>
          </w:p>
        </w:tc>
        <w:tc>
          <w:tcPr>
            <w:tcW w:type="dxa" w:w="2551"/>
            <w:vAlign w:val="top"/>
          </w:tcPr>
          <w:p>
            <w:pPr>
              <w:spacing w:after="0" w:line="240" w:lineRule="auto"/>
            </w:pPr>
            <w:r/>
            <w:r>
              <w:rPr>
                <w:rFonts w:ascii="Liberation Serif" w:hAnsi="Liberation Serif" w:eastAsia="Liberation Serif"/>
                <w:b w:val="0"/>
                <w:sz w:val="16"/>
              </w:rPr>
              <w:t>668,000</w:t>
            </w:r>
          </w:p>
        </w:tc>
      </w:tr>
      <w:tr>
        <w:tc>
          <w:tcPr>
            <w:tcW w:type="dxa" w:w="6520"/>
            <w:vAlign w:val="top"/>
          </w:tcPr>
          <w:p>
            <w:pPr>
              <w:spacing w:after="0" w:line="240" w:lineRule="auto"/>
            </w:pPr>
            <w:r/>
            <w:r>
              <w:rPr>
                <w:rFonts w:ascii="Liberation Serif" w:hAnsi="Liberation Serif" w:eastAsia="Liberation Serif"/>
                <w:b w:val="0"/>
                <w:sz w:val="16"/>
              </w:rPr>
              <w:t>Deductions:</w:t>
            </w:r>
          </w:p>
        </w:tc>
        <w:tc>
          <w:tcPr>
            <w:tcW w:type="dxa" w:w="2551"/>
            <w:vAlign w:val="top"/>
          </w:tcPr>
          <w:p>
            <w:pPr>
              <w:spacing w:after="0" w:line="240" w:lineRule="auto"/>
            </w:pPr>
            <w:r/>
            <w:r>
              <w:rPr>
                <w:rFonts w:ascii="Liberation Serif" w:hAnsi="Liberation Serif" w:eastAsia="Liberation Serif"/>
                <w:b w:val="0"/>
                <w:sz w:val="16"/>
              </w:rPr>
            </w:r>
          </w:p>
        </w:tc>
      </w:tr>
      <w:tr>
        <w:tc>
          <w:tcPr>
            <w:tcW w:type="dxa" w:w="6520"/>
            <w:vAlign w:val="top"/>
          </w:tcPr>
          <w:p>
            <w:pPr>
              <w:spacing w:after="0" w:line="240" w:lineRule="auto"/>
            </w:pPr>
            <w:r/>
            <w:r>
              <w:rPr>
                <w:rFonts w:ascii="Liberation Serif" w:hAnsi="Liberation Serif" w:eastAsia="Liberation Serif"/>
                <w:b w:val="0"/>
                <w:sz w:val="16"/>
              </w:rPr>
              <w:t>Insurance claims paid - Section 60</w:t>
            </w:r>
          </w:p>
        </w:tc>
        <w:tc>
          <w:tcPr>
            <w:tcW w:type="dxa" w:w="2551"/>
            <w:vAlign w:val="top"/>
          </w:tcPr>
          <w:p>
            <w:pPr>
              <w:spacing w:after="0" w:line="240" w:lineRule="auto"/>
            </w:pPr>
            <w:r/>
            <w:r>
              <w:rPr>
                <w:rFonts w:ascii="Liberation Serif" w:hAnsi="Liberation Serif" w:eastAsia="Liberation Serif"/>
                <w:b w:val="0"/>
                <w:sz w:val="16"/>
              </w:rPr>
              <w:t>100,000</w:t>
            </w:r>
          </w:p>
        </w:tc>
      </w:tr>
      <w:tr>
        <w:tc>
          <w:tcPr>
            <w:tcW w:type="dxa" w:w="6520"/>
            <w:vAlign w:val="top"/>
          </w:tcPr>
          <w:p>
            <w:pPr>
              <w:spacing w:after="0" w:line="240" w:lineRule="auto"/>
            </w:pPr>
            <w:r/>
            <w:r>
              <w:rPr>
                <w:rFonts w:ascii="Liberation Serif" w:hAnsi="Liberation Serif" w:eastAsia="Liberation Serif"/>
                <w:b w:val="0"/>
                <w:sz w:val="16"/>
              </w:rPr>
              <w:t>Agent commission - Section 13</w:t>
            </w:r>
          </w:p>
        </w:tc>
        <w:tc>
          <w:tcPr>
            <w:tcW w:type="dxa" w:w="2551"/>
            <w:vAlign w:val="top"/>
          </w:tcPr>
          <w:p>
            <w:pPr>
              <w:spacing w:after="0" w:line="240" w:lineRule="auto"/>
            </w:pPr>
            <w:r/>
            <w:r>
              <w:rPr>
                <w:rFonts w:ascii="Liberation Serif" w:hAnsi="Liberation Serif" w:eastAsia="Liberation Serif"/>
                <w:b w:val="0"/>
                <w:sz w:val="16"/>
              </w:rPr>
              <w:t>15,000</w:t>
            </w:r>
          </w:p>
        </w:tc>
      </w:tr>
      <w:tr>
        <w:tc>
          <w:tcPr>
            <w:tcW w:type="dxa" w:w="6520"/>
            <w:vAlign w:val="top"/>
          </w:tcPr>
          <w:p>
            <w:pPr>
              <w:spacing w:after="0" w:line="240" w:lineRule="auto"/>
            </w:pPr>
            <w:r/>
            <w:r>
              <w:rPr>
                <w:rFonts w:ascii="Liberation Serif" w:hAnsi="Liberation Serif" w:eastAsia="Liberation Serif"/>
                <w:b w:val="0"/>
                <w:sz w:val="16"/>
              </w:rPr>
              <w:t>Reinsurance commission paid - Section 13</w:t>
            </w:r>
          </w:p>
        </w:tc>
        <w:tc>
          <w:tcPr>
            <w:tcW w:type="dxa" w:w="2551"/>
            <w:vAlign w:val="top"/>
          </w:tcPr>
          <w:p>
            <w:pPr>
              <w:spacing w:after="0" w:line="240" w:lineRule="auto"/>
            </w:pPr>
            <w:r/>
            <w:r>
              <w:rPr>
                <w:rFonts w:ascii="Liberation Serif" w:hAnsi="Liberation Serif" w:eastAsia="Liberation Serif"/>
                <w:b w:val="0"/>
                <w:sz w:val="16"/>
              </w:rPr>
              <w:t>10,000</w:t>
            </w:r>
          </w:p>
        </w:tc>
      </w:tr>
      <w:tr>
        <w:tc>
          <w:tcPr>
            <w:tcW w:type="dxa" w:w="6520"/>
            <w:vAlign w:val="top"/>
          </w:tcPr>
          <w:p>
            <w:pPr>
              <w:spacing w:after="0" w:line="240" w:lineRule="auto"/>
            </w:pPr>
            <w:r/>
            <w:r>
              <w:rPr>
                <w:rFonts w:ascii="Liberation Serif" w:hAnsi="Liberation Serif" w:eastAsia="Liberation Serif"/>
                <w:b w:val="0"/>
                <w:sz w:val="16"/>
              </w:rPr>
              <w:t>Management expense - Sections 13, 14 and 16</w:t>
            </w:r>
          </w:p>
        </w:tc>
        <w:tc>
          <w:tcPr>
            <w:tcW w:type="dxa" w:w="2551"/>
            <w:vAlign w:val="top"/>
          </w:tcPr>
          <w:p>
            <w:pPr>
              <w:spacing w:after="0" w:line="240" w:lineRule="auto"/>
            </w:pPr>
            <w:r/>
            <w:r>
              <w:rPr>
                <w:rFonts w:ascii="Liberation Serif" w:hAnsi="Liberation Serif" w:eastAsia="Liberation Serif"/>
                <w:b w:val="0"/>
                <w:sz w:val="16"/>
              </w:rPr>
              <w:t>100,000</w:t>
            </w:r>
          </w:p>
        </w:tc>
      </w:tr>
      <w:tr>
        <w:tc>
          <w:tcPr>
            <w:tcW w:type="dxa" w:w="6520"/>
            <w:vAlign w:val="top"/>
          </w:tcPr>
          <w:p>
            <w:pPr>
              <w:spacing w:after="0" w:line="240" w:lineRule="auto"/>
            </w:pPr>
            <w:r/>
            <w:r>
              <w:rPr>
                <w:rFonts w:ascii="Liberation Serif" w:hAnsi="Liberation Serif" w:eastAsia="Liberation Serif"/>
                <w:b w:val="0"/>
                <w:sz w:val="16"/>
              </w:rPr>
              <w:t>Allowable depreciation - Section 19</w:t>
            </w:r>
          </w:p>
        </w:tc>
        <w:tc>
          <w:tcPr>
            <w:tcW w:type="dxa" w:w="2551"/>
            <w:vAlign w:val="top"/>
          </w:tcPr>
          <w:p>
            <w:pPr>
              <w:spacing w:after="0" w:line="240" w:lineRule="auto"/>
            </w:pPr>
            <w:r/>
            <w:r>
              <w:rPr>
                <w:rFonts w:ascii="Liberation Serif" w:hAnsi="Liberation Serif" w:eastAsia="Liberation Serif"/>
                <w:b w:val="0"/>
                <w:sz w:val="16"/>
              </w:rPr>
              <w:t>60,000</w:t>
            </w:r>
          </w:p>
        </w:tc>
      </w:tr>
      <w:tr>
        <w:tc>
          <w:tcPr>
            <w:tcW w:type="dxa" w:w="6520"/>
            <w:vAlign w:val="top"/>
          </w:tcPr>
          <w:p>
            <w:pPr>
              <w:spacing w:after="0" w:line="240" w:lineRule="auto"/>
            </w:pPr>
            <w:r/>
            <w:r>
              <w:rPr>
                <w:rFonts w:ascii="Liberation Serif" w:hAnsi="Liberation Serif" w:eastAsia="Liberation Serif"/>
                <w:b w:val="0"/>
                <w:sz w:val="16"/>
              </w:rPr>
              <w:t>Reserve for unsettled claims: Rs. 30,000 x 115%</w:t>
            </w:r>
          </w:p>
        </w:tc>
        <w:tc>
          <w:tcPr>
            <w:tcW w:type="dxa" w:w="2551"/>
            <w:vAlign w:val="top"/>
          </w:tcPr>
          <w:p>
            <w:pPr>
              <w:spacing w:after="0" w:line="240" w:lineRule="auto"/>
            </w:pPr>
            <w:r/>
            <w:r>
              <w:rPr>
                <w:rFonts w:ascii="Liberation Serif" w:hAnsi="Liberation Serif" w:eastAsia="Liberation Serif"/>
                <w:b w:val="0"/>
                <w:sz w:val="16"/>
              </w:rPr>
              <w:t>34,500</w:t>
            </w:r>
          </w:p>
        </w:tc>
      </w:tr>
      <w:tr>
        <w:tc>
          <w:tcPr>
            <w:tcW w:type="dxa" w:w="6520"/>
            <w:vAlign w:val="top"/>
          </w:tcPr>
          <w:p>
            <w:pPr>
              <w:spacing w:after="0" w:line="240" w:lineRule="auto"/>
            </w:pPr>
            <w:r/>
            <w:r>
              <w:rPr>
                <w:rFonts w:ascii="Liberation Serif" w:hAnsi="Liberation Serif" w:eastAsia="Liberation Serif"/>
                <w:b w:val="0"/>
                <w:sz w:val="16"/>
              </w:rPr>
              <w:t>Current year unexpired risk reserve: 50% of Rs. 400,000</w:t>
            </w:r>
          </w:p>
        </w:tc>
        <w:tc>
          <w:tcPr>
            <w:tcW w:type="dxa" w:w="2551"/>
            <w:vAlign w:val="top"/>
          </w:tcPr>
          <w:p>
            <w:pPr>
              <w:spacing w:after="0" w:line="240" w:lineRule="auto"/>
            </w:pPr>
            <w:r/>
            <w:r>
              <w:rPr>
                <w:rFonts w:ascii="Liberation Serif" w:hAnsi="Liberation Serif" w:eastAsia="Liberation Serif"/>
                <w:b w:val="0"/>
                <w:sz w:val="16"/>
              </w:rPr>
              <w:t>200,000</w:t>
            </w:r>
          </w:p>
        </w:tc>
      </w:tr>
      <w:tr>
        <w:tc>
          <w:tcPr>
            <w:tcW w:type="dxa" w:w="6520"/>
            <w:vAlign w:val="top"/>
          </w:tcPr>
          <w:p>
            <w:pPr>
              <w:spacing w:after="0" w:line="240" w:lineRule="auto"/>
            </w:pPr>
            <w:r/>
            <w:r>
              <w:rPr>
                <w:rFonts w:ascii="Liberation Serif" w:hAnsi="Liberation Serif" w:eastAsia="Liberation Serif"/>
                <w:b w:val="0"/>
                <w:sz w:val="16"/>
              </w:rPr>
              <w:t>Total deductions (B)</w:t>
            </w:r>
          </w:p>
        </w:tc>
        <w:tc>
          <w:tcPr>
            <w:tcW w:type="dxa" w:w="2551"/>
            <w:vAlign w:val="top"/>
          </w:tcPr>
          <w:p>
            <w:pPr>
              <w:spacing w:after="0" w:line="240" w:lineRule="auto"/>
            </w:pPr>
            <w:r/>
            <w:r>
              <w:rPr>
                <w:rFonts w:ascii="Liberation Serif" w:hAnsi="Liberation Serif" w:eastAsia="Liberation Serif"/>
                <w:b w:val="0"/>
                <w:sz w:val="16"/>
              </w:rPr>
              <w:t>519,500</w:t>
            </w:r>
          </w:p>
        </w:tc>
      </w:tr>
      <w:tr>
        <w:tc>
          <w:tcPr>
            <w:tcW w:type="dxa" w:w="6520"/>
            <w:vAlign w:val="top"/>
          </w:tcPr>
          <w:p>
            <w:pPr>
              <w:spacing w:after="0" w:line="240" w:lineRule="auto"/>
            </w:pPr>
            <w:r/>
            <w:r>
              <w:rPr>
                <w:rFonts w:ascii="Liberation Serif" w:hAnsi="Liberation Serif" w:eastAsia="Liberation Serif"/>
                <w:b w:val="0"/>
                <w:sz w:val="16"/>
              </w:rPr>
              <w:t>Income (A - B)</w:t>
            </w:r>
          </w:p>
        </w:tc>
        <w:tc>
          <w:tcPr>
            <w:tcW w:type="dxa" w:w="2551"/>
            <w:vAlign w:val="top"/>
          </w:tcPr>
          <w:p>
            <w:pPr>
              <w:spacing w:after="0" w:line="240" w:lineRule="auto"/>
            </w:pPr>
            <w:r/>
            <w:r>
              <w:rPr>
                <w:rFonts w:ascii="Liberation Serif" w:hAnsi="Liberation Serif" w:eastAsia="Liberation Serif"/>
                <w:b w:val="0"/>
                <w:sz w:val="16"/>
              </w:rPr>
              <w:t>148,500</w:t>
            </w:r>
          </w:p>
        </w:tc>
      </w:tr>
    </w:tbl>
    <w:p/>
    <w:p>
      <w:pPr>
        <w:spacing w:after="80" w:line="252" w:lineRule="auto"/>
      </w:pPr>
      <w:r>
        <w:rPr>
          <w:rFonts w:ascii="Liberation Serif" w:hAnsi="Liberation Serif" w:eastAsia="Liberation Serif"/>
          <w:b w:val="0"/>
          <w:i w:val="0"/>
          <w:sz w:val="21"/>
        </w:rPr>
        <w:t>The amounts transferred to the risk-bearing fund and claimed as deduction in the above example - reserve for unsettled claims of Rs. 34,500 and unexpired risk reserve of Rs. 200,000 - must be included in income of income year 2081/82.</w:t>
      </w:r>
    </w:p>
    <w:p>
      <w:pPr>
        <w:pStyle w:val="Heading2"/>
      </w:pPr>
      <w:r>
        <w:t>19.4 Special Provision for Investment Insurance Business</w:t>
      </w:r>
    </w:p>
    <w:p>
      <w:pPr>
        <w:pStyle w:val="Heading3"/>
      </w:pPr>
      <w:r>
        <w:t>19.4.1 Income of investment insurance business</w:t>
      </w:r>
    </w:p>
    <w:p>
      <w:pPr>
        <w:spacing w:after="80" w:line="252" w:lineRule="auto"/>
      </w:pPr>
      <w:r>
        <w:rPr>
          <w:rFonts w:ascii="Liberation Serif" w:hAnsi="Liberation Serif" w:eastAsia="Liberation Serif"/>
          <w:b w:val="0"/>
          <w:i w:val="0"/>
          <w:sz w:val="21"/>
        </w:rPr>
        <w:t>Section 61(1) provides that, when computing the income or loss of a person from investment insurance business for an income year, the investment insurance business must be treated as a business separate from any other business carried on by that person.</w:t>
      </w:r>
    </w:p>
    <w:p>
      <w:pPr>
        <w:spacing w:after="80" w:line="252" w:lineRule="auto"/>
      </w:pPr>
      <w:r>
        <w:rPr>
          <w:rFonts w:ascii="Liberation Serif" w:hAnsi="Liberation Serif" w:eastAsia="Liberation Serif"/>
          <w:b w:val="0"/>
          <w:i w:val="0"/>
          <w:sz w:val="21"/>
        </w:rPr>
        <w:t>Under Section 2(kaga), “investment insurance” means the following insurance:</w:t>
      </w:r>
    </w:p>
    <w:p>
      <w:pPr>
        <w:pStyle w:val="ListNumber"/>
        <w:spacing w:after="40" w:line="240" w:lineRule="auto"/>
      </w:pPr>
      <w:r>
        <w:rPr>
          <w:rFonts w:ascii="Liberation Serif" w:hAnsi="Liberation Serif" w:eastAsia="Liberation Serif"/>
          <w:sz w:val="20"/>
        </w:rPr>
        <w:t>Insurance relating to the death of the insured person or an associate of the insured person.</w:t>
      </w:r>
    </w:p>
    <w:p>
      <w:pPr>
        <w:pStyle w:val="ListNumber"/>
        <w:spacing w:after="40" w:line="240" w:lineRule="auto"/>
      </w:pPr>
      <w:r>
        <w:rPr>
          <w:rFonts w:ascii="Liberation Serif" w:hAnsi="Liberation Serif" w:eastAsia="Liberation Serif"/>
          <w:sz w:val="20"/>
        </w:rPr>
        <w:t>Insurance relating to personal injury of the insured person or that person's associate, or an event causing incapacity in a specified manner, provided that the insurance contract remains in force for at least five years or has no specified term, and cannot be terminated by the insurer before five years except in special circumstances specified in the contract.</w:t>
      </w:r>
    </w:p>
    <w:p>
      <w:pPr>
        <w:pStyle w:val="ListNumber"/>
        <w:spacing w:after="40" w:line="240" w:lineRule="auto"/>
      </w:pPr>
      <w:r>
        <w:rPr>
          <w:rFonts w:ascii="Liberation Serif" w:hAnsi="Liberation Serif" w:eastAsia="Liberation Serif"/>
          <w:sz w:val="20"/>
        </w:rPr>
        <w:t>Insurance under which an amount or a series of amounts is payable to the insured in the future.</w:t>
      </w:r>
    </w:p>
    <w:p>
      <w:pPr>
        <w:pStyle w:val="ListNumber"/>
        <w:spacing w:after="40" w:line="240" w:lineRule="auto"/>
      </w:pPr>
      <w:r>
        <w:rPr>
          <w:rFonts w:ascii="Liberation Serif" w:hAnsi="Liberation Serif" w:eastAsia="Liberation Serif"/>
          <w:sz w:val="20"/>
        </w:rPr>
        <w:t>Reinsurance of insurance falling under subparagraphs (1), (2) or (3).</w:t>
      </w:r>
    </w:p>
    <w:p>
      <w:pPr>
        <w:pStyle w:val="ListNumber"/>
        <w:spacing w:after="40" w:line="240" w:lineRule="auto"/>
      </w:pPr>
      <w:r>
        <w:rPr>
          <w:rFonts w:ascii="Liberation Serif" w:hAnsi="Liberation Serif" w:eastAsia="Liberation Serif"/>
          <w:sz w:val="20"/>
        </w:rPr>
        <w:t>Reinsurance of the reinsurance mentioned in subparagraph (4).</w:t>
      </w:r>
    </w:p>
    <w:p>
      <w:pPr>
        <w:spacing w:after="80" w:line="252" w:lineRule="auto"/>
      </w:pPr>
      <w:r>
        <w:rPr>
          <w:rFonts w:ascii="Liberation Serif" w:hAnsi="Liberation Serif" w:eastAsia="Liberation Serif"/>
          <w:b w:val="0"/>
          <w:i w:val="0"/>
          <w:sz w:val="21"/>
        </w:rPr>
        <w:t>Examples of investment insurance include life insurance, endowment policy and superannuation-type contracts. Although accidental insurance and medical insurance relate to life or physical risk, if the contract period is less than five years, they do not fall within investment insurance. If such insurance has a contract period exceeding five years, it falls within the definition of investment insurance.</w:t>
      </w:r>
    </w:p>
    <w:p>
      <w:pPr>
        <w:pStyle w:val="Heading3"/>
      </w:pPr>
      <w:r>
        <w:t>19.4.2 Method of computing income of investment insurance</w:t>
      </w:r>
    </w:p>
    <w:p>
      <w:pPr>
        <w:spacing w:after="80" w:line="252" w:lineRule="auto"/>
      </w:pPr>
      <w:r>
        <w:rPr>
          <w:rFonts w:ascii="Liberation Serif" w:hAnsi="Liberation Serif" w:eastAsia="Liberation Serif"/>
          <w:b w:val="0"/>
          <w:i w:val="0"/>
          <w:sz w:val="21"/>
        </w:rPr>
        <w:t>Section 61(2), 61(3) and 61(4) provide the special rules for computing income of a person carrying on investment insurance business.</w:t>
      </w:r>
    </w:p>
    <w:tbl>
      <w:tblPr>
        <w:tblStyle w:val="TableGrid"/>
        <w:tblW w:type="auto" w:w="0"/>
        <w:jc w:val="center"/>
        <w:tblLook w:firstColumn="1" w:firstRow="1" w:lastColumn="0" w:lastRow="0" w:noHBand="0" w:noVBand="1" w:val="04A0"/>
      </w:tblPr>
      <w:tblGrid>
        <w:gridCol w:w="5213"/>
        <w:gridCol w:w="5213"/>
      </w:tblGrid>
      <w:tr>
        <w:trPr>
          <w:tblHeader w:val="true"/>
        </w:trPr>
        <w:tc>
          <w:tcPr>
            <w:tcW w:type="dxa" w:w="2041"/>
            <w:vAlign w:val="top"/>
            <w:shd w:fill="D9EAF7"/>
          </w:tcPr>
          <w:p>
            <w:pPr>
              <w:spacing w:after="0" w:line="240" w:lineRule="auto"/>
            </w:pPr>
            <w:r/>
            <w:r>
              <w:rPr>
                <w:rFonts w:ascii="Liberation Serif" w:hAnsi="Liberation Serif" w:eastAsia="Liberation Serif"/>
                <w:b/>
                <w:sz w:val="16"/>
              </w:rPr>
              <w:t>Provision</w:t>
            </w:r>
          </w:p>
        </w:tc>
        <w:tc>
          <w:tcPr>
            <w:tcW w:type="dxa" w:w="7030"/>
            <w:vAlign w:val="top"/>
            <w:shd w:fill="D9EAF7"/>
          </w:tcPr>
          <w:p>
            <w:pPr>
              <w:spacing w:after="0" w:line="240" w:lineRule="auto"/>
            </w:pPr>
            <w:r/>
            <w:r>
              <w:rPr>
                <w:rFonts w:ascii="Liberation Serif" w:hAnsi="Liberation Serif" w:eastAsia="Liberation Serif"/>
                <w:b/>
                <w:sz w:val="16"/>
              </w:rPr>
              <w:t>Rule</w:t>
            </w:r>
          </w:p>
        </w:tc>
      </w:tr>
      <w:tr>
        <w:tc>
          <w:tcPr>
            <w:tcW w:type="dxa" w:w="2041"/>
            <w:vAlign w:val="top"/>
          </w:tcPr>
          <w:p>
            <w:pPr>
              <w:spacing w:after="0" w:line="240" w:lineRule="auto"/>
            </w:pPr>
            <w:r/>
            <w:r>
              <w:rPr>
                <w:rFonts w:ascii="Liberation Serif" w:hAnsi="Liberation Serif" w:eastAsia="Liberation Serif"/>
                <w:b w:val="0"/>
                <w:sz w:val="16"/>
              </w:rPr>
              <w:t>Section 61(2)(a)</w:t>
            </w:r>
          </w:p>
        </w:tc>
        <w:tc>
          <w:tcPr>
            <w:tcW w:type="dxa" w:w="7030"/>
            <w:vAlign w:val="top"/>
          </w:tcPr>
          <w:p>
            <w:pPr>
              <w:spacing w:after="0" w:line="240" w:lineRule="auto"/>
            </w:pPr>
            <w:r/>
            <w:r>
              <w:rPr>
                <w:rFonts w:ascii="Liberation Serif" w:hAnsi="Liberation Serif" w:eastAsia="Liberation Serif"/>
                <w:b w:val="0"/>
                <w:sz w:val="16"/>
              </w:rPr>
              <w:t>In computing income, amounts that may otherwise be included under the Act are included except: (i) amounts received during the income year as insurance premium, including reinsurance premium, in carrying on the business; and (ii) amounts received during the year under reinsurance, guarantee, security or indemnity contracts in respect of payments covered by Section 61(2)(b)(1).</w:t>
            </w:r>
          </w:p>
        </w:tc>
      </w:tr>
      <w:tr>
        <w:tc>
          <w:tcPr>
            <w:tcW w:type="dxa" w:w="2041"/>
            <w:vAlign w:val="top"/>
          </w:tcPr>
          <w:p>
            <w:pPr>
              <w:spacing w:after="0" w:line="240" w:lineRule="auto"/>
            </w:pPr>
            <w:r/>
            <w:r>
              <w:rPr>
                <w:rFonts w:ascii="Liberation Serif" w:hAnsi="Liberation Serif" w:eastAsia="Liberation Serif"/>
                <w:b w:val="0"/>
                <w:sz w:val="16"/>
              </w:rPr>
              <w:t>Section 61(2)(b)</w:t>
            </w:r>
          </w:p>
        </w:tc>
        <w:tc>
          <w:tcPr>
            <w:tcW w:type="dxa" w:w="7030"/>
            <w:vAlign w:val="top"/>
          </w:tcPr>
          <w:p>
            <w:pPr>
              <w:spacing w:after="0" w:line="240" w:lineRule="auto"/>
            </w:pPr>
            <w:r/>
            <w:r>
              <w:rPr>
                <w:rFonts w:ascii="Liberation Serif" w:hAnsi="Liberation Serif" w:eastAsia="Liberation Serif"/>
                <w:b w:val="0"/>
                <w:sz w:val="16"/>
              </w:rPr>
              <w:t>In computing income, amounts otherwise deductible under the Act are deducted except: (i) payments made by the person in the capacity of insurer while carrying on the business; and (ii) premiums mentioned in Section 61(2)(a)(1) that are refunded to the insured.</w:t>
            </w:r>
          </w:p>
        </w:tc>
      </w:tr>
      <w:tr>
        <w:tc>
          <w:tcPr>
            <w:tcW w:type="dxa" w:w="2041"/>
            <w:vAlign w:val="top"/>
          </w:tcPr>
          <w:p>
            <w:pPr>
              <w:spacing w:after="0" w:line="240" w:lineRule="auto"/>
            </w:pPr>
            <w:r/>
            <w:r>
              <w:rPr>
                <w:rFonts w:ascii="Liberation Serif" w:hAnsi="Liberation Serif" w:eastAsia="Liberation Serif"/>
                <w:b w:val="0"/>
                <w:sz w:val="16"/>
              </w:rPr>
              <w:t>Section 61(3)</w:t>
            </w:r>
          </w:p>
        </w:tc>
        <w:tc>
          <w:tcPr>
            <w:tcW w:type="dxa" w:w="7030"/>
            <w:vAlign w:val="top"/>
          </w:tcPr>
          <w:p>
            <w:pPr>
              <w:spacing w:after="0" w:line="240" w:lineRule="auto"/>
            </w:pPr>
            <w:r/>
            <w:r>
              <w:rPr>
                <w:rFonts w:ascii="Liberation Serif" w:hAnsi="Liberation Serif" w:eastAsia="Liberation Serif"/>
                <w:b w:val="0"/>
                <w:sz w:val="16"/>
              </w:rPr>
              <w:t>The amounts mentioned in Section 61(2)(a)(1) and (2) and Section 61(2)(b)(1) and (2) are not treated as incomings or outgoings for the person's assets or liabilities.</w:t>
            </w:r>
          </w:p>
        </w:tc>
      </w:tr>
      <w:tr>
        <w:tc>
          <w:tcPr>
            <w:tcW w:type="dxa" w:w="2041"/>
            <w:vAlign w:val="top"/>
          </w:tcPr>
          <w:p>
            <w:pPr>
              <w:spacing w:after="0" w:line="240" w:lineRule="auto"/>
            </w:pPr>
            <w:r/>
            <w:r>
              <w:rPr>
                <w:rFonts w:ascii="Liberation Serif" w:hAnsi="Liberation Serif" w:eastAsia="Liberation Serif"/>
                <w:b w:val="0"/>
                <w:sz w:val="16"/>
              </w:rPr>
              <w:t>Section 61(4)</w:t>
            </w:r>
          </w:p>
        </w:tc>
        <w:tc>
          <w:tcPr>
            <w:tcW w:type="dxa" w:w="7030"/>
            <w:vAlign w:val="top"/>
          </w:tcPr>
          <w:p>
            <w:pPr>
              <w:spacing w:after="0" w:line="240" w:lineRule="auto"/>
            </w:pPr>
            <w:r/>
            <w:r>
              <w:rPr>
                <w:rFonts w:ascii="Liberation Serif" w:hAnsi="Liberation Serif" w:eastAsia="Liberation Serif"/>
                <w:b w:val="0"/>
                <w:sz w:val="16"/>
              </w:rPr>
              <w:t>An investment insurance contract of a person's investment insurance business is not treated as an asset or liability of that person.</w:t>
            </w:r>
          </w:p>
        </w:tc>
      </w:tr>
    </w:tbl>
    <w:p/>
    <w:p>
      <w:pPr>
        <w:spacing w:after="80" w:line="252" w:lineRule="auto"/>
      </w:pPr>
      <w:r>
        <w:rPr>
          <w:rFonts w:ascii="Liberation Serif" w:hAnsi="Liberation Serif" w:eastAsia="Liberation Serif"/>
          <w:b w:val="0"/>
          <w:i w:val="0"/>
          <w:sz w:val="21"/>
        </w:rPr>
        <w:t>Although premiums received in general insurance business are treated as income of that business, premiums deposited by the insured under an insurance policy in the context of investment insurance are not treated as the income of the insurer for income-tax purposes. Under Section 61(3), such premium receipts are also not treated as incomings in respect of the insurer's liabilities or assets. Therefore, premiums received by an entity carrying on investment insurance business are accounted for as the entity's capital. Similarly, reimbursements, reinsurance premiums and similar receipts under the insurance policy are also not treated as income; they are treated as capital.</w:t>
      </w:r>
    </w:p>
    <w:p>
      <w:pPr>
        <w:spacing w:after="80" w:line="252" w:lineRule="auto"/>
      </w:pPr>
      <w:r>
        <w:rPr>
          <w:rFonts w:ascii="Liberation Serif" w:hAnsi="Liberation Serif" w:eastAsia="Liberation Serif"/>
          <w:b w:val="0"/>
          <w:i w:val="0"/>
          <w:sz w:val="21"/>
        </w:rPr>
        <w:t>Likewise, amounts paid by the insurer in the capacity of insurer, and premiums returned to the insured, are not treated as deductible expenses or as outgoings in respect of an asset or liability. Therefore, for income-tax purposes, a person carrying on investment insurance business includes ordinary income such as interest income and miscellaneous income, and may claim ordinary expenses such as management expenses, interest expense, depreciation expense and commission expense.</w:t>
      </w:r>
    </w:p>
    <w:tbl>
      <w:tblPr>
        <w:tblStyle w:val="TableGrid"/>
        <w:tblW w:type="auto" w:w="0"/>
        <w:jc w:val="center"/>
        <w:tblLook w:firstColumn="1" w:firstRow="1" w:lastColumn="0" w:lastRow="0" w:noHBand="0" w:noVBand="1" w:val="04A0"/>
      </w:tblPr>
      <w:tblGrid>
        <w:gridCol w:w="2606"/>
        <w:gridCol w:w="2606"/>
        <w:gridCol w:w="2606"/>
        <w:gridCol w:w="2606"/>
      </w:tblGrid>
      <w:tr>
        <w:trPr>
          <w:tblHeader w:val="true"/>
        </w:trPr>
        <w:tc>
          <w:tcPr>
            <w:tcW w:type="dxa" w:w="2381"/>
            <w:vAlign w:val="top"/>
            <w:shd w:fill="D9EAF7"/>
          </w:tcPr>
          <w:p>
            <w:pPr>
              <w:spacing w:after="0" w:line="240" w:lineRule="auto"/>
            </w:pPr>
            <w:r/>
            <w:r>
              <w:rPr>
                <w:rFonts w:ascii="Liberation Serif" w:hAnsi="Liberation Serif" w:eastAsia="Liberation Serif"/>
                <w:b/>
                <w:sz w:val="16"/>
              </w:rPr>
              <w:t>Capital and liabilities</w:t>
            </w:r>
          </w:p>
        </w:tc>
        <w:tc>
          <w:tcPr>
            <w:tcW w:type="dxa" w:w="2381"/>
            <w:vAlign w:val="top"/>
            <w:shd w:fill="D9EAF7"/>
          </w:tcPr>
          <w:p>
            <w:pPr>
              <w:spacing w:after="0" w:line="240" w:lineRule="auto"/>
            </w:pPr>
            <w:r/>
            <w:r>
              <w:rPr>
                <w:rFonts w:ascii="Liberation Serif" w:hAnsi="Liberation Serif" w:eastAsia="Liberation Serif"/>
                <w:b/>
                <w:sz w:val="16"/>
              </w:rPr>
              <w:t>Tax base</w:t>
            </w:r>
          </w:p>
        </w:tc>
        <w:tc>
          <w:tcPr>
            <w:tcW w:type="dxa" w:w="2268"/>
            <w:vAlign w:val="top"/>
            <w:shd w:fill="D9EAF7"/>
          </w:tcPr>
          <w:p>
            <w:pPr>
              <w:spacing w:after="0" w:line="240" w:lineRule="auto"/>
            </w:pPr>
            <w:r/>
            <w:r>
              <w:rPr>
                <w:rFonts w:ascii="Liberation Serif" w:hAnsi="Liberation Serif" w:eastAsia="Liberation Serif"/>
                <w:b/>
                <w:sz w:val="16"/>
              </w:rPr>
              <w:t>Assets</w:t>
            </w:r>
          </w:p>
        </w:tc>
        <w:tc>
          <w:tcPr>
            <w:tcW w:type="dxa" w:w="2041"/>
            <w:vAlign w:val="top"/>
            <w:shd w:fill="D9EAF7"/>
          </w:tcPr>
          <w:p>
            <w:pPr>
              <w:spacing w:after="0" w:line="240" w:lineRule="auto"/>
            </w:pPr>
            <w:r/>
            <w:r>
              <w:rPr>
                <w:rFonts w:ascii="Liberation Serif" w:hAnsi="Liberation Serif" w:eastAsia="Liberation Serif"/>
                <w:b/>
                <w:sz w:val="16"/>
              </w:rPr>
              <w:t>Tax base</w:t>
            </w:r>
          </w:p>
        </w:tc>
      </w:tr>
      <w:tr>
        <w:tc>
          <w:tcPr>
            <w:tcW w:type="dxa" w:w="2381"/>
            <w:vAlign w:val="top"/>
          </w:tcPr>
          <w:p>
            <w:pPr>
              <w:spacing w:after="0" w:line="240" w:lineRule="auto"/>
            </w:pPr>
            <w:r/>
            <w:r>
              <w:rPr>
                <w:rFonts w:ascii="Liberation Serif" w:hAnsi="Liberation Serif" w:eastAsia="Liberation Serif"/>
                <w:b w:val="0"/>
                <w:sz w:val="16"/>
              </w:rPr>
              <w:t>Share capital</w:t>
            </w:r>
          </w:p>
        </w:tc>
        <w:tc>
          <w:tcPr>
            <w:tcW w:type="dxa" w:w="2381"/>
            <w:vAlign w:val="top"/>
          </w:tcPr>
          <w:p>
            <w:pPr>
              <w:spacing w:after="0" w:line="240" w:lineRule="auto"/>
            </w:pPr>
            <w:r/>
            <w:r>
              <w:rPr>
                <w:rFonts w:ascii="Liberation Serif" w:hAnsi="Liberation Serif" w:eastAsia="Liberation Serif"/>
                <w:b w:val="0"/>
                <w:sz w:val="16"/>
              </w:rPr>
              <w:t>Paid-up capital amount</w:t>
            </w:r>
          </w:p>
        </w:tc>
        <w:tc>
          <w:tcPr>
            <w:tcW w:type="dxa" w:w="2268"/>
            <w:vAlign w:val="top"/>
          </w:tcPr>
          <w:p>
            <w:pPr>
              <w:spacing w:after="0" w:line="240" w:lineRule="auto"/>
            </w:pPr>
            <w:r>
              <w:t>Depreciable property</w:t>
            </w:r>
            <w:r>
              <w:rPr>
                <w:rFonts w:ascii="Liberation Serif" w:hAnsi="Liberation Serif" w:eastAsia="Liberation Serif"/>
                <w:b w:val="0"/>
                <w:sz w:val="16"/>
              </w:rPr>
            </w:r>
          </w:p>
        </w:tc>
        <w:tc>
          <w:tcPr>
            <w:tcW w:type="dxa" w:w="2041"/>
            <w:vAlign w:val="top"/>
          </w:tcPr>
          <w:p>
            <w:pPr>
              <w:spacing w:after="0" w:line="240" w:lineRule="auto"/>
            </w:pPr>
            <w:r/>
            <w:r>
              <w:rPr>
                <w:rFonts w:ascii="Liberation Serif" w:hAnsi="Liberation Serif" w:eastAsia="Liberation Serif"/>
                <w:b w:val="0"/>
                <w:sz w:val="16"/>
              </w:rPr>
              <w:t>As per Schedule 2</w:t>
            </w:r>
          </w:p>
        </w:tc>
      </w:tr>
      <w:tr>
        <w:tc>
          <w:tcPr>
            <w:tcW w:type="dxa" w:w="2381"/>
            <w:vAlign w:val="top"/>
          </w:tcPr>
          <w:p>
            <w:pPr>
              <w:spacing w:after="0" w:line="240" w:lineRule="auto"/>
            </w:pPr>
            <w:r/>
            <w:r>
              <w:rPr>
                <w:rFonts w:ascii="Liberation Serif" w:hAnsi="Liberation Serif" w:eastAsia="Liberation Serif"/>
                <w:b w:val="0"/>
                <w:sz w:val="16"/>
              </w:rPr>
              <w:t>Reserve and profit</w:t>
            </w:r>
          </w:p>
        </w:tc>
        <w:tc>
          <w:tcPr>
            <w:tcW w:type="dxa" w:w="2381"/>
            <w:vAlign w:val="top"/>
          </w:tcPr>
          <w:p>
            <w:pPr>
              <w:spacing w:after="0" w:line="240" w:lineRule="auto"/>
            </w:pPr>
            <w:r/>
            <w:r>
              <w:rPr>
                <w:rFonts w:ascii="Liberation Serif" w:hAnsi="Liberation Serif" w:eastAsia="Liberation Serif"/>
                <w:b w:val="0"/>
                <w:sz w:val="16"/>
              </w:rPr>
              <w:t>Tax-paid taxable income</w:t>
            </w:r>
          </w:p>
        </w:tc>
        <w:tc>
          <w:tcPr>
            <w:tcW w:type="dxa" w:w="2268"/>
            <w:vAlign w:val="top"/>
          </w:tcPr>
          <w:p>
            <w:pPr>
              <w:spacing w:after="0" w:line="240" w:lineRule="auto"/>
            </w:pPr>
            <w:r/>
            <w:r>
              <w:rPr>
                <w:rFonts w:ascii="Liberation Serif" w:hAnsi="Liberation Serif" w:eastAsia="Liberation Serif"/>
                <w:b w:val="0"/>
                <w:sz w:val="16"/>
              </w:rPr>
              <w:t>Business assets</w:t>
            </w:r>
          </w:p>
        </w:tc>
        <w:tc>
          <w:tcPr>
            <w:tcW w:type="dxa" w:w="2041"/>
            <w:vAlign w:val="top"/>
          </w:tcPr>
          <w:p>
            <w:pPr>
              <w:spacing w:after="0" w:line="240" w:lineRule="auto"/>
            </w:pPr>
            <w:r/>
            <w:r>
              <w:rPr>
                <w:rFonts w:ascii="Liberation Serif" w:hAnsi="Liberation Serif" w:eastAsia="Liberation Serif"/>
                <w:b w:val="0"/>
                <w:sz w:val="16"/>
              </w:rPr>
              <w:t>As per Section 38(2)</w:t>
            </w:r>
          </w:p>
        </w:tc>
      </w:tr>
      <w:tr>
        <w:tc>
          <w:tcPr>
            <w:tcW w:type="dxa" w:w="2381"/>
            <w:vAlign w:val="top"/>
          </w:tcPr>
          <w:p>
            <w:pPr>
              <w:spacing w:after="0" w:line="240" w:lineRule="auto"/>
            </w:pPr>
            <w:r/>
            <w:r>
              <w:rPr>
                <w:rFonts w:ascii="Liberation Serif" w:hAnsi="Liberation Serif" w:eastAsia="Liberation Serif"/>
                <w:b w:val="0"/>
                <w:sz w:val="16"/>
              </w:rPr>
              <w:t>Investment premium of investors</w:t>
            </w:r>
          </w:p>
        </w:tc>
        <w:tc>
          <w:tcPr>
            <w:tcW w:type="dxa" w:w="2381"/>
            <w:vAlign w:val="top"/>
          </w:tcPr>
          <w:p>
            <w:pPr>
              <w:spacing w:after="0" w:line="240" w:lineRule="auto"/>
            </w:pPr>
            <w:r/>
            <w:r>
              <w:rPr>
                <w:rFonts w:ascii="Liberation Serif" w:hAnsi="Liberation Serif" w:eastAsia="Liberation Serif"/>
                <w:b w:val="0"/>
                <w:sz w:val="16"/>
              </w:rPr>
              <w:t>Amount paid up</w:t>
            </w:r>
          </w:p>
        </w:tc>
        <w:tc>
          <w:tcPr>
            <w:tcW w:type="dxa" w:w="2268"/>
            <w:vAlign w:val="top"/>
          </w:tcPr>
          <w:p>
            <w:pPr>
              <w:spacing w:after="0" w:line="240" w:lineRule="auto"/>
            </w:pPr>
            <w:r/>
            <w:r>
              <w:rPr>
                <w:rFonts w:ascii="Liberation Serif" w:hAnsi="Liberation Serif" w:eastAsia="Liberation Serif"/>
                <w:b w:val="0"/>
                <w:sz w:val="16"/>
              </w:rPr>
            </w:r>
          </w:p>
        </w:tc>
        <w:tc>
          <w:tcPr>
            <w:tcW w:type="dxa" w:w="2041"/>
            <w:vAlign w:val="top"/>
          </w:tcPr>
          <w:p>
            <w:pPr>
              <w:spacing w:after="0" w:line="240" w:lineRule="auto"/>
            </w:pPr>
            <w:r/>
            <w:r>
              <w:rPr>
                <w:rFonts w:ascii="Liberation Serif" w:hAnsi="Liberation Serif" w:eastAsia="Liberation Serif"/>
                <w:b w:val="0"/>
                <w:sz w:val="16"/>
              </w:rPr>
            </w:r>
          </w:p>
        </w:tc>
      </w:tr>
      <w:tr>
        <w:tc>
          <w:tcPr>
            <w:tcW w:type="dxa" w:w="2381"/>
            <w:vAlign w:val="top"/>
          </w:tcPr>
          <w:p>
            <w:pPr>
              <w:spacing w:after="0" w:line="240" w:lineRule="auto"/>
            </w:pPr>
            <w:r/>
            <w:r>
              <w:rPr>
                <w:rFonts w:ascii="Liberation Serif" w:hAnsi="Liberation Serif" w:eastAsia="Liberation Serif"/>
                <w:b w:val="0"/>
                <w:sz w:val="16"/>
              </w:rPr>
              <w:t>Insurance fund</w:t>
            </w:r>
          </w:p>
        </w:tc>
        <w:tc>
          <w:tcPr>
            <w:tcW w:type="dxa" w:w="2381"/>
            <w:vAlign w:val="top"/>
          </w:tcPr>
          <w:p>
            <w:pPr>
              <w:spacing w:after="0" w:line="240" w:lineRule="auto"/>
            </w:pPr>
            <w:r/>
            <w:r>
              <w:rPr>
                <w:rFonts w:ascii="Liberation Serif" w:hAnsi="Liberation Serif" w:eastAsia="Liberation Serif"/>
                <w:b w:val="0"/>
                <w:sz w:val="16"/>
              </w:rPr>
              <w:t>Amount included in the fund</w:t>
            </w:r>
          </w:p>
        </w:tc>
        <w:tc>
          <w:tcPr>
            <w:tcW w:type="dxa" w:w="2268"/>
            <w:vAlign w:val="top"/>
          </w:tcPr>
          <w:p>
            <w:pPr>
              <w:spacing w:after="0" w:line="240" w:lineRule="auto"/>
            </w:pPr>
            <w:r/>
            <w:r>
              <w:rPr>
                <w:rFonts w:ascii="Liberation Serif" w:hAnsi="Liberation Serif" w:eastAsia="Liberation Serif"/>
                <w:b w:val="0"/>
                <w:sz w:val="16"/>
              </w:rPr>
            </w:r>
          </w:p>
        </w:tc>
        <w:tc>
          <w:tcPr>
            <w:tcW w:type="dxa" w:w="2041"/>
            <w:vAlign w:val="top"/>
          </w:tcPr>
          <w:p>
            <w:pPr>
              <w:spacing w:after="0" w:line="240" w:lineRule="auto"/>
            </w:pPr>
            <w:r/>
            <w:r>
              <w:rPr>
                <w:rFonts w:ascii="Liberation Serif" w:hAnsi="Liberation Serif" w:eastAsia="Liberation Serif"/>
                <w:b w:val="0"/>
                <w:sz w:val="16"/>
              </w:rPr>
            </w:r>
          </w:p>
        </w:tc>
      </w:tr>
      <w:tr>
        <w:tc>
          <w:tcPr>
            <w:tcW w:type="dxa" w:w="2381"/>
            <w:vAlign w:val="top"/>
          </w:tcPr>
          <w:p>
            <w:pPr>
              <w:spacing w:after="0" w:line="240" w:lineRule="auto"/>
            </w:pPr>
            <w:r/>
            <w:r>
              <w:rPr>
                <w:rFonts w:ascii="Liberation Serif" w:hAnsi="Liberation Serif" w:eastAsia="Liberation Serif"/>
                <w:b w:val="0"/>
                <w:sz w:val="16"/>
              </w:rPr>
              <w:t>Other liabilities</w:t>
            </w:r>
          </w:p>
        </w:tc>
        <w:tc>
          <w:tcPr>
            <w:tcW w:type="dxa" w:w="2381"/>
            <w:vAlign w:val="top"/>
          </w:tcPr>
          <w:p>
            <w:pPr>
              <w:spacing w:after="0" w:line="240" w:lineRule="auto"/>
            </w:pPr>
            <w:r/>
            <w:r>
              <w:rPr>
                <w:rFonts w:ascii="Liberation Serif" w:hAnsi="Liberation Serif" w:eastAsia="Liberation Serif"/>
                <w:b w:val="0"/>
                <w:sz w:val="16"/>
              </w:rPr>
              <w:t>As per Section 39(2)</w:t>
            </w:r>
          </w:p>
        </w:tc>
        <w:tc>
          <w:tcPr>
            <w:tcW w:type="dxa" w:w="2268"/>
            <w:vAlign w:val="top"/>
          </w:tcPr>
          <w:p>
            <w:pPr>
              <w:spacing w:after="0" w:line="240" w:lineRule="auto"/>
            </w:pPr>
            <w:r/>
            <w:r>
              <w:rPr>
                <w:rFonts w:ascii="Liberation Serif" w:hAnsi="Liberation Serif" w:eastAsia="Liberation Serif"/>
                <w:b w:val="0"/>
                <w:sz w:val="16"/>
              </w:rPr>
            </w:r>
          </w:p>
        </w:tc>
        <w:tc>
          <w:tcPr>
            <w:tcW w:type="dxa" w:w="2041"/>
            <w:vAlign w:val="top"/>
          </w:tcPr>
          <w:p>
            <w:pPr>
              <w:spacing w:after="0" w:line="240" w:lineRule="auto"/>
            </w:pPr>
            <w:r/>
            <w:r>
              <w:rPr>
                <w:rFonts w:ascii="Liberation Serif" w:hAnsi="Liberation Serif" w:eastAsia="Liberation Serif"/>
                <w:b w:val="0"/>
                <w:sz w:val="16"/>
              </w:rPr>
            </w:r>
          </w:p>
        </w:tc>
      </w:tr>
      <w:tr>
        <w:tc>
          <w:tcPr>
            <w:tcW w:type="dxa" w:w="2381"/>
            <w:vAlign w:val="top"/>
          </w:tcPr>
          <w:p>
            <w:pPr>
              <w:spacing w:after="0" w:line="240" w:lineRule="auto"/>
            </w:pPr>
            <w:r/>
            <w:r>
              <w:rPr>
                <w:rFonts w:ascii="Liberation Serif" w:hAnsi="Liberation Serif" w:eastAsia="Liberation Serif"/>
                <w:b w:val="0"/>
                <w:sz w:val="16"/>
              </w:rPr>
              <w:t>Total capital and liabilities</w:t>
            </w:r>
          </w:p>
        </w:tc>
        <w:tc>
          <w:tcPr>
            <w:tcW w:type="dxa" w:w="2381"/>
            <w:vAlign w:val="top"/>
          </w:tcPr>
          <w:p>
            <w:pPr>
              <w:spacing w:after="0" w:line="240" w:lineRule="auto"/>
            </w:pPr>
            <w:r/>
            <w:r>
              <w:rPr>
                <w:rFonts w:ascii="Liberation Serif" w:hAnsi="Liberation Serif" w:eastAsia="Liberation Serif"/>
                <w:b w:val="0"/>
                <w:sz w:val="16"/>
              </w:rPr>
            </w:r>
          </w:p>
        </w:tc>
        <w:tc>
          <w:tcPr>
            <w:tcW w:type="dxa" w:w="2268"/>
            <w:vAlign w:val="top"/>
          </w:tcPr>
          <w:p>
            <w:pPr>
              <w:spacing w:after="0" w:line="240" w:lineRule="auto"/>
            </w:pPr>
            <w:r/>
            <w:r>
              <w:rPr>
                <w:rFonts w:ascii="Liberation Serif" w:hAnsi="Liberation Serif" w:eastAsia="Liberation Serif"/>
                <w:b w:val="0"/>
                <w:sz w:val="16"/>
              </w:rPr>
              <w:t>Total assets</w:t>
            </w:r>
          </w:p>
        </w:tc>
        <w:tc>
          <w:tcPr>
            <w:tcW w:type="dxa" w:w="2041"/>
            <w:vAlign w:val="top"/>
          </w:tcPr>
          <w:p>
            <w:pPr>
              <w:spacing w:after="0" w:line="240" w:lineRule="auto"/>
            </w:pPr>
            <w:r/>
            <w:r>
              <w:rPr>
                <w:rFonts w:ascii="Liberation Serif" w:hAnsi="Liberation Serif" w:eastAsia="Liberation Serif"/>
                <w:b w:val="0"/>
                <w:sz w:val="16"/>
              </w:rPr>
            </w:r>
          </w:p>
        </w:tc>
      </w:tr>
    </w:tbl>
    <w:p/>
    <w:p>
      <w:pPr>
        <w:spacing w:after="80" w:line="252" w:lineRule="auto"/>
      </w:pPr>
      <w:r>
        <w:rPr>
          <w:rFonts w:ascii="Liberation Serif" w:hAnsi="Liberation Serif" w:eastAsia="Liberation Serif"/>
          <w:b w:val="0"/>
          <w:i w:val="0"/>
          <w:sz w:val="21"/>
        </w:rPr>
        <w:t>Because the tax accounting concept and financial accounting concept differ significantly for investment insurance business, temporary differences and deferred tax may arise in most accounts of such business. The following example illustrates the concept.</w:t>
      </w:r>
    </w:p>
    <w:tbl>
      <w:tblPr>
        <w:tblStyle w:val="TableGrid"/>
        <w:tblW w:type="auto" w:w="0"/>
        <w:jc w:val="center"/>
        <w:tblLook w:firstColumn="1" w:firstRow="1" w:lastColumn="0" w:lastRow="0" w:noHBand="0" w:noVBand="1" w:val="04A0"/>
      </w:tblPr>
      <w:tblGrid>
        <w:gridCol w:w="5213"/>
        <w:gridCol w:w="5213"/>
      </w:tblGrid>
      <w:tr>
        <w:trPr>
          <w:tblHeader w:val="true"/>
        </w:trPr>
        <w:tc>
          <w:tcPr>
            <w:tcW w:type="dxa" w:w="6520"/>
            <w:vAlign w:val="top"/>
            <w:shd w:fill="D9EAF7"/>
          </w:tcPr>
          <w:p>
            <w:pPr>
              <w:spacing w:after="0" w:line="240" w:lineRule="auto"/>
            </w:pPr>
            <w:r/>
            <w:r>
              <w:rPr>
                <w:rFonts w:ascii="Liberation Serif" w:hAnsi="Liberation Serif" w:eastAsia="Liberation Serif"/>
                <w:b/>
                <w:sz w:val="16"/>
              </w:rPr>
              <w:t>Example 19.4.1 - Swarnim Life Insurance Company Ltd.</w:t>
            </w:r>
          </w:p>
        </w:tc>
        <w:tc>
          <w:tcPr>
            <w:tcW w:type="dxa" w:w="2551"/>
            <w:vAlign w:val="top"/>
            <w:shd w:fill="D9EAF7"/>
          </w:tcPr>
          <w:p>
            <w:pPr>
              <w:spacing w:after="0" w:line="240" w:lineRule="auto"/>
            </w:pPr>
            <w:r/>
            <w:r>
              <w:rPr>
                <w:rFonts w:ascii="Liberation Serif" w:hAnsi="Liberation Serif" w:eastAsia="Liberation Serif"/>
                <w:b/>
                <w:sz w:val="16"/>
              </w:rPr>
              <w:t>Amount (Rs.)</w:t>
            </w:r>
          </w:p>
        </w:tc>
      </w:tr>
      <w:tr>
        <w:tc>
          <w:tcPr>
            <w:tcW w:type="dxa" w:w="6520"/>
            <w:vAlign w:val="top"/>
          </w:tcPr>
          <w:p>
            <w:pPr>
              <w:spacing w:after="0" w:line="240" w:lineRule="auto"/>
            </w:pPr>
            <w:r/>
            <w:r>
              <w:rPr>
                <w:rFonts w:ascii="Liberation Serif" w:hAnsi="Liberation Serif" w:eastAsia="Liberation Serif"/>
                <w:b w:val="0"/>
                <w:sz w:val="16"/>
              </w:rPr>
              <w:t>Net insurance premium received</w:t>
            </w:r>
          </w:p>
        </w:tc>
        <w:tc>
          <w:tcPr>
            <w:tcW w:type="dxa" w:w="2551"/>
            <w:vAlign w:val="top"/>
          </w:tcPr>
          <w:p>
            <w:pPr>
              <w:spacing w:after="0" w:line="240" w:lineRule="auto"/>
            </w:pPr>
            <w:r/>
            <w:r>
              <w:rPr>
                <w:rFonts w:ascii="Liberation Serif" w:hAnsi="Liberation Serif" w:eastAsia="Liberation Serif"/>
                <w:b w:val="0"/>
                <w:sz w:val="16"/>
              </w:rPr>
              <w:t>1,000,000</w:t>
            </w:r>
          </w:p>
        </w:tc>
      </w:tr>
      <w:tr>
        <w:tc>
          <w:tcPr>
            <w:tcW w:type="dxa" w:w="6520"/>
            <w:vAlign w:val="top"/>
          </w:tcPr>
          <w:p>
            <w:pPr>
              <w:spacing w:after="0" w:line="240" w:lineRule="auto"/>
            </w:pPr>
            <w:r/>
            <w:r>
              <w:rPr>
                <w:rFonts w:ascii="Liberation Serif" w:hAnsi="Liberation Serif" w:eastAsia="Liberation Serif"/>
                <w:b w:val="0"/>
                <w:sz w:val="16"/>
              </w:rPr>
              <w:t>Total insurance policy value</w:t>
            </w:r>
          </w:p>
        </w:tc>
        <w:tc>
          <w:tcPr>
            <w:tcW w:type="dxa" w:w="2551"/>
            <w:vAlign w:val="top"/>
          </w:tcPr>
          <w:p>
            <w:pPr>
              <w:spacing w:after="0" w:line="240" w:lineRule="auto"/>
            </w:pPr>
            <w:r/>
            <w:r>
              <w:rPr>
                <w:rFonts w:ascii="Liberation Serif" w:hAnsi="Liberation Serif" w:eastAsia="Liberation Serif"/>
                <w:b w:val="0"/>
                <w:sz w:val="16"/>
              </w:rPr>
              <w:t>50,000,000</w:t>
            </w:r>
          </w:p>
        </w:tc>
      </w:tr>
      <w:tr>
        <w:tc>
          <w:tcPr>
            <w:tcW w:type="dxa" w:w="6520"/>
            <w:vAlign w:val="top"/>
          </w:tcPr>
          <w:p>
            <w:pPr>
              <w:spacing w:after="0" w:line="240" w:lineRule="auto"/>
            </w:pPr>
            <w:r/>
            <w:r>
              <w:rPr>
                <w:rFonts w:ascii="Liberation Serif" w:hAnsi="Liberation Serif" w:eastAsia="Liberation Serif"/>
                <w:b w:val="0"/>
                <w:sz w:val="16"/>
              </w:rPr>
              <w:t>Commission expense paid for taking reinsurance</w:t>
            </w:r>
          </w:p>
        </w:tc>
        <w:tc>
          <w:tcPr>
            <w:tcW w:type="dxa" w:w="2551"/>
            <w:vAlign w:val="top"/>
          </w:tcPr>
          <w:p>
            <w:pPr>
              <w:spacing w:after="0" w:line="240" w:lineRule="auto"/>
            </w:pPr>
            <w:r/>
            <w:r>
              <w:rPr>
                <w:rFonts w:ascii="Liberation Serif" w:hAnsi="Liberation Serif" w:eastAsia="Liberation Serif"/>
                <w:b w:val="0"/>
                <w:sz w:val="16"/>
              </w:rPr>
              <w:t>10,000</w:t>
            </w:r>
          </w:p>
        </w:tc>
      </w:tr>
      <w:tr>
        <w:tc>
          <w:tcPr>
            <w:tcW w:type="dxa" w:w="6520"/>
            <w:vAlign w:val="top"/>
          </w:tcPr>
          <w:p>
            <w:pPr>
              <w:spacing w:after="0" w:line="240" w:lineRule="auto"/>
            </w:pPr>
            <w:r/>
            <w:r>
              <w:rPr>
                <w:rFonts w:ascii="Liberation Serif" w:hAnsi="Liberation Serif" w:eastAsia="Liberation Serif"/>
                <w:b w:val="0"/>
                <w:sz w:val="16"/>
              </w:rPr>
              <w:t>Commission received for reinsurance ceded</w:t>
            </w:r>
          </w:p>
        </w:tc>
        <w:tc>
          <w:tcPr>
            <w:tcW w:type="dxa" w:w="2551"/>
            <w:vAlign w:val="top"/>
          </w:tcPr>
          <w:p>
            <w:pPr>
              <w:spacing w:after="0" w:line="240" w:lineRule="auto"/>
            </w:pPr>
            <w:r/>
            <w:r>
              <w:rPr>
                <w:rFonts w:ascii="Liberation Serif" w:hAnsi="Liberation Serif" w:eastAsia="Liberation Serif"/>
                <w:b w:val="0"/>
                <w:sz w:val="16"/>
              </w:rPr>
              <w:t>15,000</w:t>
            </w:r>
          </w:p>
        </w:tc>
      </w:tr>
      <w:tr>
        <w:tc>
          <w:tcPr>
            <w:tcW w:type="dxa" w:w="6520"/>
            <w:vAlign w:val="top"/>
          </w:tcPr>
          <w:p>
            <w:pPr>
              <w:spacing w:after="0" w:line="240" w:lineRule="auto"/>
            </w:pPr>
            <w:r/>
            <w:r>
              <w:rPr>
                <w:rFonts w:ascii="Liberation Serif" w:hAnsi="Liberation Serif" w:eastAsia="Liberation Serif"/>
                <w:b w:val="0"/>
                <w:sz w:val="16"/>
              </w:rPr>
              <w:t>Interest income from investments and loans</w:t>
            </w:r>
          </w:p>
        </w:tc>
        <w:tc>
          <w:tcPr>
            <w:tcW w:type="dxa" w:w="2551"/>
            <w:vAlign w:val="top"/>
          </w:tcPr>
          <w:p>
            <w:pPr>
              <w:spacing w:after="0" w:line="240" w:lineRule="auto"/>
            </w:pPr>
            <w:r/>
            <w:r>
              <w:rPr>
                <w:rFonts w:ascii="Liberation Serif" w:hAnsi="Liberation Serif" w:eastAsia="Liberation Serif"/>
                <w:b w:val="0"/>
                <w:sz w:val="16"/>
              </w:rPr>
              <w:t>2,000,000</w:t>
            </w:r>
          </w:p>
        </w:tc>
      </w:tr>
      <w:tr>
        <w:tc>
          <w:tcPr>
            <w:tcW w:type="dxa" w:w="6520"/>
            <w:vAlign w:val="top"/>
          </w:tcPr>
          <w:p>
            <w:pPr>
              <w:spacing w:after="0" w:line="240" w:lineRule="auto"/>
            </w:pPr>
            <w:r/>
            <w:r>
              <w:rPr>
                <w:rFonts w:ascii="Liberation Serif" w:hAnsi="Liberation Serif" w:eastAsia="Liberation Serif"/>
                <w:b w:val="0"/>
                <w:sz w:val="16"/>
              </w:rPr>
              <w:t>Other miscellaneous income</w:t>
            </w:r>
          </w:p>
        </w:tc>
        <w:tc>
          <w:tcPr>
            <w:tcW w:type="dxa" w:w="2551"/>
            <w:vAlign w:val="top"/>
          </w:tcPr>
          <w:p>
            <w:pPr>
              <w:spacing w:after="0" w:line="240" w:lineRule="auto"/>
            </w:pPr>
            <w:r/>
            <w:r>
              <w:rPr>
                <w:rFonts w:ascii="Liberation Serif" w:hAnsi="Liberation Serif" w:eastAsia="Liberation Serif"/>
                <w:b w:val="0"/>
                <w:sz w:val="16"/>
              </w:rPr>
              <w:t>40,000</w:t>
            </w:r>
          </w:p>
        </w:tc>
      </w:tr>
      <w:tr>
        <w:tc>
          <w:tcPr>
            <w:tcW w:type="dxa" w:w="6520"/>
            <w:vAlign w:val="top"/>
          </w:tcPr>
          <w:p>
            <w:pPr>
              <w:spacing w:after="0" w:line="240" w:lineRule="auto"/>
            </w:pPr>
            <w:r/>
            <w:r>
              <w:rPr>
                <w:rFonts w:ascii="Liberation Serif" w:hAnsi="Liberation Serif" w:eastAsia="Liberation Serif"/>
                <w:b w:val="0"/>
                <w:sz w:val="16"/>
              </w:rPr>
              <w:t>Amount added to insurance fund during the year</w:t>
            </w:r>
          </w:p>
        </w:tc>
        <w:tc>
          <w:tcPr>
            <w:tcW w:type="dxa" w:w="2551"/>
            <w:vAlign w:val="top"/>
          </w:tcPr>
          <w:p>
            <w:pPr>
              <w:spacing w:after="0" w:line="240" w:lineRule="auto"/>
            </w:pPr>
            <w:r/>
            <w:r>
              <w:rPr>
                <w:rFonts w:ascii="Liberation Serif" w:hAnsi="Liberation Serif" w:eastAsia="Liberation Serif"/>
                <w:b w:val="0"/>
                <w:sz w:val="16"/>
              </w:rPr>
              <w:t>1,500,000</w:t>
            </w:r>
          </w:p>
        </w:tc>
      </w:tr>
      <w:tr>
        <w:tc>
          <w:tcPr>
            <w:tcW w:type="dxa" w:w="6520"/>
            <w:vAlign w:val="top"/>
          </w:tcPr>
          <w:p>
            <w:pPr>
              <w:spacing w:after="0" w:line="240" w:lineRule="auto"/>
            </w:pPr>
            <w:r/>
            <w:r>
              <w:rPr>
                <w:rFonts w:ascii="Liberation Serif" w:hAnsi="Liberation Serif" w:eastAsia="Liberation Serif"/>
                <w:b w:val="0"/>
                <w:sz w:val="16"/>
              </w:rPr>
              <w:t>Payment on policy surrender after policyholder had paid premium of Rs. 300,000</w:t>
            </w:r>
          </w:p>
        </w:tc>
        <w:tc>
          <w:tcPr>
            <w:tcW w:type="dxa" w:w="2551"/>
            <w:vAlign w:val="top"/>
          </w:tcPr>
          <w:p>
            <w:pPr>
              <w:spacing w:after="0" w:line="240" w:lineRule="auto"/>
            </w:pPr>
            <w:r/>
            <w:r>
              <w:rPr>
                <w:rFonts w:ascii="Liberation Serif" w:hAnsi="Liberation Serif" w:eastAsia="Liberation Serif"/>
                <w:b w:val="0"/>
                <w:sz w:val="16"/>
              </w:rPr>
              <w:t>250,000</w:t>
            </w:r>
          </w:p>
        </w:tc>
      </w:tr>
      <w:tr>
        <w:tc>
          <w:tcPr>
            <w:tcW w:type="dxa" w:w="6520"/>
            <w:vAlign w:val="top"/>
          </w:tcPr>
          <w:p>
            <w:pPr>
              <w:spacing w:after="0" w:line="240" w:lineRule="auto"/>
            </w:pPr>
            <w:r/>
            <w:r>
              <w:rPr>
                <w:rFonts w:ascii="Liberation Serif" w:hAnsi="Liberation Serif" w:eastAsia="Liberation Serif"/>
                <w:b w:val="0"/>
                <w:sz w:val="16"/>
              </w:rPr>
              <w:t>Payment to legal heir due to death of policyholder who had deposited premium of Rs. 50,000 only</w:t>
            </w:r>
          </w:p>
        </w:tc>
        <w:tc>
          <w:tcPr>
            <w:tcW w:type="dxa" w:w="2551"/>
            <w:vAlign w:val="top"/>
          </w:tcPr>
          <w:p>
            <w:pPr>
              <w:spacing w:after="0" w:line="240" w:lineRule="auto"/>
            </w:pPr>
            <w:r/>
            <w:r>
              <w:rPr>
                <w:rFonts w:ascii="Liberation Serif" w:hAnsi="Liberation Serif" w:eastAsia="Liberation Serif"/>
                <w:b w:val="0"/>
                <w:sz w:val="16"/>
              </w:rPr>
              <w:t>400,000</w:t>
            </w:r>
          </w:p>
        </w:tc>
      </w:tr>
      <w:tr>
        <w:tc>
          <w:tcPr>
            <w:tcW w:type="dxa" w:w="6520"/>
            <w:vAlign w:val="top"/>
          </w:tcPr>
          <w:p>
            <w:pPr>
              <w:spacing w:after="0" w:line="240" w:lineRule="auto"/>
            </w:pPr>
            <w:r/>
            <w:r>
              <w:rPr>
                <w:rFonts w:ascii="Liberation Serif" w:hAnsi="Liberation Serif" w:eastAsia="Liberation Serif"/>
                <w:b w:val="0"/>
                <w:sz w:val="16"/>
              </w:rPr>
              <w:t>Payment with bonus upon maturity of policy for insured who had paid premium of Rs. 300,000</w:t>
            </w:r>
          </w:p>
        </w:tc>
        <w:tc>
          <w:tcPr>
            <w:tcW w:type="dxa" w:w="2551"/>
            <w:vAlign w:val="top"/>
          </w:tcPr>
          <w:p>
            <w:pPr>
              <w:spacing w:after="0" w:line="240" w:lineRule="auto"/>
            </w:pPr>
            <w:r/>
            <w:r>
              <w:rPr>
                <w:rFonts w:ascii="Liberation Serif" w:hAnsi="Liberation Serif" w:eastAsia="Liberation Serif"/>
                <w:b w:val="0"/>
                <w:sz w:val="16"/>
              </w:rPr>
              <w:t>550,000</w:t>
            </w:r>
          </w:p>
        </w:tc>
      </w:tr>
      <w:tr>
        <w:tc>
          <w:tcPr>
            <w:tcW w:type="dxa" w:w="6520"/>
            <w:vAlign w:val="top"/>
          </w:tcPr>
          <w:p>
            <w:pPr>
              <w:spacing w:after="0" w:line="240" w:lineRule="auto"/>
            </w:pPr>
            <w:r/>
            <w:r>
              <w:rPr>
                <w:rFonts w:ascii="Liberation Serif" w:hAnsi="Liberation Serif" w:eastAsia="Liberation Serif"/>
                <w:b w:val="0"/>
                <w:sz w:val="16"/>
              </w:rPr>
              <w:t>Agent commission</w:t>
            </w:r>
          </w:p>
        </w:tc>
        <w:tc>
          <w:tcPr>
            <w:tcW w:type="dxa" w:w="2551"/>
            <w:vAlign w:val="top"/>
          </w:tcPr>
          <w:p>
            <w:pPr>
              <w:spacing w:after="0" w:line="240" w:lineRule="auto"/>
            </w:pPr>
            <w:r/>
            <w:r>
              <w:rPr>
                <w:rFonts w:ascii="Liberation Serif" w:hAnsi="Liberation Serif" w:eastAsia="Liberation Serif"/>
                <w:b w:val="0"/>
                <w:sz w:val="16"/>
              </w:rPr>
              <w:t>100,000</w:t>
            </w:r>
          </w:p>
        </w:tc>
      </w:tr>
      <w:tr>
        <w:tc>
          <w:tcPr>
            <w:tcW w:type="dxa" w:w="6520"/>
            <w:vAlign w:val="top"/>
          </w:tcPr>
          <w:p>
            <w:pPr>
              <w:spacing w:after="0" w:line="240" w:lineRule="auto"/>
            </w:pPr>
            <w:r/>
            <w:r>
              <w:rPr>
                <w:rFonts w:ascii="Liberation Serif" w:hAnsi="Liberation Serif" w:eastAsia="Liberation Serif"/>
                <w:b w:val="0"/>
                <w:sz w:val="16"/>
              </w:rPr>
              <w:t>Management expense</w:t>
            </w:r>
          </w:p>
        </w:tc>
        <w:tc>
          <w:tcPr>
            <w:tcW w:type="dxa" w:w="2551"/>
            <w:vAlign w:val="top"/>
          </w:tcPr>
          <w:p>
            <w:pPr>
              <w:spacing w:after="0" w:line="240" w:lineRule="auto"/>
            </w:pPr>
            <w:r/>
            <w:r>
              <w:rPr>
                <w:rFonts w:ascii="Liberation Serif" w:hAnsi="Liberation Serif" w:eastAsia="Liberation Serif"/>
                <w:b w:val="0"/>
                <w:sz w:val="16"/>
              </w:rPr>
              <w:t>600,000</w:t>
            </w:r>
          </w:p>
        </w:tc>
      </w:tr>
      <w:tr>
        <w:tc>
          <w:tcPr>
            <w:tcW w:type="dxa" w:w="6520"/>
            <w:vAlign w:val="top"/>
          </w:tcPr>
          <w:p>
            <w:pPr>
              <w:spacing w:after="0" w:line="240" w:lineRule="auto"/>
            </w:pPr>
            <w:r/>
            <w:r>
              <w:rPr>
                <w:rFonts w:ascii="Liberation Serif" w:hAnsi="Liberation Serif" w:eastAsia="Liberation Serif"/>
                <w:b w:val="0"/>
                <w:sz w:val="16"/>
              </w:rPr>
              <w:t>Medical fee</w:t>
            </w:r>
          </w:p>
        </w:tc>
        <w:tc>
          <w:tcPr>
            <w:tcW w:type="dxa" w:w="2551"/>
            <w:vAlign w:val="top"/>
          </w:tcPr>
          <w:p>
            <w:pPr>
              <w:spacing w:after="0" w:line="240" w:lineRule="auto"/>
            </w:pPr>
            <w:r/>
            <w:r>
              <w:rPr>
                <w:rFonts w:ascii="Liberation Serif" w:hAnsi="Liberation Serif" w:eastAsia="Liberation Serif"/>
                <w:b w:val="0"/>
                <w:sz w:val="16"/>
              </w:rPr>
              <w:t>20,000</w:t>
            </w:r>
          </w:p>
        </w:tc>
      </w:tr>
      <w:tr>
        <w:tc>
          <w:tcPr>
            <w:tcW w:type="dxa" w:w="6520"/>
            <w:vAlign w:val="top"/>
          </w:tcPr>
          <w:p>
            <w:pPr>
              <w:spacing w:after="0" w:line="240" w:lineRule="auto"/>
            </w:pPr>
            <w:r/>
            <w:r>
              <w:rPr>
                <w:rFonts w:ascii="Liberation Serif" w:hAnsi="Liberation Serif" w:eastAsia="Liberation Serif"/>
                <w:b w:val="0"/>
                <w:sz w:val="16"/>
              </w:rPr>
              <w:t>Allowable depreciation</w:t>
            </w:r>
          </w:p>
        </w:tc>
        <w:tc>
          <w:tcPr>
            <w:tcW w:type="dxa" w:w="2551"/>
            <w:vAlign w:val="top"/>
          </w:tcPr>
          <w:p>
            <w:pPr>
              <w:spacing w:after="0" w:line="240" w:lineRule="auto"/>
            </w:pPr>
            <w:r/>
            <w:r>
              <w:rPr>
                <w:rFonts w:ascii="Liberation Serif" w:hAnsi="Liberation Serif" w:eastAsia="Liberation Serif"/>
                <w:b w:val="0"/>
                <w:sz w:val="16"/>
              </w:rPr>
              <w:t>100,000</w:t>
            </w:r>
          </w:p>
        </w:tc>
      </w:tr>
    </w:tbl>
    <w:p/>
    <w:tbl>
      <w:tblPr>
        <w:tblStyle w:val="TableGrid"/>
        <w:tblW w:type="auto" w:w="0"/>
        <w:jc w:val="center"/>
        <w:tblLook w:firstColumn="1" w:firstRow="1" w:lastColumn="0" w:lastRow="0" w:noHBand="0" w:noVBand="1" w:val="04A0"/>
      </w:tblPr>
      <w:tblGrid>
        <w:gridCol w:w="5213"/>
        <w:gridCol w:w="5213"/>
      </w:tblGrid>
      <w:tr>
        <w:trPr>
          <w:tblHeader w:val="true"/>
        </w:trPr>
        <w:tc>
          <w:tcPr>
            <w:tcW w:type="dxa" w:w="6520"/>
            <w:vAlign w:val="top"/>
            <w:shd w:fill="D9EAF7"/>
          </w:tcPr>
          <w:p>
            <w:pPr>
              <w:spacing w:after="0" w:line="240" w:lineRule="auto"/>
            </w:pPr>
            <w:r/>
            <w:r>
              <w:rPr>
                <w:rFonts w:ascii="Liberation Serif" w:hAnsi="Liberation Serif" w:eastAsia="Liberation Serif"/>
                <w:b/>
                <w:sz w:val="16"/>
              </w:rPr>
              <w:t>Computation - Example 19.4.1</w:t>
            </w:r>
          </w:p>
        </w:tc>
        <w:tc>
          <w:tcPr>
            <w:tcW w:type="dxa" w:w="2551"/>
            <w:vAlign w:val="top"/>
            <w:shd w:fill="D9EAF7"/>
          </w:tcPr>
          <w:p>
            <w:pPr>
              <w:spacing w:after="0" w:line="240" w:lineRule="auto"/>
            </w:pPr>
            <w:r/>
            <w:r>
              <w:rPr>
                <w:rFonts w:ascii="Liberation Serif" w:hAnsi="Liberation Serif" w:eastAsia="Liberation Serif"/>
                <w:b/>
                <w:sz w:val="16"/>
              </w:rPr>
              <w:t>Amount (Rs.)</w:t>
            </w:r>
          </w:p>
        </w:tc>
      </w:tr>
      <w:tr>
        <w:tc>
          <w:tcPr>
            <w:tcW w:type="dxa" w:w="6520"/>
            <w:vAlign w:val="top"/>
          </w:tcPr>
          <w:p>
            <w:pPr>
              <w:spacing w:after="0" w:line="240" w:lineRule="auto"/>
            </w:pPr>
            <w:r/>
            <w:r>
              <w:rPr>
                <w:rFonts w:ascii="Liberation Serif" w:hAnsi="Liberation Serif" w:eastAsia="Liberation Serif"/>
                <w:b w:val="0"/>
                <w:sz w:val="16"/>
              </w:rPr>
              <w:t>Amounts to be included:</w:t>
            </w:r>
          </w:p>
        </w:tc>
        <w:tc>
          <w:tcPr>
            <w:tcW w:type="dxa" w:w="2551"/>
            <w:vAlign w:val="top"/>
          </w:tcPr>
          <w:p>
            <w:pPr>
              <w:spacing w:after="0" w:line="240" w:lineRule="auto"/>
            </w:pPr>
            <w:r/>
            <w:r>
              <w:rPr>
                <w:rFonts w:ascii="Liberation Serif" w:hAnsi="Liberation Serif" w:eastAsia="Liberation Serif"/>
                <w:b w:val="0"/>
                <w:sz w:val="16"/>
              </w:rPr>
            </w:r>
          </w:p>
        </w:tc>
      </w:tr>
      <w:tr>
        <w:tc>
          <w:tcPr>
            <w:tcW w:type="dxa" w:w="6520"/>
            <w:vAlign w:val="top"/>
          </w:tcPr>
          <w:p>
            <w:pPr>
              <w:spacing w:after="0" w:line="240" w:lineRule="auto"/>
            </w:pPr>
            <w:r/>
            <w:r>
              <w:rPr>
                <w:rFonts w:ascii="Liberation Serif" w:hAnsi="Liberation Serif" w:eastAsia="Liberation Serif"/>
                <w:b w:val="0"/>
                <w:sz w:val="16"/>
              </w:rPr>
              <w:t>Interest income</w:t>
            </w:r>
          </w:p>
        </w:tc>
        <w:tc>
          <w:tcPr>
            <w:tcW w:type="dxa" w:w="2551"/>
            <w:vAlign w:val="top"/>
          </w:tcPr>
          <w:p>
            <w:pPr>
              <w:spacing w:after="0" w:line="240" w:lineRule="auto"/>
            </w:pPr>
            <w:r/>
            <w:r>
              <w:rPr>
                <w:rFonts w:ascii="Liberation Serif" w:hAnsi="Liberation Serif" w:eastAsia="Liberation Serif"/>
                <w:b w:val="0"/>
                <w:sz w:val="16"/>
              </w:rPr>
              <w:t>2,000,000</w:t>
            </w:r>
          </w:p>
        </w:tc>
      </w:tr>
      <w:tr>
        <w:tc>
          <w:tcPr>
            <w:tcW w:type="dxa" w:w="6520"/>
            <w:vAlign w:val="top"/>
          </w:tcPr>
          <w:p>
            <w:pPr>
              <w:spacing w:after="0" w:line="240" w:lineRule="auto"/>
            </w:pPr>
            <w:r/>
            <w:r>
              <w:rPr>
                <w:rFonts w:ascii="Liberation Serif" w:hAnsi="Liberation Serif" w:eastAsia="Liberation Serif"/>
                <w:b w:val="0"/>
                <w:sz w:val="16"/>
              </w:rPr>
              <w:t>Miscellaneous income</w:t>
            </w:r>
          </w:p>
        </w:tc>
        <w:tc>
          <w:tcPr>
            <w:tcW w:type="dxa" w:w="2551"/>
            <w:vAlign w:val="top"/>
          </w:tcPr>
          <w:p>
            <w:pPr>
              <w:spacing w:after="0" w:line="240" w:lineRule="auto"/>
            </w:pPr>
            <w:r/>
            <w:r>
              <w:rPr>
                <w:rFonts w:ascii="Liberation Serif" w:hAnsi="Liberation Serif" w:eastAsia="Liberation Serif"/>
                <w:b w:val="0"/>
                <w:sz w:val="16"/>
              </w:rPr>
              <w:t>40,000</w:t>
            </w:r>
          </w:p>
        </w:tc>
      </w:tr>
      <w:tr>
        <w:tc>
          <w:tcPr>
            <w:tcW w:type="dxa" w:w="6520"/>
            <w:vAlign w:val="top"/>
          </w:tcPr>
          <w:p>
            <w:pPr>
              <w:spacing w:after="0" w:line="240" w:lineRule="auto"/>
            </w:pPr>
            <w:r/>
            <w:r>
              <w:rPr>
                <w:rFonts w:ascii="Liberation Serif" w:hAnsi="Liberation Serif" w:eastAsia="Liberation Serif"/>
                <w:b w:val="0"/>
                <w:sz w:val="16"/>
              </w:rPr>
              <w:t>Commission for reinsurance ceded</w:t>
            </w:r>
          </w:p>
        </w:tc>
        <w:tc>
          <w:tcPr>
            <w:tcW w:type="dxa" w:w="2551"/>
            <w:vAlign w:val="top"/>
          </w:tcPr>
          <w:p>
            <w:pPr>
              <w:spacing w:after="0" w:line="240" w:lineRule="auto"/>
            </w:pPr>
            <w:r/>
            <w:r>
              <w:rPr>
                <w:rFonts w:ascii="Liberation Serif" w:hAnsi="Liberation Serif" w:eastAsia="Liberation Serif"/>
                <w:b w:val="0"/>
                <w:sz w:val="16"/>
              </w:rPr>
              <w:t>15,000</w:t>
            </w:r>
          </w:p>
        </w:tc>
      </w:tr>
      <w:tr>
        <w:tc>
          <w:tcPr>
            <w:tcW w:type="dxa" w:w="6520"/>
            <w:vAlign w:val="top"/>
          </w:tcPr>
          <w:p>
            <w:pPr>
              <w:spacing w:after="0" w:line="240" w:lineRule="auto"/>
            </w:pPr>
            <w:r/>
            <w:r>
              <w:rPr>
                <w:rFonts w:ascii="Liberation Serif" w:hAnsi="Liberation Serif" w:eastAsia="Liberation Serif"/>
                <w:b w:val="0"/>
                <w:sz w:val="16"/>
              </w:rPr>
              <w:t>Total included (A)</w:t>
            </w:r>
          </w:p>
        </w:tc>
        <w:tc>
          <w:tcPr>
            <w:tcW w:type="dxa" w:w="2551"/>
            <w:vAlign w:val="top"/>
          </w:tcPr>
          <w:p>
            <w:pPr>
              <w:spacing w:after="0" w:line="240" w:lineRule="auto"/>
            </w:pPr>
            <w:r/>
            <w:r>
              <w:rPr>
                <w:rFonts w:ascii="Liberation Serif" w:hAnsi="Liberation Serif" w:eastAsia="Liberation Serif"/>
                <w:b w:val="0"/>
                <w:sz w:val="16"/>
              </w:rPr>
              <w:t>2,055,000</w:t>
            </w:r>
          </w:p>
        </w:tc>
      </w:tr>
      <w:tr>
        <w:tc>
          <w:tcPr>
            <w:tcW w:type="dxa" w:w="6520"/>
            <w:vAlign w:val="top"/>
          </w:tcPr>
          <w:p>
            <w:pPr>
              <w:spacing w:after="0" w:line="240" w:lineRule="auto"/>
            </w:pPr>
            <w:r/>
            <w:r>
              <w:rPr>
                <w:rFonts w:ascii="Liberation Serif" w:hAnsi="Liberation Serif" w:eastAsia="Liberation Serif"/>
                <w:b w:val="0"/>
                <w:sz w:val="16"/>
              </w:rPr>
              <w:t>Deductible expenses:</w:t>
            </w:r>
          </w:p>
        </w:tc>
        <w:tc>
          <w:tcPr>
            <w:tcW w:type="dxa" w:w="2551"/>
            <w:vAlign w:val="top"/>
          </w:tcPr>
          <w:p>
            <w:pPr>
              <w:spacing w:after="0" w:line="240" w:lineRule="auto"/>
            </w:pPr>
            <w:r/>
            <w:r>
              <w:rPr>
                <w:rFonts w:ascii="Liberation Serif" w:hAnsi="Liberation Serif" w:eastAsia="Liberation Serif"/>
                <w:b w:val="0"/>
                <w:sz w:val="16"/>
              </w:rPr>
            </w:r>
          </w:p>
        </w:tc>
      </w:tr>
      <w:tr>
        <w:tc>
          <w:tcPr>
            <w:tcW w:type="dxa" w:w="6520"/>
            <w:vAlign w:val="top"/>
          </w:tcPr>
          <w:p>
            <w:pPr>
              <w:spacing w:after="0" w:line="240" w:lineRule="auto"/>
            </w:pPr>
            <w:r/>
            <w:r>
              <w:rPr>
                <w:rFonts w:ascii="Liberation Serif" w:hAnsi="Liberation Serif" w:eastAsia="Liberation Serif"/>
                <w:b w:val="0"/>
                <w:sz w:val="16"/>
              </w:rPr>
              <w:t>Commission expense for taking reinsurance</w:t>
            </w:r>
          </w:p>
        </w:tc>
        <w:tc>
          <w:tcPr>
            <w:tcW w:type="dxa" w:w="2551"/>
            <w:vAlign w:val="top"/>
          </w:tcPr>
          <w:p>
            <w:pPr>
              <w:spacing w:after="0" w:line="240" w:lineRule="auto"/>
            </w:pPr>
            <w:r/>
            <w:r>
              <w:rPr>
                <w:rFonts w:ascii="Liberation Serif" w:hAnsi="Liberation Serif" w:eastAsia="Liberation Serif"/>
                <w:b w:val="0"/>
                <w:sz w:val="16"/>
              </w:rPr>
              <w:t>10,000</w:t>
            </w:r>
          </w:p>
        </w:tc>
      </w:tr>
      <w:tr>
        <w:tc>
          <w:tcPr>
            <w:tcW w:type="dxa" w:w="6520"/>
            <w:vAlign w:val="top"/>
          </w:tcPr>
          <w:p>
            <w:pPr>
              <w:spacing w:after="0" w:line="240" w:lineRule="auto"/>
            </w:pPr>
            <w:r/>
            <w:r>
              <w:rPr>
                <w:rFonts w:ascii="Liberation Serif" w:hAnsi="Liberation Serif" w:eastAsia="Liberation Serif"/>
                <w:b w:val="0"/>
                <w:sz w:val="16"/>
              </w:rPr>
              <w:t>Agent commission</w:t>
            </w:r>
          </w:p>
        </w:tc>
        <w:tc>
          <w:tcPr>
            <w:tcW w:type="dxa" w:w="2551"/>
            <w:vAlign w:val="top"/>
          </w:tcPr>
          <w:p>
            <w:pPr>
              <w:spacing w:after="0" w:line="240" w:lineRule="auto"/>
            </w:pPr>
            <w:r/>
            <w:r>
              <w:rPr>
                <w:rFonts w:ascii="Liberation Serif" w:hAnsi="Liberation Serif" w:eastAsia="Liberation Serif"/>
                <w:b w:val="0"/>
                <w:sz w:val="16"/>
              </w:rPr>
              <w:t>100,000</w:t>
            </w:r>
          </w:p>
        </w:tc>
      </w:tr>
      <w:tr>
        <w:tc>
          <w:tcPr>
            <w:tcW w:type="dxa" w:w="6520"/>
            <w:vAlign w:val="top"/>
          </w:tcPr>
          <w:p>
            <w:pPr>
              <w:spacing w:after="0" w:line="240" w:lineRule="auto"/>
            </w:pPr>
            <w:r/>
            <w:r>
              <w:rPr>
                <w:rFonts w:ascii="Liberation Serif" w:hAnsi="Liberation Serif" w:eastAsia="Liberation Serif"/>
                <w:b w:val="0"/>
                <w:sz w:val="16"/>
              </w:rPr>
              <w:t>Management expense</w:t>
            </w:r>
          </w:p>
        </w:tc>
        <w:tc>
          <w:tcPr>
            <w:tcW w:type="dxa" w:w="2551"/>
            <w:vAlign w:val="top"/>
          </w:tcPr>
          <w:p>
            <w:pPr>
              <w:spacing w:after="0" w:line="240" w:lineRule="auto"/>
            </w:pPr>
            <w:r/>
            <w:r>
              <w:rPr>
                <w:rFonts w:ascii="Liberation Serif" w:hAnsi="Liberation Serif" w:eastAsia="Liberation Serif"/>
                <w:b w:val="0"/>
                <w:sz w:val="16"/>
              </w:rPr>
              <w:t>600,000</w:t>
            </w:r>
          </w:p>
        </w:tc>
      </w:tr>
      <w:tr>
        <w:tc>
          <w:tcPr>
            <w:tcW w:type="dxa" w:w="6520"/>
            <w:vAlign w:val="top"/>
          </w:tcPr>
          <w:p>
            <w:pPr>
              <w:spacing w:after="0" w:line="240" w:lineRule="auto"/>
            </w:pPr>
            <w:r/>
            <w:r>
              <w:rPr>
                <w:rFonts w:ascii="Liberation Serif" w:hAnsi="Liberation Serif" w:eastAsia="Liberation Serif"/>
                <w:b w:val="0"/>
                <w:sz w:val="16"/>
              </w:rPr>
              <w:t>Depreciation expense</w:t>
            </w:r>
          </w:p>
        </w:tc>
        <w:tc>
          <w:tcPr>
            <w:tcW w:type="dxa" w:w="2551"/>
            <w:vAlign w:val="top"/>
          </w:tcPr>
          <w:p>
            <w:pPr>
              <w:spacing w:after="0" w:line="240" w:lineRule="auto"/>
            </w:pPr>
            <w:r/>
            <w:r>
              <w:rPr>
                <w:rFonts w:ascii="Liberation Serif" w:hAnsi="Liberation Serif" w:eastAsia="Liberation Serif"/>
                <w:b w:val="0"/>
                <w:sz w:val="16"/>
              </w:rPr>
              <w:t>100,000</w:t>
            </w:r>
          </w:p>
        </w:tc>
      </w:tr>
      <w:tr>
        <w:tc>
          <w:tcPr>
            <w:tcW w:type="dxa" w:w="6520"/>
            <w:vAlign w:val="top"/>
          </w:tcPr>
          <w:p>
            <w:pPr>
              <w:spacing w:after="0" w:line="240" w:lineRule="auto"/>
            </w:pPr>
            <w:r/>
            <w:r>
              <w:rPr>
                <w:rFonts w:ascii="Liberation Serif" w:hAnsi="Liberation Serif" w:eastAsia="Liberation Serif"/>
                <w:b w:val="0"/>
                <w:sz w:val="16"/>
              </w:rPr>
              <w:t>Medical fee</w:t>
            </w:r>
          </w:p>
        </w:tc>
        <w:tc>
          <w:tcPr>
            <w:tcW w:type="dxa" w:w="2551"/>
            <w:vAlign w:val="top"/>
          </w:tcPr>
          <w:p>
            <w:pPr>
              <w:spacing w:after="0" w:line="240" w:lineRule="auto"/>
            </w:pPr>
            <w:r/>
            <w:r>
              <w:rPr>
                <w:rFonts w:ascii="Liberation Serif" w:hAnsi="Liberation Serif" w:eastAsia="Liberation Serif"/>
                <w:b w:val="0"/>
                <w:sz w:val="16"/>
              </w:rPr>
              <w:t>20,000</w:t>
            </w:r>
          </w:p>
        </w:tc>
      </w:tr>
      <w:tr>
        <w:tc>
          <w:tcPr>
            <w:tcW w:type="dxa" w:w="6520"/>
            <w:vAlign w:val="top"/>
          </w:tcPr>
          <w:p>
            <w:pPr>
              <w:spacing w:after="0" w:line="240" w:lineRule="auto"/>
            </w:pPr>
            <w:r/>
            <w:r>
              <w:rPr>
                <w:rFonts w:ascii="Liberation Serif" w:hAnsi="Liberation Serif" w:eastAsia="Liberation Serif"/>
                <w:b w:val="0"/>
                <w:sz w:val="16"/>
              </w:rPr>
              <w:t>Total deductions (B)</w:t>
            </w:r>
          </w:p>
        </w:tc>
        <w:tc>
          <w:tcPr>
            <w:tcW w:type="dxa" w:w="2551"/>
            <w:vAlign w:val="top"/>
          </w:tcPr>
          <w:p>
            <w:pPr>
              <w:spacing w:after="0" w:line="240" w:lineRule="auto"/>
            </w:pPr>
            <w:r/>
            <w:r>
              <w:rPr>
                <w:rFonts w:ascii="Liberation Serif" w:hAnsi="Liberation Serif" w:eastAsia="Liberation Serif"/>
                <w:b w:val="0"/>
                <w:sz w:val="16"/>
              </w:rPr>
              <w:t>830,000</w:t>
            </w:r>
          </w:p>
        </w:tc>
      </w:tr>
      <w:tr>
        <w:tc>
          <w:tcPr>
            <w:tcW w:type="dxa" w:w="6520"/>
            <w:vAlign w:val="top"/>
          </w:tcPr>
          <w:p>
            <w:pPr>
              <w:spacing w:after="0" w:line="240" w:lineRule="auto"/>
            </w:pPr>
            <w:r/>
            <w:r>
              <w:rPr>
                <w:rFonts w:ascii="Liberation Serif" w:hAnsi="Liberation Serif" w:eastAsia="Liberation Serif"/>
                <w:b w:val="0"/>
                <w:sz w:val="16"/>
              </w:rPr>
              <w:t>Profits and gains from business (A - B)</w:t>
            </w:r>
          </w:p>
        </w:tc>
        <w:tc>
          <w:tcPr>
            <w:tcW w:type="dxa" w:w="2551"/>
            <w:vAlign w:val="top"/>
          </w:tcPr>
          <w:p>
            <w:pPr>
              <w:spacing w:after="0" w:line="240" w:lineRule="auto"/>
            </w:pPr>
            <w:r/>
            <w:r>
              <w:rPr>
                <w:rFonts w:ascii="Liberation Serif" w:hAnsi="Liberation Serif" w:eastAsia="Liberation Serif"/>
                <w:b w:val="0"/>
                <w:sz w:val="16"/>
              </w:rPr>
              <w:t>1,325,000</w:t>
            </w:r>
          </w:p>
        </w:tc>
      </w:tr>
    </w:tbl>
    <w:p/>
    <w:tbl>
      <w:tblPr>
        <w:tblStyle w:val="TableGrid"/>
        <w:tblW w:type="auto" w:w="0"/>
        <w:jc w:val="center"/>
        <w:tblLook w:firstColumn="1" w:firstRow="1" w:lastColumn="0" w:lastRow="0" w:noHBand="0" w:noVBand="1" w:val="04A0"/>
      </w:tblPr>
      <w:tblGrid>
        <w:gridCol w:w="5213"/>
        <w:gridCol w:w="5213"/>
      </w:tblGrid>
      <w:tr>
        <w:trPr>
          <w:tblHeader w:val="true"/>
        </w:trPr>
        <w:tc>
          <w:tcPr>
            <w:tcW w:type="dxa" w:w="4819"/>
            <w:vAlign w:val="top"/>
            <w:shd w:fill="D9EAF7"/>
          </w:tcPr>
          <w:p>
            <w:pPr>
              <w:spacing w:after="0" w:line="240" w:lineRule="auto"/>
            </w:pPr>
            <w:r/>
            <w:r>
              <w:rPr>
                <w:rFonts w:ascii="Liberation Serif" w:hAnsi="Liberation Serif" w:eastAsia="Liberation Serif"/>
                <w:b/>
                <w:sz w:val="16"/>
              </w:rPr>
              <w:t>Payments to insured in Example 19.4.1</w:t>
            </w:r>
          </w:p>
        </w:tc>
        <w:tc>
          <w:tcPr>
            <w:tcW w:type="dxa" w:w="4252"/>
            <w:vAlign w:val="top"/>
            <w:shd w:fill="D9EAF7"/>
          </w:tcPr>
          <w:p>
            <w:pPr>
              <w:spacing w:after="0" w:line="240" w:lineRule="auto"/>
            </w:pPr>
            <w:r/>
            <w:r>
              <w:rPr>
                <w:rFonts w:ascii="Liberation Serif" w:hAnsi="Liberation Serif" w:eastAsia="Liberation Serif"/>
                <w:b/>
                <w:sz w:val="16"/>
              </w:rPr>
              <w:t>Treatment</w:t>
            </w:r>
          </w:p>
        </w:tc>
      </w:tr>
      <w:tr>
        <w:tc>
          <w:tcPr>
            <w:tcW w:type="dxa" w:w="4819"/>
            <w:vAlign w:val="top"/>
          </w:tcPr>
          <w:p>
            <w:pPr>
              <w:spacing w:after="0" w:line="240" w:lineRule="auto"/>
            </w:pPr>
            <w:r/>
            <w:r>
              <w:rPr>
                <w:rFonts w:ascii="Liberation Serif" w:hAnsi="Liberation Serif" w:eastAsia="Liberation Serif"/>
                <w:b w:val="0"/>
                <w:sz w:val="16"/>
              </w:rPr>
              <w:t>Matured policy: payment Rs. 550,000; premium received Rs. 300,000; investor gain Rs. 250,000</w:t>
            </w:r>
          </w:p>
        </w:tc>
        <w:tc>
          <w:tcPr>
            <w:tcW w:type="dxa" w:w="4252"/>
            <w:vAlign w:val="top"/>
          </w:tcPr>
          <w:p>
            <w:pPr>
              <w:spacing w:after="0" w:line="240" w:lineRule="auto"/>
            </w:pPr>
            <w:r/>
            <w:r>
              <w:rPr>
                <w:rFonts w:ascii="Liberation Serif" w:hAnsi="Liberation Serif" w:eastAsia="Liberation Serif"/>
                <w:b w:val="0"/>
                <w:sz w:val="16"/>
              </w:rPr>
              <w:t>The gain is subject to 5% tax under Section 88.</w:t>
            </w:r>
          </w:p>
        </w:tc>
      </w:tr>
      <w:tr>
        <w:tc>
          <w:tcPr>
            <w:tcW w:type="dxa" w:w="4819"/>
            <w:vAlign w:val="top"/>
          </w:tcPr>
          <w:p>
            <w:pPr>
              <w:spacing w:after="0" w:line="240" w:lineRule="auto"/>
            </w:pPr>
            <w:r/>
            <w:r>
              <w:rPr>
                <w:rFonts w:ascii="Liberation Serif" w:hAnsi="Liberation Serif" w:eastAsia="Liberation Serif"/>
                <w:b w:val="0"/>
                <w:sz w:val="16"/>
              </w:rPr>
              <w:t>Death claim: payment Rs. 400,000; premium received Rs. 50,000; investor gain Rs. 350,000</w:t>
            </w:r>
          </w:p>
        </w:tc>
        <w:tc>
          <w:tcPr>
            <w:tcW w:type="dxa" w:w="4252"/>
            <w:vAlign w:val="top"/>
          </w:tcPr>
          <w:p>
            <w:pPr>
              <w:spacing w:after="0" w:line="240" w:lineRule="auto"/>
            </w:pPr>
            <w:r/>
            <w:r>
              <w:rPr>
                <w:rFonts w:ascii="Liberation Serif" w:hAnsi="Liberation Serif" w:eastAsia="Liberation Serif"/>
                <w:b w:val="0"/>
                <w:sz w:val="16"/>
              </w:rPr>
              <w:t>The gain is treated according to the investment-insurance payment rules.</w:t>
            </w:r>
          </w:p>
        </w:tc>
      </w:tr>
      <w:tr>
        <w:tc>
          <w:tcPr>
            <w:tcW w:type="dxa" w:w="4819"/>
            <w:vAlign w:val="top"/>
          </w:tcPr>
          <w:p>
            <w:pPr>
              <w:spacing w:after="0" w:line="240" w:lineRule="auto"/>
            </w:pPr>
            <w:r/>
            <w:r>
              <w:rPr>
                <w:rFonts w:ascii="Liberation Serif" w:hAnsi="Liberation Serif" w:eastAsia="Liberation Serif"/>
                <w:b w:val="0"/>
                <w:sz w:val="16"/>
              </w:rPr>
              <w:t>Policy surrender: payment Rs. 250,000; premium received Rs. 300,000; loss Rs. 50,000</w:t>
            </w:r>
          </w:p>
        </w:tc>
        <w:tc>
          <w:tcPr>
            <w:tcW w:type="dxa" w:w="4252"/>
            <w:vAlign w:val="top"/>
          </w:tcPr>
          <w:p>
            <w:pPr>
              <w:spacing w:after="0" w:line="240" w:lineRule="auto"/>
            </w:pPr>
            <w:r/>
            <w:r>
              <w:rPr>
                <w:rFonts w:ascii="Liberation Serif" w:hAnsi="Liberation Serif" w:eastAsia="Liberation Serif"/>
                <w:b w:val="0"/>
                <w:sz w:val="16"/>
              </w:rPr>
              <w:t>This is in the nature of capital receipt and is not taxed. If there is a distribution of non-profit dividend under Section 56(3), it is included in business income.</w:t>
            </w:r>
          </w:p>
        </w:tc>
      </w:tr>
    </w:tbl>
    <w:p/>
    <w:p>
      <w:pPr>
        <w:spacing w:after="80" w:line="252" w:lineRule="auto"/>
      </w:pPr>
      <w:r>
        <w:rPr>
          <w:rFonts w:ascii="Liberation Serif" w:hAnsi="Liberation Serif" w:eastAsia="Liberation Serif"/>
          <w:b w:val="0"/>
          <w:i w:val="0"/>
          <w:sz w:val="21"/>
        </w:rPr>
        <w:t>In the above example, Rs. 1,000,000 received as insurance premium is not treated as the income of the insurer or as an incoming in respect of business liability or assets. The sum insured under the insurance policy, Rs. 50,000,000, is also not treated as a liability of the insurer. Under the Act, premiums received from the insured and payments made by the insurer in the capacity of insurer are not treated as incomings or outgoings in respect of the insurer's assets and liabilities. Therefore, such receipts, payments, and the resulting surplus or loss are not treated as income or deduction for tax purposes.</w:t>
      </w:r>
    </w:p>
    <w:p>
      <w:pPr>
        <w:pStyle w:val="Heading2"/>
      </w:pPr>
      <w:r>
        <w:t>19.5 Amounts Received from Insurance</w:t>
      </w:r>
    </w:p>
    <w:p>
      <w:pPr>
        <w:spacing w:after="80" w:line="252" w:lineRule="auto"/>
      </w:pPr>
      <w:r>
        <w:rPr>
          <w:rFonts w:ascii="Liberation Serif" w:hAnsi="Liberation Serif" w:eastAsia="Liberation Serif"/>
          <w:b w:val="0"/>
          <w:i w:val="0"/>
          <w:sz w:val="21"/>
        </w:rPr>
        <w:t>Amounts received from insurance are computed under Section 62 as follows:</w:t>
      </w:r>
    </w:p>
    <w:tbl>
      <w:tblPr>
        <w:tblStyle w:val="TableGrid"/>
        <w:tblW w:type="auto" w:w="0"/>
        <w:jc w:val="center"/>
        <w:tblLook w:firstColumn="1" w:firstRow="1" w:lastColumn="0" w:lastRow="0" w:noHBand="0" w:noVBand="1" w:val="04A0"/>
      </w:tblPr>
      <w:tblGrid>
        <w:gridCol w:w="5213"/>
        <w:gridCol w:w="5213"/>
      </w:tblGrid>
      <w:tr>
        <w:trPr>
          <w:tblHeader w:val="true"/>
        </w:trPr>
        <w:tc>
          <w:tcPr>
            <w:tcW w:type="dxa" w:w="1814"/>
            <w:vAlign w:val="top"/>
            <w:shd w:fill="D9EAF7"/>
          </w:tcPr>
          <w:p>
            <w:pPr>
              <w:spacing w:after="0" w:line="240" w:lineRule="auto"/>
            </w:pPr>
            <w:r/>
            <w:r>
              <w:rPr>
                <w:rFonts w:ascii="Liberation Serif" w:hAnsi="Liberation Serif" w:eastAsia="Liberation Serif"/>
                <w:b/>
                <w:sz w:val="16"/>
              </w:rPr>
              <w:t>Subsection</w:t>
            </w:r>
          </w:p>
        </w:tc>
        <w:tc>
          <w:tcPr>
            <w:tcW w:type="dxa" w:w="7257"/>
            <w:vAlign w:val="top"/>
            <w:shd w:fill="D9EAF7"/>
          </w:tcPr>
          <w:p>
            <w:pPr>
              <w:spacing w:after="0" w:line="240" w:lineRule="auto"/>
            </w:pPr>
            <w:r/>
            <w:r>
              <w:rPr>
                <w:rFonts w:ascii="Liberation Serif" w:hAnsi="Liberation Serif" w:eastAsia="Liberation Serif"/>
                <w:b/>
                <w:sz w:val="16"/>
              </w:rPr>
              <w:t>Rule</w:t>
            </w:r>
          </w:p>
        </w:tc>
      </w:tr>
      <w:tr>
        <w:tc>
          <w:tcPr>
            <w:tcW w:type="dxa" w:w="1814"/>
            <w:vAlign w:val="top"/>
          </w:tcPr>
          <w:p>
            <w:pPr>
              <w:spacing w:after="0" w:line="240" w:lineRule="auto"/>
            </w:pPr>
            <w:r/>
            <w:r>
              <w:rPr>
                <w:rFonts w:ascii="Liberation Serif" w:hAnsi="Liberation Serif" w:eastAsia="Liberation Serif"/>
                <w:b w:val="0"/>
                <w:sz w:val="16"/>
              </w:rPr>
              <w:t>62(1)</w:t>
            </w:r>
          </w:p>
        </w:tc>
        <w:tc>
          <w:tcPr>
            <w:tcW w:type="dxa" w:w="7257"/>
            <w:vAlign w:val="top"/>
          </w:tcPr>
          <w:p>
            <w:pPr>
              <w:spacing w:after="0" w:line="240" w:lineRule="auto"/>
            </w:pPr>
            <w:r/>
            <w:r>
              <w:rPr>
                <w:rFonts w:ascii="Liberation Serif" w:hAnsi="Liberation Serif" w:eastAsia="Liberation Serif"/>
                <w:b w:val="0"/>
                <w:sz w:val="16"/>
              </w:rPr>
              <w:t>For purposes of computing the income of a person, amounts received by that person from insurance are dealt with as provided in Section 31.</w:t>
            </w:r>
          </w:p>
        </w:tc>
      </w:tr>
      <w:tr>
        <w:tc>
          <w:tcPr>
            <w:tcW w:type="dxa" w:w="1814"/>
            <w:vAlign w:val="top"/>
          </w:tcPr>
          <w:p>
            <w:pPr>
              <w:spacing w:after="0" w:line="240" w:lineRule="auto"/>
            </w:pPr>
            <w:r/>
            <w:r>
              <w:rPr>
                <w:rFonts w:ascii="Liberation Serif" w:hAnsi="Liberation Serif" w:eastAsia="Liberation Serif"/>
                <w:b w:val="0"/>
                <w:sz w:val="16"/>
              </w:rPr>
              <w:t>62(2)(a)</w:t>
            </w:r>
          </w:p>
        </w:tc>
        <w:tc>
          <w:tcPr>
            <w:tcW w:type="dxa" w:w="7257"/>
            <w:vAlign w:val="top"/>
          </w:tcPr>
          <w:p>
            <w:pPr>
              <w:spacing w:after="0" w:line="240" w:lineRule="auto"/>
            </w:pPr>
            <w:r/>
            <w:r>
              <w:rPr>
                <w:rFonts w:ascii="Liberation Serif" w:hAnsi="Liberation Serif" w:eastAsia="Liberation Serif"/>
                <w:b w:val="0"/>
                <w:sz w:val="16"/>
              </w:rPr>
              <w:t>Notwithstanding subsection (1), where a resident person pays a gain from investment insurance, the insured is taxed finally by withholding.</w:t>
            </w:r>
          </w:p>
        </w:tc>
      </w:tr>
      <w:tr>
        <w:tc>
          <w:tcPr>
            <w:tcW w:type="dxa" w:w="1814"/>
            <w:vAlign w:val="top"/>
          </w:tcPr>
          <w:p>
            <w:pPr>
              <w:spacing w:after="0" w:line="240" w:lineRule="auto"/>
            </w:pPr>
            <w:r/>
            <w:r>
              <w:rPr>
                <w:rFonts w:ascii="Liberation Serif" w:hAnsi="Liberation Serif" w:eastAsia="Liberation Serif"/>
                <w:b w:val="0"/>
                <w:sz w:val="16"/>
              </w:rPr>
              <w:t>62(2)(b)</w:t>
            </w:r>
          </w:p>
        </w:tc>
        <w:tc>
          <w:tcPr>
            <w:tcW w:type="dxa" w:w="7257"/>
            <w:vAlign w:val="top"/>
          </w:tcPr>
          <w:p>
            <w:pPr>
              <w:spacing w:after="0" w:line="240" w:lineRule="auto"/>
            </w:pPr>
            <w:r/>
            <w:r>
              <w:rPr>
                <w:rFonts w:ascii="Liberation Serif" w:hAnsi="Liberation Serif" w:eastAsia="Liberation Serif"/>
                <w:b w:val="0"/>
                <w:sz w:val="16"/>
              </w:rPr>
              <w:t>Where a non-resident person pays such amount, the amount is included in the income of the insured and computed accordingly.</w:t>
            </w:r>
          </w:p>
        </w:tc>
      </w:tr>
      <w:tr>
        <w:tc>
          <w:tcPr>
            <w:tcW w:type="dxa" w:w="1814"/>
            <w:vAlign w:val="top"/>
          </w:tcPr>
          <w:p>
            <w:pPr>
              <w:spacing w:after="0" w:line="240" w:lineRule="auto"/>
            </w:pPr>
            <w:r/>
            <w:r>
              <w:rPr>
                <w:rFonts w:ascii="Liberation Serif" w:hAnsi="Liberation Serif" w:eastAsia="Liberation Serif"/>
                <w:b w:val="0"/>
                <w:sz w:val="16"/>
              </w:rPr>
              <w:t>Explanation</w:t>
            </w:r>
          </w:p>
        </w:tc>
        <w:tc>
          <w:tcPr>
            <w:tcW w:type="dxa" w:w="7257"/>
            <w:vAlign w:val="top"/>
          </w:tcPr>
          <w:p>
            <w:pPr>
              <w:spacing w:after="0" w:line="240" w:lineRule="auto"/>
            </w:pPr>
            <w:r/>
            <w:r>
              <w:rPr>
                <w:rFonts w:ascii="Liberation Serif" w:hAnsi="Liberation Serif" w:eastAsia="Liberation Serif"/>
                <w:b w:val="0"/>
                <w:sz w:val="16"/>
              </w:rPr>
              <w:t>For purposes of this section, “gain from investment insurance” means the excess of the payment received by a person under the investment insurance over the premium paid by that person for that insurance.</w:t>
            </w:r>
          </w:p>
        </w:tc>
      </w:tr>
    </w:tbl>
    <w:p/>
    <w:p>
      <w:pPr>
        <w:spacing w:after="80" w:line="252" w:lineRule="auto"/>
      </w:pPr>
      <w:r>
        <w:rPr>
          <w:rFonts w:ascii="Liberation Serif" w:hAnsi="Liberation Serif" w:eastAsia="Liberation Serif"/>
          <w:b w:val="0"/>
          <w:i w:val="0"/>
          <w:sz w:val="21"/>
        </w:rPr>
        <w:t>For compensation received from general insurance, except where Section 46 is selected, the amount must be characterised under Section 31. Under Section 31, where a person or an associate of that person receives compensation, including insurance payment, for any of the following, the amount of compensation must be included, at the time it is received, in computing income from employment, business or investment, as applicable:</w:t>
      </w:r>
    </w:p>
    <w:p>
      <w:pPr>
        <w:spacing w:after="80" w:line="252" w:lineRule="auto"/>
      </w:pPr>
      <w:r>
        <w:rPr>
          <w:rFonts w:ascii="Liberation Serif" w:hAnsi="Liberation Serif" w:eastAsia="Liberation Serif"/>
          <w:b w:val="0"/>
          <w:i w:val="0"/>
          <w:sz w:val="21"/>
        </w:rPr>
        <w:t>(a) Compensation for any income received or receivable by the person from any business, employment or investment, or for any amount included in computing such income.</w:t>
      </w:r>
    </w:p>
    <w:p>
      <w:pPr>
        <w:spacing w:after="80" w:line="252" w:lineRule="auto"/>
      </w:pPr>
      <w:r>
        <w:rPr>
          <w:rFonts w:ascii="Liberation Serif" w:hAnsi="Liberation Serif" w:eastAsia="Liberation Serif"/>
          <w:b w:val="0"/>
          <w:i w:val="0"/>
          <w:sz w:val="21"/>
        </w:rPr>
        <w:t>(b) Compensation for any loss suffered or likely to be suffered by the person in any business or investment, or for any amount of expense deductible in computing the person's income.</w:t>
      </w:r>
    </w:p>
    <w:p>
      <w:pPr>
        <w:spacing w:after="80" w:line="252" w:lineRule="auto"/>
      </w:pPr>
      <w:r>
        <w:rPr>
          <w:rFonts w:ascii="Liberation Serif" w:hAnsi="Liberation Serif" w:eastAsia="Liberation Serif"/>
          <w:b w:val="0"/>
          <w:i w:val="0"/>
          <w:sz w:val="21"/>
        </w:rPr>
        <w:t>However, a compensation payment for bodily injury of a resident natural person caused by personal accident is not included in income, and the expense incurred in treatment of such injury cannot be claimed as a tax credit under Section 51. Similarly, compensation received on the death of a natural person is not included in income.</w:t>
      </w:r>
    </w:p>
    <w:p>
      <w:pPr>
        <w:spacing w:after="80" w:line="252" w:lineRule="auto"/>
      </w:pPr>
      <w:r>
        <w:rPr>
          <w:rFonts w:ascii="Liberation Serif" w:hAnsi="Liberation Serif" w:eastAsia="Liberation Serif"/>
          <w:b w:val="0"/>
          <w:i w:val="0"/>
          <w:sz w:val="21"/>
        </w:rPr>
        <w:t>Insurance compensation is taxed subject to Sections 31, 62 and 92. The following examples explain the treatment.</w:t>
      </w:r>
    </w:p>
    <w:tbl>
      <w:tblPr>
        <w:tblStyle w:val="TableGrid"/>
        <w:tblW w:type="auto" w:w="0"/>
        <w:jc w:val="center"/>
        <w:tblLook w:firstColumn="1" w:firstRow="1" w:lastColumn="0" w:lastRow="0" w:noHBand="0" w:noVBand="1" w:val="04A0"/>
      </w:tblPr>
      <w:tblGrid>
        <w:gridCol w:w="3475"/>
        <w:gridCol w:w="3475"/>
        <w:gridCol w:w="3475"/>
      </w:tblGrid>
      <w:tr>
        <w:trPr>
          <w:tblHeader w:val="true"/>
        </w:trPr>
        <w:tc>
          <w:tcPr>
            <w:tcW w:type="dxa" w:w="1361"/>
            <w:vAlign w:val="top"/>
            <w:shd w:fill="D9EAF7"/>
          </w:tcPr>
          <w:p>
            <w:pPr>
              <w:spacing w:after="0" w:line="240" w:lineRule="auto"/>
            </w:pPr>
            <w:r/>
            <w:r>
              <w:rPr>
                <w:rFonts w:ascii="Liberation Serif" w:hAnsi="Liberation Serif" w:eastAsia="Liberation Serif"/>
                <w:b/>
                <w:sz w:val="15"/>
              </w:rPr>
              <w:t>Example</w:t>
            </w:r>
          </w:p>
        </w:tc>
        <w:tc>
          <w:tcPr>
            <w:tcW w:type="dxa" w:w="4309"/>
            <w:vAlign w:val="top"/>
            <w:shd w:fill="D9EAF7"/>
          </w:tcPr>
          <w:p>
            <w:pPr>
              <w:spacing w:after="0" w:line="240" w:lineRule="auto"/>
            </w:pPr>
            <w:r/>
            <w:r>
              <w:rPr>
                <w:rFonts w:ascii="Liberation Serif" w:hAnsi="Liberation Serif" w:eastAsia="Liberation Serif"/>
                <w:b/>
                <w:sz w:val="15"/>
              </w:rPr>
              <w:t>Facts</w:t>
            </w:r>
          </w:p>
        </w:tc>
        <w:tc>
          <w:tcPr>
            <w:tcW w:type="dxa" w:w="3402"/>
            <w:vAlign w:val="top"/>
            <w:shd w:fill="D9EAF7"/>
          </w:tcPr>
          <w:p>
            <w:pPr>
              <w:spacing w:after="0" w:line="240" w:lineRule="auto"/>
            </w:pPr>
            <w:r/>
            <w:r>
              <w:rPr>
                <w:rFonts w:ascii="Liberation Serif" w:hAnsi="Liberation Serif" w:eastAsia="Liberation Serif"/>
                <w:b/>
                <w:sz w:val="15"/>
              </w:rPr>
              <w:t>Tax treatment</w:t>
            </w:r>
          </w:p>
        </w:tc>
      </w:tr>
      <w:tr>
        <w:tc>
          <w:tcPr>
            <w:tcW w:type="dxa" w:w="1361"/>
            <w:vAlign w:val="top"/>
          </w:tcPr>
          <w:p>
            <w:pPr>
              <w:spacing w:after="0" w:line="240" w:lineRule="auto"/>
            </w:pPr>
            <w:r/>
            <w:r>
              <w:rPr>
                <w:rFonts w:ascii="Liberation Serif" w:hAnsi="Liberation Serif" w:eastAsia="Liberation Serif"/>
                <w:b w:val="0"/>
                <w:sz w:val="15"/>
              </w:rPr>
              <w:t>19.5.1</w:t>
            </w:r>
          </w:p>
        </w:tc>
        <w:tc>
          <w:tcPr>
            <w:tcW w:type="dxa" w:w="4309"/>
            <w:vAlign w:val="top"/>
          </w:tcPr>
          <w:p>
            <w:pPr>
              <w:spacing w:after="0" w:line="240" w:lineRule="auto"/>
            </w:pPr>
            <w:r/>
            <w:r>
              <w:rPr>
                <w:rFonts w:ascii="Liberation Serif" w:hAnsi="Liberation Serif" w:eastAsia="Liberation Serif"/>
                <w:b w:val="0"/>
                <w:sz w:val="15"/>
              </w:rPr>
              <w:t>Tulsi Enterprises Company insures its stock for Rs. 5,000,000. In income year 2078/79, a fire occurs in its warehouse and stock worth Rs. 3,000,000 is destroyed. The company applies to the insurer for claim payment in 2078/79, but the claim is not settled by year end. The insurer later approves the claim and pays Rs. 2,500,000 in 2079/80.</w:t>
            </w:r>
          </w:p>
        </w:tc>
        <w:tc>
          <w:tcPr>
            <w:tcW w:type="dxa" w:w="3402"/>
            <w:vAlign w:val="top"/>
          </w:tcPr>
          <w:p>
            <w:pPr>
              <w:spacing w:after="0" w:line="240" w:lineRule="auto"/>
            </w:pPr>
            <w:r/>
            <w:r>
              <w:rPr>
                <w:rFonts w:ascii="Liberation Serif" w:hAnsi="Liberation Serif" w:eastAsia="Liberation Serif"/>
                <w:b w:val="0"/>
                <w:sz w:val="15"/>
              </w:rPr>
              <w:t>The company may claim deduction for the lost stock in 2078/79 under Section 15(1). The full insurance payment of Rs. 2,500,000 is included in business income for 2079/80.</w:t>
            </w:r>
          </w:p>
        </w:tc>
      </w:tr>
      <w:tr>
        <w:tc>
          <w:tcPr>
            <w:tcW w:type="dxa" w:w="1361"/>
            <w:vAlign w:val="top"/>
          </w:tcPr>
          <w:p>
            <w:pPr>
              <w:spacing w:after="0" w:line="240" w:lineRule="auto"/>
            </w:pPr>
            <w:r/>
            <w:r>
              <w:rPr>
                <w:rFonts w:ascii="Liberation Serif" w:hAnsi="Liberation Serif" w:eastAsia="Liberation Serif"/>
                <w:b w:val="0"/>
                <w:sz w:val="15"/>
              </w:rPr>
              <w:t>19.5.2</w:t>
            </w:r>
          </w:p>
        </w:tc>
        <w:tc>
          <w:tcPr>
            <w:tcW w:type="dxa" w:w="4309"/>
            <w:vAlign w:val="top"/>
          </w:tcPr>
          <w:p>
            <w:pPr>
              <w:spacing w:after="0" w:line="240" w:lineRule="auto"/>
            </w:pPr>
            <w:r/>
            <w:r>
              <w:rPr>
                <w:rFonts w:ascii="Liberation Serif" w:hAnsi="Liberation Serif" w:eastAsia="Liberation Serif"/>
                <w:b w:val="0"/>
                <w:sz w:val="15"/>
              </w:rPr>
              <w:t>Pipal Enterprises Company insures furniture and office equipment for Rs. 2,000,000. In Ashoj 2078, all furniture and office equipment are destroyed by fire. The depreciation base of Pool B is Rs. 1,500,000. The insurer settles and pays Rs. 1,800,000 only in 2079/80. In 2079/80, the company purchases replacement office equipment and furniture of Rs. 1,000,000 before the end of Poush.</w:t>
            </w:r>
          </w:p>
        </w:tc>
        <w:tc>
          <w:tcPr>
            <w:tcW w:type="dxa" w:w="3402"/>
            <w:vAlign w:val="top"/>
          </w:tcPr>
          <w:p>
            <w:pPr>
              <w:spacing w:after="0" w:line="240" w:lineRule="auto"/>
            </w:pPr>
            <w:r/>
            <w:r>
              <w:rPr>
                <w:rFonts w:ascii="Liberation Serif" w:hAnsi="Liberation Serif" w:eastAsia="Liberation Serif"/>
                <w:b w:val="0"/>
                <w:sz w:val="15"/>
              </w:rPr>
              <w:t>For 2078/79, because the whole Pool B assets are destroyed, the total depreciation base of Rs. 1,500,000 is treated as disposed of and may be claimed under Section 19. For 2079/80, the replacement purchase is included in the depreciation base. The insurance receipt of Rs. 1,800,000 is included in business income in 2079/80 under Sections 31 and 62.</w:t>
            </w:r>
          </w:p>
        </w:tc>
      </w:tr>
      <w:tr>
        <w:tc>
          <w:tcPr>
            <w:tcW w:type="dxa" w:w="1361"/>
            <w:vAlign w:val="top"/>
          </w:tcPr>
          <w:p>
            <w:pPr>
              <w:spacing w:after="0" w:line="240" w:lineRule="auto"/>
            </w:pPr>
            <w:r/>
            <w:r>
              <w:rPr>
                <w:rFonts w:ascii="Liberation Serif" w:hAnsi="Liberation Serif" w:eastAsia="Liberation Serif"/>
                <w:b w:val="0"/>
                <w:sz w:val="15"/>
              </w:rPr>
              <w:t>19.5.3</w:t>
            </w:r>
          </w:p>
        </w:tc>
        <w:tc>
          <w:tcPr>
            <w:tcW w:type="dxa" w:w="4309"/>
            <w:vAlign w:val="top"/>
          </w:tcPr>
          <w:p>
            <w:pPr>
              <w:spacing w:after="0" w:line="240" w:lineRule="auto"/>
            </w:pPr>
            <w:r/>
            <w:r>
              <w:rPr>
                <w:rFonts w:ascii="Liberation Serif" w:hAnsi="Liberation Serif" w:eastAsia="Liberation Serif"/>
                <w:b w:val="0"/>
                <w:sz w:val="15"/>
              </w:rPr>
              <w:t>Diwakar Khaniya has a life insurance policy of Rs. 500,000 with Shubha Life Insurance Company Ltd., registered in Nepal. He has deposited total premium of Rs. 550,000. The policy matures on 2081/02/04 and the insurer pays Rs. 950,000.</w:t>
            </w:r>
          </w:p>
        </w:tc>
        <w:tc>
          <w:tcPr>
            <w:tcW w:type="dxa" w:w="3402"/>
            <w:vAlign w:val="top"/>
          </w:tcPr>
          <w:p>
            <w:pPr>
              <w:spacing w:after="0" w:line="240" w:lineRule="auto"/>
            </w:pPr>
            <w:r/>
            <w:r>
              <w:rPr>
                <w:rFonts w:ascii="Liberation Serif" w:hAnsi="Liberation Serif" w:eastAsia="Liberation Serif"/>
                <w:b w:val="0"/>
                <w:sz w:val="15"/>
              </w:rPr>
              <w:t>Gain = Rs. 950,000 - Rs. 550,000 = Rs. 400,000. Tax at 5% = Rs. 20,000. The insurer deducts Rs. 20,000 at payment and pays Rs. 930,000. The tax so deducted is final withholding under Sections 62(2)(a) and 92(1)(g), and the gain is not included again in his income. If the same payment had been made by a non-resident insurer, the total gain of Rs. 400,000 would be included in his investment income; foreign tax, if any, may be claimed as credit subject to the Act.</w:t>
            </w:r>
          </w:p>
        </w:tc>
      </w:tr>
    </w:tbl>
    <w:p/>
    <w:p>
      <w:pPr>
        <w:pStyle w:val="Heading2"/>
      </w:pPr>
      <w:r>
        <w:t>19.6 Special Provision Relating to Disposal Due to Amalgamation of Business</w:t>
      </w:r>
    </w:p>
    <w:p>
      <w:pPr>
        <w:spacing w:after="80" w:line="252" w:lineRule="auto"/>
      </w:pPr>
      <w:r>
        <w:rPr>
          <w:rFonts w:ascii="Liberation Serif" w:hAnsi="Liberation Serif" w:eastAsia="Liberation Serif"/>
          <w:b w:val="0"/>
          <w:i w:val="0"/>
          <w:sz w:val="21"/>
        </w:rPr>
        <w:t>Section 47A makes special provision where entities of the same nature carrying on banking and financial business or insurance business amalgamate with each other through merger or acquisition.</w:t>
      </w:r>
    </w:p>
    <w:p>
      <w:pPr>
        <w:spacing w:after="80" w:line="252" w:lineRule="auto"/>
      </w:pPr>
      <w:r>
        <w:rPr>
          <w:rFonts w:ascii="Liberation Serif" w:hAnsi="Liberation Serif" w:eastAsia="Liberation Serif"/>
          <w:b w:val="0"/>
          <w:i w:val="0"/>
          <w:sz w:val="21"/>
        </w:rPr>
        <w:t>Under Section 47A(1), where entities of the same nature carrying on banking and financial business or insurance business amalgamate by merger or acquisition, Section 57(2)(a), (b), (d), (e), (f) and (g) and Section 57(3) do not apply.</w:t>
      </w:r>
    </w:p>
    <w:p>
      <w:pPr>
        <w:spacing w:after="80" w:line="252" w:lineRule="auto"/>
      </w:pPr>
      <w:r>
        <w:rPr>
          <w:rFonts w:ascii="Liberation Serif" w:hAnsi="Liberation Serif" w:eastAsia="Liberation Serif"/>
          <w:b w:val="0"/>
          <w:i w:val="0"/>
          <w:sz w:val="21"/>
        </w:rPr>
        <w:t>Accordingly, in such amalgamations, the restrictions in Section 57(2) that would otherwise prevent deferral or use of tax attributes after change in ownership do not apply. These include restrictions on deducting carried-forward interest, deducting losses incurred before ownership change, making adjustments under Section 24(4) or Section 25(1), setting off losses from disposal of assets or liabilities under Section 36, and claiming expenses for premiums accounted for before ownership change and refunded after ownership change. Section 57(3), which treats the periods before and after ownership change as separate income years, also does not apply in the case covered by Section 47A.</w:t>
      </w:r>
    </w:p>
    <w:p>
      <w:pPr>
        <w:spacing w:after="80" w:line="252" w:lineRule="auto"/>
      </w:pPr>
      <w:r>
        <w:rPr>
          <w:rFonts w:ascii="Liberation Serif" w:hAnsi="Liberation Serif" w:eastAsia="Liberation Serif"/>
          <w:b w:val="0"/>
          <w:i w:val="0"/>
          <w:sz w:val="21"/>
        </w:rPr>
        <w:t>However, if the entity that ceases to exist after amalgamation has an unutilised loss, the loss must be deducted proportionately over the next seven years. If the entity deducting such loss is again divided before the full loss is deducted, tax must be paid on the amount of loss already deducted, at the tax rate applicable in the financial year of the merger or acquisition. The remaining undeducted loss is not deductible.</w:t>
      </w:r>
    </w:p>
    <w:tbl>
      <w:tblPr>
        <w:tblStyle w:val="TableGrid"/>
        <w:tblW w:type="auto" w:w="0"/>
        <w:jc w:val="center"/>
        <w:tblLook w:firstColumn="1" w:firstRow="1" w:lastColumn="0" w:lastRow="0" w:noHBand="0" w:noVBand="1" w:val="04A0"/>
      </w:tblPr>
      <w:tblGrid>
        <w:gridCol w:w="3475"/>
        <w:gridCol w:w="3475"/>
        <w:gridCol w:w="3475"/>
      </w:tblGrid>
      <w:tr>
        <w:trPr>
          <w:tblHeader w:val="true"/>
        </w:trPr>
        <w:tc>
          <w:tcPr>
            <w:tcW w:type="dxa" w:w="1361"/>
            <w:vAlign w:val="top"/>
            <w:shd w:fill="D9EAF7"/>
          </w:tcPr>
          <w:p>
            <w:pPr>
              <w:spacing w:after="0" w:line="240" w:lineRule="auto"/>
            </w:pPr>
            <w:r/>
            <w:r>
              <w:rPr>
                <w:rFonts w:ascii="Liberation Serif" w:hAnsi="Liberation Serif" w:eastAsia="Liberation Serif"/>
                <w:b/>
                <w:sz w:val="16"/>
              </w:rPr>
              <w:t>Example</w:t>
            </w:r>
          </w:p>
        </w:tc>
        <w:tc>
          <w:tcPr>
            <w:tcW w:type="dxa" w:w="4082"/>
            <w:vAlign w:val="top"/>
            <w:shd w:fill="D9EAF7"/>
          </w:tcPr>
          <w:p>
            <w:pPr>
              <w:spacing w:after="0" w:line="240" w:lineRule="auto"/>
            </w:pPr>
            <w:r/>
            <w:r>
              <w:rPr>
                <w:rFonts w:ascii="Liberation Serif" w:hAnsi="Liberation Serif" w:eastAsia="Liberation Serif"/>
                <w:b/>
                <w:sz w:val="16"/>
              </w:rPr>
              <w:t>Facts</w:t>
            </w:r>
          </w:p>
        </w:tc>
        <w:tc>
          <w:tcPr>
            <w:tcW w:type="dxa" w:w="3628"/>
            <w:vAlign w:val="top"/>
            <w:shd w:fill="D9EAF7"/>
          </w:tcPr>
          <w:p>
            <w:pPr>
              <w:spacing w:after="0" w:line="240" w:lineRule="auto"/>
            </w:pPr>
            <w:r/>
            <w:r>
              <w:rPr>
                <w:rFonts w:ascii="Liberation Serif" w:hAnsi="Liberation Serif" w:eastAsia="Liberation Serif"/>
                <w:b/>
                <w:sz w:val="16"/>
              </w:rPr>
              <w:t>Tax treatment</w:t>
            </w:r>
          </w:p>
        </w:tc>
      </w:tr>
      <w:tr>
        <w:tc>
          <w:tcPr>
            <w:tcW w:type="dxa" w:w="1361"/>
            <w:vAlign w:val="top"/>
          </w:tcPr>
          <w:p>
            <w:pPr>
              <w:spacing w:after="0" w:line="240" w:lineRule="auto"/>
            </w:pPr>
            <w:r/>
            <w:r>
              <w:rPr>
                <w:rFonts w:ascii="Liberation Serif" w:hAnsi="Liberation Serif" w:eastAsia="Liberation Serif"/>
                <w:b w:val="0"/>
                <w:sz w:val="16"/>
              </w:rPr>
              <w:t>19.6.1</w:t>
            </w:r>
          </w:p>
        </w:tc>
        <w:tc>
          <w:tcPr>
            <w:tcW w:type="dxa" w:w="4082"/>
            <w:vAlign w:val="top"/>
          </w:tcPr>
          <w:p>
            <w:pPr>
              <w:spacing w:after="0" w:line="240" w:lineRule="auto"/>
            </w:pPr>
            <w:r/>
            <w:r>
              <w:rPr>
                <w:rFonts w:ascii="Liberation Serif" w:hAnsi="Liberation Serif" w:eastAsia="Liberation Serif"/>
                <w:b w:val="0"/>
                <w:sz w:val="16"/>
              </w:rPr>
              <w:t>Kavre Bank Ltd. amalgamates Kaski Bank Ltd. by giving 90 shares of Kavre Bank for every 100 shares of Kaski Bank. Kaski Bank has undeducted loss of Rs. 21,000,000. After amalgamation, Kavre Bank's taxable income before loss deduction for the year is Rs. 30,000,000.</w:t>
            </w:r>
          </w:p>
        </w:tc>
        <w:tc>
          <w:tcPr>
            <w:tcW w:type="dxa" w:w="3628"/>
            <w:vAlign w:val="top"/>
          </w:tcPr>
          <w:p>
            <w:pPr>
              <w:spacing w:after="0" w:line="240" w:lineRule="auto"/>
            </w:pPr>
            <w:r/>
            <w:r>
              <w:rPr>
                <w:rFonts w:ascii="Liberation Serif" w:hAnsi="Liberation Serif" w:eastAsia="Liberation Serif"/>
                <w:b w:val="0"/>
                <w:sz w:val="16"/>
              </w:rPr>
              <w:t>The undeducted loss of the amalgamated entity that ceases to exist may be deducted proportionately over seven years. In the year of amalgamation, only Rs. 3,000,000 may be deducted. Only loss not older than seven years before amalgamation may be deducted under this provision.</w:t>
            </w:r>
          </w:p>
        </w:tc>
      </w:tr>
      <w:tr>
        <w:tc>
          <w:tcPr>
            <w:tcW w:type="dxa" w:w="1361"/>
            <w:vAlign w:val="top"/>
          </w:tcPr>
          <w:p>
            <w:pPr>
              <w:spacing w:after="0" w:line="240" w:lineRule="auto"/>
            </w:pPr>
            <w:r/>
            <w:r>
              <w:rPr>
                <w:rFonts w:ascii="Liberation Serif" w:hAnsi="Liberation Serif" w:eastAsia="Liberation Serif"/>
                <w:b w:val="0"/>
                <w:sz w:val="16"/>
              </w:rPr>
              <w:t>19.6.2</w:t>
            </w:r>
          </w:p>
        </w:tc>
        <w:tc>
          <w:tcPr>
            <w:tcW w:type="dxa" w:w="4082"/>
            <w:vAlign w:val="top"/>
          </w:tcPr>
          <w:p>
            <w:pPr>
              <w:spacing w:after="0" w:line="240" w:lineRule="auto"/>
            </w:pPr>
            <w:r/>
            <w:r>
              <w:rPr>
                <w:rFonts w:ascii="Liberation Serif" w:hAnsi="Liberation Serif" w:eastAsia="Liberation Serif"/>
                <w:b w:val="0"/>
                <w:sz w:val="16"/>
              </w:rPr>
              <w:t>Kavre Bank amalgamates Kaski Bank on the same share-exchange basis. Kavre Bank itself has undeducted loss of Rs. 13,000,000. After amalgamation, because Kaski Bank's business is also included, Kavre Bank's taxable income before loss deduction is Rs. 30,000,000.</w:t>
            </w:r>
          </w:p>
        </w:tc>
        <w:tc>
          <w:tcPr>
            <w:tcW w:type="dxa" w:w="3628"/>
            <w:vAlign w:val="top"/>
          </w:tcPr>
          <w:p>
            <w:pPr>
              <w:spacing w:after="0" w:line="240" w:lineRule="auto"/>
            </w:pPr>
            <w:r/>
            <w:r>
              <w:rPr>
                <w:rFonts w:ascii="Liberation Serif" w:hAnsi="Liberation Serif" w:eastAsia="Liberation Serif"/>
                <w:b w:val="0"/>
                <w:sz w:val="16"/>
              </w:rPr>
              <w:t>The carried-forward loss of Kavre Bank, the surviving entity, may be deducted under Section 20 for up to seven years from the year in which the loss was created. It need not be spread in equal instalments.</w:t>
            </w:r>
          </w:p>
        </w:tc>
      </w:tr>
      <w:tr>
        <w:tc>
          <w:tcPr>
            <w:tcW w:type="dxa" w:w="1361"/>
            <w:vAlign w:val="top"/>
          </w:tcPr>
          <w:p>
            <w:pPr>
              <w:spacing w:after="0" w:line="240" w:lineRule="auto"/>
            </w:pPr>
            <w:r/>
            <w:r>
              <w:rPr>
                <w:rFonts w:ascii="Liberation Serif" w:hAnsi="Liberation Serif" w:eastAsia="Liberation Serif"/>
                <w:b w:val="0"/>
                <w:sz w:val="16"/>
              </w:rPr>
              <w:t>19.6.3</w:t>
            </w:r>
          </w:p>
        </w:tc>
        <w:tc>
          <w:tcPr>
            <w:tcW w:type="dxa" w:w="4082"/>
            <w:vAlign w:val="top"/>
          </w:tcPr>
          <w:p>
            <w:pPr>
              <w:spacing w:after="0" w:line="240" w:lineRule="auto"/>
            </w:pPr>
            <w:r/>
            <w:r>
              <w:rPr>
                <w:rFonts w:ascii="Liberation Serif" w:hAnsi="Liberation Serif" w:eastAsia="Liberation Serif"/>
                <w:b w:val="0"/>
                <w:sz w:val="16"/>
              </w:rPr>
              <w:t>Kaski Bank had undeducted loss of Rs. 21,000,000. Four years after amalgamation, former shareholders of Kaski Bank separate from Kavre Bank.</w:t>
            </w:r>
          </w:p>
        </w:tc>
        <w:tc>
          <w:tcPr>
            <w:tcW w:type="dxa" w:w="3628"/>
            <w:vAlign w:val="top"/>
          </w:tcPr>
          <w:p>
            <w:pPr>
              <w:spacing w:after="0" w:line="240" w:lineRule="auto"/>
            </w:pPr>
            <w:r/>
            <w:r>
              <w:rPr>
                <w:rFonts w:ascii="Liberation Serif" w:hAnsi="Liberation Serif" w:eastAsia="Liberation Serif"/>
                <w:b w:val="0"/>
                <w:sz w:val="16"/>
              </w:rPr>
              <w:t>Four-sevenths of the old loss, Rs. 12,000,000, would already have been deducted. In the year of division, Kavre Bank must pay tax on Rs. 12,000,000 at the tax rate applicable in the year of merger. The remaining undeducted loss of Rs. 9,000,000 is also not deductible.</w:t>
            </w:r>
          </w:p>
        </w:tc>
      </w:tr>
    </w:tbl>
    <w:p/>
    <w:p>
      <w:pPr>
        <w:spacing w:after="80" w:line="252" w:lineRule="auto"/>
      </w:pPr>
      <w:r>
        <w:rPr>
          <w:rFonts w:ascii="Liberation Serif" w:hAnsi="Liberation Serif" w:eastAsia="Liberation Serif"/>
          <w:b w:val="0"/>
          <w:i w:val="0"/>
          <w:sz w:val="21"/>
        </w:rPr>
        <w:t>When entities amalgamate, all assets and liabilities of one entity are transferred to another entity. Section 47A(2) provides the valuation rules for such transfer:</w:t>
      </w:r>
    </w:p>
    <w:tbl>
      <w:tblPr>
        <w:tblStyle w:val="TableGrid"/>
        <w:tblW w:type="auto" w:w="0"/>
        <w:jc w:val="center"/>
        <w:tblLook w:firstColumn="1" w:firstRow="1" w:lastColumn="0" w:lastRow="0" w:noHBand="0" w:noVBand="1" w:val="04A0"/>
      </w:tblPr>
      <w:tblGrid>
        <w:gridCol w:w="5213"/>
        <w:gridCol w:w="5213"/>
      </w:tblGrid>
      <w:tr>
        <w:trPr>
          <w:tblHeader w:val="true"/>
        </w:trPr>
        <w:tc>
          <w:tcPr>
            <w:tcW w:type="dxa" w:w="2494"/>
            <w:vAlign w:val="top"/>
            <w:shd w:fill="D9EAF7"/>
          </w:tcPr>
          <w:p>
            <w:pPr>
              <w:spacing w:after="0" w:line="240" w:lineRule="auto"/>
            </w:pPr>
            <w:r/>
            <w:r>
              <w:rPr>
                <w:rFonts w:ascii="Liberation Serif" w:hAnsi="Liberation Serif" w:eastAsia="Liberation Serif"/>
                <w:b/>
                <w:sz w:val="16"/>
              </w:rPr>
              <w:t>Item disposed of</w:t>
            </w:r>
          </w:p>
        </w:tc>
        <w:tc>
          <w:tcPr>
            <w:tcW w:type="dxa" w:w="6576"/>
            <w:vAlign w:val="top"/>
            <w:shd w:fill="D9EAF7"/>
          </w:tcPr>
          <w:p>
            <w:pPr>
              <w:spacing w:after="0" w:line="240" w:lineRule="auto"/>
            </w:pPr>
            <w:r/>
            <w:r>
              <w:rPr>
                <w:rFonts w:ascii="Liberation Serif" w:hAnsi="Liberation Serif" w:eastAsia="Liberation Serif"/>
                <w:b/>
                <w:sz w:val="16"/>
              </w:rPr>
              <w:t>Deemed receipt / cost rule</w:t>
            </w:r>
          </w:p>
        </w:tc>
      </w:tr>
      <w:tr>
        <w:tc>
          <w:tcPr>
            <w:tcW w:type="dxa" w:w="2494"/>
            <w:vAlign w:val="top"/>
          </w:tcPr>
          <w:p>
            <w:pPr>
              <w:spacing w:after="0" w:line="240" w:lineRule="auto"/>
            </w:pPr>
            <w:r>
              <w:t>Stock-in-trade and business asset</w:t>
            </w:r>
            <w:r>
              <w:rPr>
                <w:rFonts w:ascii="Liberation Serif" w:hAnsi="Liberation Serif" w:eastAsia="Liberation Serif"/>
                <w:b w:val="0"/>
                <w:sz w:val="16"/>
              </w:rPr>
            </w:r>
          </w:p>
        </w:tc>
        <w:tc>
          <w:tcPr>
            <w:tcW w:type="dxa" w:w="6576"/>
            <w:vAlign w:val="top"/>
          </w:tcPr>
          <w:p>
            <w:pPr>
              <w:spacing w:after="0" w:line="240" w:lineRule="auto"/>
            </w:pPr>
            <w:r/>
            <w:r>
              <w:rPr>
                <w:rFonts w:ascii="Liberation Serif" w:hAnsi="Liberation Serif" w:eastAsia="Liberation Serif"/>
                <w:b w:val="0"/>
                <w:sz w:val="16"/>
              </w:rPr>
              <w:t>The amount equal to the net cost of the asset immediately before disposal is treated as the amount received by the disposing person. The same amount is treated as the cost of the person acquiring the asset.</w:t>
            </w:r>
          </w:p>
        </w:tc>
      </w:tr>
      <w:tr>
        <w:tc>
          <w:tcPr>
            <w:tcW w:type="dxa" w:w="2494"/>
            <w:vAlign w:val="top"/>
          </w:tcPr>
          <w:p>
            <w:pPr>
              <w:spacing w:after="0" w:line="240" w:lineRule="auto"/>
            </w:pPr>
            <w:r>
              <w:t>Depreciable property</w:t>
            </w:r>
            <w:r>
              <w:rPr>
                <w:rFonts w:ascii="Liberation Serif" w:hAnsi="Liberation Serif" w:eastAsia="Liberation Serif"/>
                <w:b w:val="0"/>
                <w:sz w:val="16"/>
              </w:rPr>
            </w:r>
          </w:p>
        </w:tc>
        <w:tc>
          <w:tcPr>
            <w:tcW w:type="dxa" w:w="6576"/>
            <w:vAlign w:val="top"/>
          </w:tcPr>
          <w:p>
            <w:pPr>
              <w:spacing w:after="0" w:line="240" w:lineRule="auto"/>
            </w:pPr>
            <w:r/>
            <w:r>
              <w:rPr>
                <w:rFonts w:ascii="Liberation Serif" w:hAnsi="Liberation Serif" w:eastAsia="Liberation Serif"/>
                <w:b w:val="0"/>
                <w:sz w:val="16"/>
              </w:rPr>
              <w:t>The amount equal to the declining-balance value of the pool under paragraph 4 of Schedule 2 at the time of disposal is treated as the amount received on disposal. The same amount is treated as the cost of the person acquiring the asset.</w:t>
            </w:r>
          </w:p>
        </w:tc>
      </w:tr>
      <w:tr>
        <w:tc>
          <w:tcPr>
            <w:tcW w:type="dxa" w:w="2494"/>
            <w:vAlign w:val="top"/>
          </w:tcPr>
          <w:p>
            <w:pPr>
              <w:spacing w:after="0" w:line="240" w:lineRule="auto"/>
            </w:pPr>
            <w:r/>
            <w:r>
              <w:rPr>
                <w:rFonts w:ascii="Liberation Serif" w:hAnsi="Liberation Serif" w:eastAsia="Liberation Serif"/>
                <w:b w:val="0"/>
                <w:sz w:val="16"/>
              </w:rPr>
              <w:t>Liability</w:t>
            </w:r>
          </w:p>
        </w:tc>
        <w:tc>
          <w:tcPr>
            <w:tcW w:type="dxa" w:w="6576"/>
            <w:vAlign w:val="top"/>
          </w:tcPr>
          <w:p>
            <w:pPr>
              <w:spacing w:after="0" w:line="240" w:lineRule="auto"/>
            </w:pPr>
            <w:r/>
            <w:r>
              <w:rPr>
                <w:rFonts w:ascii="Liberation Serif" w:hAnsi="Liberation Serif" w:eastAsia="Liberation Serif"/>
                <w:b w:val="0"/>
                <w:sz w:val="16"/>
              </w:rPr>
              <w:t>The amount equal to the lesser of the market value of the liability immediately before disposal and its net incoming is treated as the cost of disposal for the disposing person. The same amount is treated as the amount received by the person assuming the liability.</w:t>
            </w:r>
          </w:p>
        </w:tc>
      </w:tr>
      <w:tr>
        <w:tc>
          <w:tcPr>
            <w:tcW w:type="dxa" w:w="2494"/>
            <w:vAlign w:val="top"/>
          </w:tcPr>
          <w:p>
            <w:pPr>
              <w:spacing w:after="0" w:line="240" w:lineRule="auto"/>
            </w:pPr>
            <w:r/>
            <w:r>
              <w:rPr>
                <w:rFonts w:ascii="Liberation Serif" w:hAnsi="Liberation Serif" w:eastAsia="Liberation Serif"/>
                <w:b w:val="0"/>
                <w:sz w:val="16"/>
              </w:rPr>
              <w:t>Cost of merged assets and liabilities</w:t>
            </w:r>
          </w:p>
        </w:tc>
        <w:tc>
          <w:tcPr>
            <w:tcW w:type="dxa" w:w="6576"/>
            <w:vAlign w:val="top"/>
          </w:tcPr>
          <w:p>
            <w:pPr>
              <w:spacing w:after="0" w:line="240" w:lineRule="auto"/>
            </w:pPr>
            <w:r/>
            <w:r>
              <w:rPr>
                <w:rFonts w:ascii="Liberation Serif" w:hAnsi="Liberation Serif" w:eastAsia="Liberation Serif"/>
                <w:b w:val="0"/>
                <w:sz w:val="16"/>
              </w:rPr>
              <w:t>The entity acquiring the business or the entity existing after amalgamation must compute the cost of the amalgamated assets and liabilities only on the basis of the costs of the assets and liabilities that existed in the amalgamating entity immediately before the merger or acquisition.</w:t>
            </w:r>
          </w:p>
        </w:tc>
      </w:tr>
    </w:tbl>
    <w:p/>
    <w:tbl>
      <w:tblPr>
        <w:tblStyle w:val="TableGrid"/>
        <w:tblW w:type="auto" w:w="0"/>
        <w:jc w:val="center"/>
        <w:tblLook w:firstColumn="1" w:firstRow="1" w:lastColumn="0" w:lastRow="0" w:noHBand="0" w:noVBand="1" w:val="04A0"/>
      </w:tblPr>
      <w:tblGrid>
        <w:gridCol w:w="5213"/>
        <w:gridCol w:w="5213"/>
      </w:tblGrid>
      <w:tr>
        <w:trPr>
          <w:tblHeader w:val="true"/>
        </w:trPr>
        <w:tc>
          <w:tcPr>
            <w:tcW w:type="dxa" w:w="1361"/>
            <w:vAlign w:val="top"/>
            <w:shd w:fill="D9EAF7"/>
          </w:tcPr>
          <w:p>
            <w:pPr>
              <w:spacing w:after="0" w:line="240" w:lineRule="auto"/>
            </w:pPr>
            <w:r/>
            <w:r>
              <w:rPr>
                <w:rFonts w:ascii="Liberation Serif" w:hAnsi="Liberation Serif" w:eastAsia="Liberation Serif"/>
                <w:b/>
                <w:sz w:val="16"/>
              </w:rPr>
              <w:t>Example</w:t>
            </w:r>
          </w:p>
        </w:tc>
        <w:tc>
          <w:tcPr>
            <w:tcW w:type="dxa" w:w="7710"/>
            <w:vAlign w:val="top"/>
            <w:shd w:fill="D9EAF7"/>
          </w:tcPr>
          <w:p>
            <w:pPr>
              <w:spacing w:after="0" w:line="240" w:lineRule="auto"/>
            </w:pPr>
            <w:r/>
            <w:r>
              <w:rPr>
                <w:rFonts w:ascii="Liberation Serif" w:hAnsi="Liberation Serif" w:eastAsia="Liberation Serif"/>
                <w:b/>
                <w:sz w:val="16"/>
              </w:rPr>
              <w:t>Facts / rule</w:t>
            </w:r>
          </w:p>
        </w:tc>
      </w:tr>
      <w:tr>
        <w:tc>
          <w:tcPr>
            <w:tcW w:type="dxa" w:w="1361"/>
            <w:vAlign w:val="top"/>
          </w:tcPr>
          <w:p>
            <w:pPr>
              <w:spacing w:after="0" w:line="240" w:lineRule="auto"/>
            </w:pPr>
            <w:r/>
            <w:r>
              <w:rPr>
                <w:rFonts w:ascii="Liberation Serif" w:hAnsi="Liberation Serif" w:eastAsia="Liberation Serif"/>
                <w:b w:val="0"/>
                <w:sz w:val="16"/>
              </w:rPr>
              <w:t>19.6.4</w:t>
            </w:r>
          </w:p>
        </w:tc>
        <w:tc>
          <w:tcPr>
            <w:tcW w:type="dxa" w:w="7710"/>
            <w:vAlign w:val="top"/>
          </w:tcPr>
          <w:p>
            <w:pPr>
              <w:spacing w:after="0" w:line="240" w:lineRule="auto"/>
            </w:pPr>
            <w:r>
              <w:t>Kavre Bank Ltd. amalgamates Kaski Bank Ltd. by giving 9 shares for every 10 shares. Business assets are deemed disposed of and acquired at their net outgoings immediately before amalgamation. Depreciable property are deemed disposed of and acquired at the declining-balance value under Schedule 2 immediately before amalgamation. Business liabilities are valued at the lesser of net incoming and market value immediately before amalgamation.</w:t>
            </w:r>
            <w:r>
              <w:rPr>
                <w:rFonts w:ascii="Liberation Serif" w:hAnsi="Liberation Serif" w:eastAsia="Liberation Serif"/>
                <w:b w:val="0"/>
                <w:sz w:val="16"/>
              </w:rPr>
            </w:r>
          </w:p>
        </w:tc>
      </w:tr>
      <w:tr>
        <w:tc>
          <w:tcPr>
            <w:tcW w:type="dxa" w:w="1361"/>
            <w:vAlign w:val="top"/>
          </w:tcPr>
          <w:p>
            <w:pPr>
              <w:spacing w:after="0" w:line="240" w:lineRule="auto"/>
            </w:pPr>
            <w:r/>
            <w:r>
              <w:rPr>
                <w:rFonts w:ascii="Liberation Serif" w:hAnsi="Liberation Serif" w:eastAsia="Liberation Serif"/>
                <w:b w:val="0"/>
                <w:sz w:val="16"/>
              </w:rPr>
              <w:t>19.6.5</w:t>
            </w:r>
          </w:p>
        </w:tc>
        <w:tc>
          <w:tcPr>
            <w:tcW w:type="dxa" w:w="7710"/>
            <w:vAlign w:val="top"/>
          </w:tcPr>
          <w:p>
            <w:pPr>
              <w:spacing w:after="0" w:line="240" w:lineRule="auto"/>
            </w:pPr>
            <w:r>
              <w:t>Kaski Bank Ltd. is amalgamated into Kavre Bank Ltd. on 3 Magh 2071. On that date, the depreciation base of Kaski Bank's Pool B depreciable property is Rs. 1,000,000. Annual depreciation at 25% is Rs. 250,000. The depreciation must be apportioned: Kaski Bank claims Rs. 127,603 for 186 days and Kavre Bank claims Rs. 122,603 for the remaining 179 days.</w:t>
            </w:r>
            <w:r>
              <w:rPr>
                <w:rFonts w:ascii="Liberation Serif" w:hAnsi="Liberation Serif" w:eastAsia="Liberation Serif"/>
                <w:b w:val="0"/>
                <w:sz w:val="16"/>
              </w:rPr>
            </w:r>
          </w:p>
        </w:tc>
      </w:tr>
    </w:tbl>
    <w:p/>
    <w:p>
      <w:pPr>
        <w:spacing w:after="80" w:line="252" w:lineRule="auto"/>
      </w:pPr>
      <w:r>
        <w:rPr>
          <w:rFonts w:ascii="Liberation Serif" w:hAnsi="Liberation Serif" w:eastAsia="Liberation Serif"/>
          <w:b w:val="0"/>
          <w:i w:val="0"/>
          <w:sz w:val="21"/>
        </w:rPr>
        <w:t>If, in the course of amalgamation, employees of the amalgamating or amalgamated company are given collective retirement, Section 47A(3) provides that a 50% concession is given in the rate of tax withholding on additional lump-sum retirement payments made for collective retirement, excluding payments made through a retirement fund or payments required under employee service conditions.</w:t>
      </w:r>
    </w:p>
    <w:tbl>
      <w:tblPr>
        <w:tblStyle w:val="TableGrid"/>
        <w:tblW w:type="auto" w:w="0"/>
        <w:jc w:val="center"/>
        <w:tblLook w:firstColumn="1" w:firstRow="1" w:lastColumn="0" w:lastRow="0" w:noHBand="0" w:noVBand="1" w:val="04A0"/>
      </w:tblPr>
      <w:tblGrid>
        <w:gridCol w:w="5213"/>
        <w:gridCol w:w="5213"/>
      </w:tblGrid>
      <w:tr>
        <w:trPr>
          <w:tblHeader w:val="true"/>
        </w:trPr>
        <w:tc>
          <w:tcPr>
            <w:tcW w:type="dxa" w:w="4252"/>
            <w:vAlign w:val="top"/>
            <w:shd w:fill="D9EAF7"/>
          </w:tcPr>
          <w:p>
            <w:pPr>
              <w:spacing w:after="0" w:line="240" w:lineRule="auto"/>
            </w:pPr>
            <w:r/>
            <w:r>
              <w:rPr>
                <w:rFonts w:ascii="Liberation Serif" w:hAnsi="Liberation Serif" w:eastAsia="Liberation Serif"/>
                <w:b/>
                <w:sz w:val="16"/>
              </w:rPr>
              <w:t>Example 19.6.6</w:t>
            </w:r>
          </w:p>
        </w:tc>
        <w:tc>
          <w:tcPr>
            <w:tcW w:type="dxa" w:w="4819"/>
            <w:vAlign w:val="top"/>
            <w:shd w:fill="D9EAF7"/>
          </w:tcPr>
          <w:p>
            <w:pPr>
              <w:spacing w:after="0" w:line="240" w:lineRule="auto"/>
            </w:pPr>
            <w:r/>
            <w:r>
              <w:rPr>
                <w:rFonts w:ascii="Liberation Serif" w:hAnsi="Liberation Serif" w:eastAsia="Liberation Serif"/>
                <w:b/>
                <w:sz w:val="16"/>
              </w:rPr>
              <w:t>Treatment</w:t>
            </w:r>
          </w:p>
        </w:tc>
      </w:tr>
      <w:tr>
        <w:tc>
          <w:tcPr>
            <w:tcW w:type="dxa" w:w="4252"/>
            <w:vAlign w:val="top"/>
          </w:tcPr>
          <w:p>
            <w:pPr>
              <w:spacing w:after="0" w:line="240" w:lineRule="auto"/>
            </w:pPr>
            <w:r/>
            <w:r>
              <w:rPr>
                <w:rFonts w:ascii="Liberation Serif" w:hAnsi="Liberation Serif" w:eastAsia="Liberation Serif"/>
                <w:b w:val="0"/>
                <w:sz w:val="16"/>
              </w:rPr>
              <w:t>Kavre Bank amalgamates Kaski Bank by giving 9 shares for every 10 shares. One condition of amalgamation is that 60% of employees of both banks will be given collective retirement and will receive an additional Rs. 100,000 in addition to benefits under the relevant employee rules.</w:t>
            </w:r>
          </w:p>
        </w:tc>
        <w:tc>
          <w:tcPr>
            <w:tcW w:type="dxa" w:w="4819"/>
            <w:vAlign w:val="top"/>
          </w:tcPr>
          <w:p>
            <w:pPr>
              <w:spacing w:after="0" w:line="240" w:lineRule="auto"/>
            </w:pPr>
            <w:r/>
            <w:r>
              <w:rPr>
                <w:rFonts w:ascii="Liberation Serif" w:hAnsi="Liberation Serif" w:eastAsia="Liberation Serif"/>
                <w:b w:val="0"/>
                <w:sz w:val="16"/>
              </w:rPr>
              <w:t>On that additional payment, a 50% concession is applied to the tax otherwise chargeable. Payment Rs. 100,000; exempt/concession portion Rs. 50,000; remaining amount Rs. 50,000; withholding at 15% = Rs. 7,500. Under Section 92, this is income taxed by final withholding.</w:t>
            </w:r>
          </w:p>
        </w:tc>
      </w:tr>
    </w:tbl>
    <w:p/>
    <w:p>
      <w:pPr>
        <w:spacing w:after="80" w:line="252" w:lineRule="auto"/>
      </w:pPr>
      <w:r>
        <w:rPr>
          <w:rFonts w:ascii="Liberation Serif" w:hAnsi="Liberation Serif" w:eastAsia="Liberation Serif"/>
          <w:b w:val="0"/>
          <w:i w:val="0"/>
          <w:sz w:val="21"/>
        </w:rPr>
        <w:t>In the course of amalgamation, the shareholders of the amalgamating company receive shares of the acquiring company. Section 47A(4) provides that where shareholders of an entity that ceases to exist after amalgamation dispose of the shares received within two years from the date of amalgamation, capital gains tax is not levied on the gain from such disposal.</w:t>
      </w:r>
    </w:p>
    <w:tbl>
      <w:tblPr>
        <w:tblStyle w:val="TableGrid"/>
        <w:tblW w:type="auto" w:w="0"/>
        <w:jc w:val="center"/>
        <w:tblLook w:firstColumn="1" w:firstRow="1" w:lastColumn="0" w:lastRow="0" w:noHBand="0" w:noVBand="1" w:val="04A0"/>
      </w:tblPr>
      <w:tblGrid>
        <w:gridCol w:w="3475"/>
        <w:gridCol w:w="3475"/>
        <w:gridCol w:w="3475"/>
      </w:tblGrid>
      <w:tr>
        <w:trPr>
          <w:tblHeader w:val="true"/>
        </w:trPr>
        <w:tc>
          <w:tcPr>
            <w:tcW w:type="dxa" w:w="1361"/>
            <w:vAlign w:val="top"/>
            <w:shd w:fill="D9EAF7"/>
          </w:tcPr>
          <w:p>
            <w:pPr>
              <w:spacing w:after="0" w:line="240" w:lineRule="auto"/>
            </w:pPr>
            <w:r/>
            <w:r>
              <w:rPr>
                <w:rFonts w:ascii="Liberation Serif" w:hAnsi="Liberation Serif" w:eastAsia="Liberation Serif"/>
                <w:b/>
                <w:sz w:val="15"/>
              </w:rPr>
              <w:t>Example</w:t>
            </w:r>
          </w:p>
        </w:tc>
        <w:tc>
          <w:tcPr>
            <w:tcW w:type="dxa" w:w="4309"/>
            <w:vAlign w:val="top"/>
            <w:shd w:fill="D9EAF7"/>
          </w:tcPr>
          <w:p>
            <w:pPr>
              <w:spacing w:after="0" w:line="240" w:lineRule="auto"/>
            </w:pPr>
            <w:r/>
            <w:r>
              <w:rPr>
                <w:rFonts w:ascii="Liberation Serif" w:hAnsi="Liberation Serif" w:eastAsia="Liberation Serif"/>
                <w:b/>
                <w:sz w:val="15"/>
              </w:rPr>
              <w:t>Facts</w:t>
            </w:r>
          </w:p>
        </w:tc>
        <w:tc>
          <w:tcPr>
            <w:tcW w:type="dxa" w:w="3402"/>
            <w:vAlign w:val="top"/>
            <w:shd w:fill="D9EAF7"/>
          </w:tcPr>
          <w:p>
            <w:pPr>
              <w:spacing w:after="0" w:line="240" w:lineRule="auto"/>
            </w:pPr>
            <w:r/>
            <w:r>
              <w:rPr>
                <w:rFonts w:ascii="Liberation Serif" w:hAnsi="Liberation Serif" w:eastAsia="Liberation Serif"/>
                <w:b/>
                <w:sz w:val="15"/>
              </w:rPr>
              <w:t>Tax treatment</w:t>
            </w:r>
          </w:p>
        </w:tc>
      </w:tr>
      <w:tr>
        <w:tc>
          <w:tcPr>
            <w:tcW w:type="dxa" w:w="1361"/>
            <w:vAlign w:val="top"/>
          </w:tcPr>
          <w:p>
            <w:pPr>
              <w:spacing w:after="0" w:line="240" w:lineRule="auto"/>
            </w:pPr>
            <w:r/>
            <w:r>
              <w:rPr>
                <w:rFonts w:ascii="Liberation Serif" w:hAnsi="Liberation Serif" w:eastAsia="Liberation Serif"/>
                <w:b w:val="0"/>
                <w:sz w:val="15"/>
              </w:rPr>
              <w:t>19.6.7</w:t>
            </w:r>
          </w:p>
        </w:tc>
        <w:tc>
          <w:tcPr>
            <w:tcW w:type="dxa" w:w="4309"/>
            <w:vAlign w:val="top"/>
          </w:tcPr>
          <w:p>
            <w:pPr>
              <w:spacing w:after="0" w:line="240" w:lineRule="auto"/>
            </w:pPr>
            <w:r/>
            <w:r>
              <w:rPr>
                <w:rFonts w:ascii="Liberation Serif" w:hAnsi="Liberation Serif" w:eastAsia="Liberation Serif"/>
                <w:b w:val="0"/>
                <w:sz w:val="15"/>
              </w:rPr>
              <w:t>Kavre Bank Ltd. and Kaski Bank Ltd. merge on 2080/02/29. The exchange ratio is 9 shares of Kavre Bank for every 10 shares of Kaski Bank. Rameshji Shah had 1,000 shares of Kaski Bank, paid-up value Rs. 100 and cost Rs. 200 per share. Due to merger he receives 900 shares of Kavre Bank. He sells 400 shares of Kavre Bank on 2081/03/02 at Rs. 310 per share.</w:t>
            </w:r>
          </w:p>
        </w:tc>
        <w:tc>
          <w:tcPr>
            <w:tcW w:type="dxa" w:w="3402"/>
            <w:vAlign w:val="top"/>
          </w:tcPr>
          <w:p>
            <w:pPr>
              <w:spacing w:after="0" w:line="240" w:lineRule="auto"/>
            </w:pPr>
            <w:r/>
            <w:r>
              <w:rPr>
                <w:rFonts w:ascii="Liberation Serif" w:hAnsi="Liberation Serif" w:eastAsia="Liberation Serif"/>
                <w:b w:val="0"/>
                <w:sz w:val="15"/>
              </w:rPr>
              <w:t>Gain = Rs. 110 x 400 = Rs. 44,000. Because the sale is within two years of the merger, capital gains tax is not levied on the gain.</w:t>
            </w:r>
          </w:p>
        </w:tc>
      </w:tr>
      <w:tr>
        <w:tc>
          <w:tcPr>
            <w:tcW w:type="dxa" w:w="1361"/>
            <w:vAlign w:val="top"/>
          </w:tcPr>
          <w:p>
            <w:pPr>
              <w:spacing w:after="0" w:line="240" w:lineRule="auto"/>
            </w:pPr>
            <w:r/>
            <w:r>
              <w:rPr>
                <w:rFonts w:ascii="Liberation Serif" w:hAnsi="Liberation Serif" w:eastAsia="Liberation Serif"/>
                <w:b w:val="0"/>
                <w:sz w:val="15"/>
              </w:rPr>
              <w:t>19.6.8</w:t>
            </w:r>
          </w:p>
        </w:tc>
        <w:tc>
          <w:tcPr>
            <w:tcW w:type="dxa" w:w="4309"/>
            <w:vAlign w:val="top"/>
          </w:tcPr>
          <w:p>
            <w:pPr>
              <w:spacing w:after="0" w:line="240" w:lineRule="auto"/>
            </w:pPr>
            <w:r/>
            <w:r>
              <w:rPr>
                <w:rFonts w:ascii="Liberation Serif" w:hAnsi="Liberation Serif" w:eastAsia="Liberation Serif"/>
                <w:b w:val="0"/>
                <w:sz w:val="15"/>
              </w:rPr>
              <w:t>Kavre Bank acquires Kaski Bank on 2080/02/01 under acquisition regulations prescribed by Nepal Rastra Bank. Immediately before acquisition, Garima Pvt. Ltd. holds 10,000 ordinary shares of Kaski Bank with paid-up value of Rs. 1,000,000. After acquisition, it receives 9,000 ordinary shares of Kavre Bank in exchange. It sells all shares on 2080/10/05 for Rs. 1,500,000.</w:t>
            </w:r>
          </w:p>
        </w:tc>
        <w:tc>
          <w:tcPr>
            <w:tcW w:type="dxa" w:w="3402"/>
            <w:vAlign w:val="top"/>
          </w:tcPr>
          <w:p>
            <w:pPr>
              <w:spacing w:after="0" w:line="240" w:lineRule="auto"/>
            </w:pPr>
            <w:r/>
            <w:r>
              <w:rPr>
                <w:rFonts w:ascii="Liberation Serif" w:hAnsi="Liberation Serif" w:eastAsia="Liberation Serif"/>
                <w:b w:val="0"/>
                <w:sz w:val="15"/>
              </w:rPr>
              <w:t>No tax is levied on the gain from the sale. If the shares were sold for Rs. 900,000 and a loss of Rs. 100,000 arose, that loss would relate to non-taxable income and could not be carried forward.</w:t>
            </w:r>
          </w:p>
        </w:tc>
      </w:tr>
    </w:tbl>
    <w:p/>
    <w:p>
      <w:pPr>
        <w:spacing w:after="80" w:line="252" w:lineRule="auto"/>
      </w:pPr>
      <w:r>
        <w:rPr>
          <w:rFonts w:ascii="Liberation Serif" w:hAnsi="Liberation Serif" w:eastAsia="Liberation Serif"/>
          <w:b w:val="0"/>
          <w:i w:val="0"/>
          <w:sz w:val="21"/>
        </w:rPr>
        <w:t>After the amalgamation process is complete, if the shareholders of the company that continues after amalgamation receive dividends from that company, Section 47A(5) provides that dividend distributed within two years from the date of amalgamation to the shareholders existing at the time of amalgamation is not taxed.</w:t>
      </w:r>
    </w:p>
    <w:tbl>
      <w:tblPr>
        <w:tblStyle w:val="TableGrid"/>
        <w:tblW w:type="auto" w:w="0"/>
        <w:jc w:val="center"/>
        <w:tblLook w:firstColumn="1" w:firstRow="1" w:lastColumn="0" w:lastRow="0" w:noHBand="0" w:noVBand="1" w:val="04A0"/>
      </w:tblPr>
      <w:tblGrid>
        <w:gridCol w:w="5213"/>
        <w:gridCol w:w="5213"/>
      </w:tblGrid>
      <w:tr>
        <w:trPr>
          <w:tblHeader w:val="true"/>
        </w:trPr>
        <w:tc>
          <w:tcPr>
            <w:tcW w:type="dxa" w:w="4082"/>
            <w:vAlign w:val="top"/>
            <w:shd w:fill="D9EAF7"/>
          </w:tcPr>
          <w:p>
            <w:pPr>
              <w:spacing w:after="0" w:line="240" w:lineRule="auto"/>
            </w:pPr>
            <w:r/>
            <w:r>
              <w:rPr>
                <w:rFonts w:ascii="Liberation Serif" w:hAnsi="Liberation Serif" w:eastAsia="Liberation Serif"/>
                <w:b/>
                <w:sz w:val="16"/>
              </w:rPr>
              <w:t>Example 19.6.9</w:t>
            </w:r>
          </w:p>
        </w:tc>
        <w:tc>
          <w:tcPr>
            <w:tcW w:type="dxa" w:w="4989"/>
            <w:vAlign w:val="top"/>
            <w:shd w:fill="D9EAF7"/>
          </w:tcPr>
          <w:p>
            <w:pPr>
              <w:spacing w:after="0" w:line="240" w:lineRule="auto"/>
            </w:pPr>
            <w:r/>
            <w:r>
              <w:rPr>
                <w:rFonts w:ascii="Liberation Serif" w:hAnsi="Liberation Serif" w:eastAsia="Liberation Serif"/>
                <w:b/>
                <w:sz w:val="16"/>
              </w:rPr>
              <w:t>Tax treatment</w:t>
            </w:r>
          </w:p>
        </w:tc>
      </w:tr>
      <w:tr>
        <w:tc>
          <w:tcPr>
            <w:tcW w:type="dxa" w:w="4082"/>
            <w:vAlign w:val="top"/>
          </w:tcPr>
          <w:p>
            <w:pPr>
              <w:spacing w:after="0" w:line="240" w:lineRule="auto"/>
            </w:pPr>
            <w:r/>
            <w:r>
              <w:rPr>
                <w:rFonts w:ascii="Liberation Serif" w:hAnsi="Liberation Serif" w:eastAsia="Liberation Serif"/>
                <w:b w:val="0"/>
                <w:sz w:val="16"/>
              </w:rPr>
              <w:t>Kavre Bank Ltd. amalgamates Kaski Bank Ltd. on 2079/02/29 by issuing 9 shares for every 10 shares. After amalgamation, Kavre Bank distributes dividend of Rs. 40 per share on 2080/02/20.</w:t>
            </w:r>
          </w:p>
        </w:tc>
        <w:tc>
          <w:tcPr>
            <w:tcW w:type="dxa" w:w="4989"/>
            <w:vAlign w:val="top"/>
          </w:tcPr>
          <w:p>
            <w:pPr>
              <w:spacing w:after="0" w:line="240" w:lineRule="auto"/>
            </w:pPr>
            <w:r/>
            <w:r>
              <w:rPr>
                <w:rFonts w:ascii="Liberation Serif" w:hAnsi="Liberation Serif" w:eastAsia="Liberation Serif"/>
                <w:b w:val="0"/>
                <w:sz w:val="16"/>
              </w:rPr>
              <w:t>No dividend tax is levied on dividends paid to shareholders who existed on 2079/02/29. The exemption applies only to the number of shares held by shareholders on the date of amalgamation; dividend on bonus shares or other additional shares issued after amalgamation is not exempt. If the dividend had been distributed after the permitted two-year period, the facility would not be available and dividend tax at 5% would apply.</w:t>
            </w:r>
          </w:p>
        </w:tc>
      </w:tr>
    </w:tbl>
    <w:p/>
    <w:p>
      <w:pPr>
        <w:spacing w:after="80" w:line="252" w:lineRule="auto"/>
      </w:pPr>
      <w:r>
        <w:rPr>
          <w:rFonts w:ascii="Liberation Serif" w:hAnsi="Liberation Serif" w:eastAsia="Liberation Serif"/>
          <w:b w:val="0"/>
          <w:i w:val="0"/>
          <w:sz w:val="21"/>
        </w:rPr>
        <w:t>Other provisions relating to the amalgamation of banks and financial institutions and companies carrying on insurance business are as follows:</w:t>
      </w:r>
    </w:p>
    <w:tbl>
      <w:tblPr>
        <w:tblStyle w:val="TableGrid"/>
        <w:tblW w:type="auto" w:w="0"/>
        <w:jc w:val="center"/>
        <w:tblLook w:firstColumn="1" w:firstRow="1" w:lastColumn="0" w:lastRow="0" w:noHBand="0" w:noVBand="1" w:val="04A0"/>
      </w:tblPr>
      <w:tblGrid>
        <w:gridCol w:w="5213"/>
        <w:gridCol w:w="5213"/>
      </w:tblGrid>
      <w:tr>
        <w:trPr>
          <w:tblHeader w:val="true"/>
        </w:trPr>
        <w:tc>
          <w:tcPr>
            <w:tcW w:type="dxa" w:w="1587"/>
            <w:vAlign w:val="top"/>
            <w:shd w:fill="D9EAF7"/>
          </w:tcPr>
          <w:p>
            <w:pPr>
              <w:spacing w:after="0" w:line="240" w:lineRule="auto"/>
            </w:pPr>
            <w:r/>
            <w:r>
              <w:rPr>
                <w:rFonts w:ascii="Liberation Serif" w:hAnsi="Liberation Serif" w:eastAsia="Liberation Serif"/>
                <w:b/>
                <w:sz w:val="16"/>
              </w:rPr>
              <w:t>Section</w:t>
            </w:r>
          </w:p>
        </w:tc>
        <w:tc>
          <w:tcPr>
            <w:tcW w:type="dxa" w:w="7483"/>
            <w:vAlign w:val="top"/>
            <w:shd w:fill="D9EAF7"/>
          </w:tcPr>
          <w:p>
            <w:pPr>
              <w:spacing w:after="0" w:line="240" w:lineRule="auto"/>
            </w:pPr>
            <w:r/>
            <w:r>
              <w:rPr>
                <w:rFonts w:ascii="Liberation Serif" w:hAnsi="Liberation Serif" w:eastAsia="Liberation Serif"/>
                <w:b/>
                <w:sz w:val="16"/>
              </w:rPr>
              <w:t>Provision</w:t>
            </w:r>
          </w:p>
        </w:tc>
      </w:tr>
      <w:tr>
        <w:tc>
          <w:tcPr>
            <w:tcW w:type="dxa" w:w="1587"/>
            <w:vAlign w:val="top"/>
          </w:tcPr>
          <w:p>
            <w:pPr>
              <w:spacing w:after="0" w:line="240" w:lineRule="auto"/>
            </w:pPr>
            <w:r/>
            <w:r>
              <w:rPr>
                <w:rFonts w:ascii="Liberation Serif" w:hAnsi="Liberation Serif" w:eastAsia="Liberation Serif"/>
                <w:b w:val="0"/>
                <w:sz w:val="16"/>
              </w:rPr>
              <w:t>47A(6)</w:t>
            </w:r>
          </w:p>
        </w:tc>
        <w:tc>
          <w:tcPr>
            <w:tcW w:type="dxa" w:w="7483"/>
            <w:vAlign w:val="top"/>
          </w:tcPr>
          <w:p>
            <w:pPr>
              <w:spacing w:after="0" w:line="240" w:lineRule="auto"/>
            </w:pPr>
            <w:r/>
            <w:r>
              <w:rPr>
                <w:rFonts w:ascii="Liberation Serif" w:hAnsi="Liberation Serif" w:eastAsia="Liberation Serif"/>
                <w:b w:val="0"/>
                <w:sz w:val="16"/>
              </w:rPr>
              <w:t>Entities of the same class wishing to amalgamate under subsection (1) must submit a letter of intent to the Department by the end of Ashad 2079.</w:t>
            </w:r>
          </w:p>
        </w:tc>
      </w:tr>
      <w:tr>
        <w:tc>
          <w:tcPr>
            <w:tcW w:type="dxa" w:w="1587"/>
            <w:vAlign w:val="top"/>
          </w:tcPr>
          <w:p>
            <w:pPr>
              <w:spacing w:after="0" w:line="240" w:lineRule="auto"/>
            </w:pPr>
            <w:r/>
            <w:r>
              <w:rPr>
                <w:rFonts w:ascii="Liberation Serif" w:hAnsi="Liberation Serif" w:eastAsia="Liberation Serif"/>
                <w:b w:val="0"/>
                <w:sz w:val="16"/>
              </w:rPr>
              <w:t>47A(7)</w:t>
            </w:r>
          </w:p>
        </w:tc>
        <w:tc>
          <w:tcPr>
            <w:tcW w:type="dxa" w:w="7483"/>
            <w:vAlign w:val="top"/>
          </w:tcPr>
          <w:p>
            <w:pPr>
              <w:spacing w:after="0" w:line="240" w:lineRule="auto"/>
            </w:pPr>
            <w:r/>
            <w:r>
              <w:rPr>
                <w:rFonts w:ascii="Liberation Serif" w:hAnsi="Liberation Serif" w:eastAsia="Liberation Serif"/>
                <w:b w:val="0"/>
                <w:sz w:val="16"/>
              </w:rPr>
              <w:t>Entities that submit a letter of intent under subsection (6) for amalgamation under subsection (1) must complete the amalgamation process by the end of Ashad 2080.</w:t>
            </w:r>
          </w:p>
        </w:tc>
      </w:tr>
      <w:tr>
        <w:tc>
          <w:tcPr>
            <w:tcW w:type="dxa" w:w="1587"/>
            <w:vAlign w:val="top"/>
          </w:tcPr>
          <w:p>
            <w:pPr>
              <w:spacing w:after="0" w:line="240" w:lineRule="auto"/>
            </w:pPr>
            <w:r/>
            <w:r>
              <w:rPr>
                <w:rFonts w:ascii="Liberation Serif" w:hAnsi="Liberation Serif" w:eastAsia="Liberation Serif"/>
                <w:b w:val="0"/>
                <w:sz w:val="16"/>
              </w:rPr>
              <w:t>47A(8)</w:t>
            </w:r>
          </w:p>
        </w:tc>
        <w:tc>
          <w:tcPr>
            <w:tcW w:type="dxa" w:w="7483"/>
            <w:vAlign w:val="top"/>
          </w:tcPr>
          <w:p>
            <w:pPr>
              <w:spacing w:after="0" w:line="240" w:lineRule="auto"/>
            </w:pPr>
            <w:r/>
            <w:r>
              <w:rPr>
                <w:rFonts w:ascii="Liberation Serif" w:hAnsi="Liberation Serif" w:eastAsia="Liberation Serif"/>
                <w:b w:val="0"/>
                <w:sz w:val="16"/>
              </w:rPr>
              <w:t>Entities that have amalgamated after commencement of this section but have not used the facility under this section may also use the facility accordingly.</w:t>
            </w:r>
          </w:p>
        </w:tc>
      </w:tr>
      <w:tr>
        <w:tc>
          <w:tcPr>
            <w:tcW w:type="dxa" w:w="1587"/>
            <w:vAlign w:val="top"/>
          </w:tcPr>
          <w:p>
            <w:pPr>
              <w:spacing w:after="0" w:line="240" w:lineRule="auto"/>
            </w:pPr>
            <w:r/>
            <w:r>
              <w:rPr>
                <w:rFonts w:ascii="Liberation Serif" w:hAnsi="Liberation Serif" w:eastAsia="Liberation Serif"/>
                <w:b w:val="0"/>
                <w:sz w:val="16"/>
              </w:rPr>
              <w:t>47A(9)</w:t>
            </w:r>
          </w:p>
        </w:tc>
        <w:tc>
          <w:tcPr>
            <w:tcW w:type="dxa" w:w="7483"/>
            <w:vAlign w:val="top"/>
          </w:tcPr>
          <w:p>
            <w:pPr>
              <w:spacing w:after="0" w:line="240" w:lineRule="auto"/>
            </w:pPr>
            <w:r/>
            <w:r>
              <w:rPr>
                <w:rFonts w:ascii="Liberation Serif" w:hAnsi="Liberation Serif" w:eastAsia="Liberation Serif"/>
                <w:b w:val="0"/>
                <w:sz w:val="16"/>
              </w:rPr>
              <w:t>This section is not deemed applicable to an entity that does not submit the letter of intent within the period specified in subsection (6), or that does not complete the amalgamation process by the date mentioned in subsection (7).</w:t>
            </w:r>
          </w:p>
        </w:tc>
      </w:tr>
    </w:tbl>
    <w:p/>
    <w:p>
      <w:pPr>
        <w:spacing w:after="80" w:line="252" w:lineRule="auto"/>
      </w:pPr>
      <w:r>
        <w:rPr>
          <w:rFonts w:ascii="Liberation Serif" w:hAnsi="Liberation Serif" w:eastAsia="Liberation Serif"/>
          <w:b w:val="0"/>
          <w:i w:val="0"/>
          <w:sz w:val="21"/>
        </w:rPr>
        <w:t>Therefore, companies carrying on banking and financial institution business and insurance business that wish to amalgamate must have submitted the letter of intent to the Inland Revenue Department by the end of Ashad 2079 and completed the relevant process by the end of Ashad 2080.</w:t>
      </w:r>
    </w:p>
    <w:p>
      <w:r>
        <w:br w:type="page"/>
      </w:r>
    </w:p>
    <w:p>
      <w:pPr>
        <w:jc w:val="center"/>
      </w:pPr>
      <w:r>
        <w:rPr>
          <w:rFonts w:ascii="Liberation Serif" w:hAnsi="Liberation Serif" w:eastAsia="Liberation Serif"/>
          <w:b/>
          <w:sz w:val="32"/>
        </w:rPr>
        <w:t>Income Tax Directive, 2066</w:t>
        <w:br/>
        <w:t>(with Fifth Amendment, 2081)</w:t>
      </w:r>
    </w:p>
    <w:p>
      <w:pPr>
        <w:pStyle w:val="Title"/>
        <w:spacing w:after="80" w:line="252" w:lineRule="auto"/>
        <w:jc w:val="center"/>
      </w:pPr>
      <w:r>
        <w:rPr>
          <w:rFonts w:ascii="Liberation Serif" w:hAnsi="Liberation Serif" w:eastAsia="Liberation Serif"/>
          <w:b w:val="0"/>
          <w:i w:val="0"/>
          <w:sz w:val="21"/>
        </w:rPr>
        <w:t>English Translation - Part 20</w:t>
      </w:r>
    </w:p>
    <w:p>
      <w:pPr>
        <w:pStyle w:val="Title"/>
        <w:spacing w:after="80" w:line="252" w:lineRule="auto"/>
        <w:jc w:val="center"/>
      </w:pPr>
      <w:r>
        <w:rPr>
          <w:rFonts w:ascii="Liberation Serif" w:hAnsi="Liberation Serif" w:eastAsia="Liberation Serif"/>
          <w:b w:val="0"/>
          <w:i w:val="0"/>
          <w:sz w:val="21"/>
        </w:rPr>
        <w:t>Chapter 20: Computation of Income from Long-Term Contract</w:t>
      </w:r>
    </w:p>
    <w:p>
      <w:pPr>
        <w:spacing w:after="80" w:line="252" w:lineRule="auto"/>
        <w:jc w:val="center"/>
      </w:pPr>
      <w:r>
        <w:rPr>
          <w:rFonts w:ascii="Liberation Serif" w:hAnsi="Liberation Serif" w:eastAsia="Liberation Serif"/>
          <w:b w:val="0"/>
          <w:i/>
          <w:sz w:val="21"/>
        </w:rPr>
        <w:t>Source pages: Directive pages 391-418</w:t>
      </w:r>
    </w:p>
    <w:p>
      <w:pPr>
        <w:spacing w:after="80" w:line="252" w:lineRule="auto"/>
      </w:pPr>
      <w:r>
        <w:rPr>
          <w:rFonts w:ascii="Liberation Serif" w:hAnsi="Liberation Serif" w:eastAsia="Liberation Serif"/>
          <w:b w:val="0"/>
          <w:i/>
          <w:sz w:val="21"/>
        </w:rPr>
        <w:t>Working translation prepared in Word format. The sequence, numbering, statutory references, examples and tabular presentation are preserved as far as practicable. Statutory terms are aligned with the official English Income Tax Act, 2002 (2058) terminology where applicable.</w:t>
      </w:r>
    </w:p>
    <w:p>
      <w:r>
        <w:br w:type="page"/>
      </w:r>
    </w:p>
    <w:p>
      <w:pPr>
        <w:pStyle w:val="Heading1"/>
      </w:pPr>
      <w:r>
        <w:t>Chapter 20</w:t>
      </w:r>
    </w:p>
    <w:p>
      <w:pPr>
        <w:pStyle w:val="Heading1"/>
      </w:pPr>
      <w:r>
        <w:t>Computation of Income from Long-Term Contract</w:t>
      </w:r>
    </w:p>
    <w:p>
      <w:pPr>
        <w:pStyle w:val="Heading2"/>
      </w:pPr>
      <w:r>
        <w:t>20.1 Long-Term Contract</w:t>
      </w:r>
    </w:p>
    <w:p>
      <w:pPr>
        <w:spacing w:after="80" w:line="252" w:lineRule="auto"/>
      </w:pPr>
      <w:r>
        <w:rPr>
          <w:rFonts w:ascii="Liberation Serif" w:hAnsi="Liberation Serif" w:eastAsia="Liberation Serif"/>
          <w:b w:val="0"/>
          <w:i w:val="0"/>
          <w:sz w:val="21"/>
        </w:rPr>
        <w:t>In the ordinary sense, a long-term contract means a contract of long duration. For a contract to be treated as a long-term contract, two basic conditions must be satisfied: there must be a contract, and the contract must be for a long period. To understand a long-term contract clearly, it is necessary to understand the meaning of contract, the nature of contract, and the period of contract. These aspects are discussed below.</w:t>
      </w:r>
    </w:p>
    <w:p>
      <w:pPr>
        <w:pStyle w:val="Heading3"/>
      </w:pPr>
      <w:r>
        <w:t>20.1.1 Meaning of contract</w:t>
      </w:r>
    </w:p>
    <w:p>
      <w:pPr>
        <w:spacing w:after="80" w:line="252" w:lineRule="auto"/>
      </w:pPr>
      <w:r>
        <w:rPr>
          <w:rFonts w:ascii="Liberation Serif" w:hAnsi="Liberation Serif" w:eastAsia="Liberation Serif"/>
          <w:b w:val="0"/>
          <w:i w:val="0"/>
          <w:sz w:val="21"/>
        </w:rPr>
        <w:t>The first basis for testing whether an activity is an activity under a contract is the existence of a contract. Generally, a contract is a legal relationship established between two or more persons. For an activity to be a contract, there must be an agreement between two or more persons or parties to do, or not to do, that activity. Whether a contract is a valid contract must be determined subject to the Contract Act, 2023, Nepal Accounting Standards issued by the Nepal Accounting Standards Board, and the provisions of the Income Tax Act, 2058.</w:t>
      </w:r>
    </w:p>
    <w:p>
      <w:pPr>
        <w:pStyle w:val="Heading4"/>
      </w:pPr>
      <w:r>
        <w:t>Meaning of contract under the Contract Act</w:t>
      </w:r>
    </w:p>
    <w:p>
      <w:pPr>
        <w:spacing w:after="80" w:line="252" w:lineRule="auto"/>
      </w:pPr>
      <w:r>
        <w:rPr>
          <w:rFonts w:ascii="Liberation Serif" w:hAnsi="Liberation Serif" w:eastAsia="Liberation Serif"/>
          <w:b w:val="0"/>
          <w:i w:val="0"/>
          <w:sz w:val="21"/>
        </w:rPr>
        <w:t>Under the Contract Act, if a person or persons make a proposal to another person or persons, expecting acceptance for doing or not doing any act, and the other person or persons give consent to that proposal in the same sense in which the proposer made it, the proposal becomes a contract. Section 2 of the Contract Act, 2023 defines contract, proposal and acceptance as follows:</w:t>
      </w:r>
    </w:p>
    <w:tbl>
      <w:tblPr>
        <w:tblStyle w:val="TableGrid"/>
        <w:tblW w:type="auto" w:w="0"/>
        <w:jc w:val="center"/>
        <w:tblLook w:firstColumn="1" w:firstRow="1" w:lastColumn="0" w:lastRow="0" w:noHBand="0" w:noVBand="1" w:val="04A0"/>
      </w:tblPr>
      <w:tblGrid>
        <w:gridCol w:w="5213"/>
        <w:gridCol w:w="5213"/>
      </w:tblGrid>
      <w:tr>
        <w:trPr>
          <w:tblHeader w:val="true"/>
        </w:trPr>
        <w:tc>
          <w:tcPr>
            <w:tcW w:type="dxa" w:w="1984"/>
            <w:vAlign w:val="top"/>
            <w:shd w:fill="D9EAF7"/>
          </w:tcPr>
          <w:p>
            <w:pPr>
              <w:spacing w:after="0" w:line="240" w:lineRule="auto"/>
            </w:pPr>
            <w:r/>
            <w:r>
              <w:rPr>
                <w:rFonts w:ascii="Liberation Serif" w:hAnsi="Liberation Serif" w:eastAsia="Liberation Serif"/>
                <w:b/>
                <w:sz w:val="16"/>
              </w:rPr>
              <w:t>Term</w:t>
            </w:r>
          </w:p>
        </w:tc>
        <w:tc>
          <w:tcPr>
            <w:tcW w:type="dxa" w:w="7087"/>
            <w:vAlign w:val="top"/>
            <w:shd w:fill="D9EAF7"/>
          </w:tcPr>
          <w:p>
            <w:pPr>
              <w:spacing w:after="0" w:line="240" w:lineRule="auto"/>
            </w:pPr>
            <w:r/>
            <w:r>
              <w:rPr>
                <w:rFonts w:ascii="Liberation Serif" w:hAnsi="Liberation Serif" w:eastAsia="Liberation Serif"/>
                <w:b/>
                <w:sz w:val="16"/>
              </w:rPr>
              <w:t>Meaning</w:t>
            </w:r>
          </w:p>
        </w:tc>
      </w:tr>
      <w:tr>
        <w:tc>
          <w:tcPr>
            <w:tcW w:type="dxa" w:w="1984"/>
            <w:vAlign w:val="top"/>
          </w:tcPr>
          <w:p>
            <w:pPr>
              <w:spacing w:after="0" w:line="240" w:lineRule="auto"/>
            </w:pPr>
            <w:r/>
            <w:r>
              <w:rPr>
                <w:rFonts w:ascii="Liberation Serif" w:hAnsi="Liberation Serif" w:eastAsia="Liberation Serif"/>
                <w:b w:val="0"/>
                <w:sz w:val="16"/>
              </w:rPr>
              <w:t>Contract</w:t>
            </w:r>
          </w:p>
        </w:tc>
        <w:tc>
          <w:tcPr>
            <w:tcW w:type="dxa" w:w="7087"/>
            <w:vAlign w:val="top"/>
          </w:tcPr>
          <w:p>
            <w:pPr>
              <w:spacing w:after="0" w:line="240" w:lineRule="auto"/>
            </w:pPr>
            <w:r/>
            <w:r>
              <w:rPr>
                <w:rFonts w:ascii="Liberation Serif" w:hAnsi="Liberation Serif" w:eastAsia="Liberation Serif"/>
                <w:b w:val="0"/>
                <w:sz w:val="16"/>
              </w:rPr>
              <w:t>A consent made between two or more parties to do, or not to do, any act.</w:t>
            </w:r>
          </w:p>
        </w:tc>
      </w:tr>
      <w:tr>
        <w:tc>
          <w:tcPr>
            <w:tcW w:type="dxa" w:w="1984"/>
            <w:vAlign w:val="top"/>
          </w:tcPr>
          <w:p>
            <w:pPr>
              <w:spacing w:after="0" w:line="240" w:lineRule="auto"/>
            </w:pPr>
            <w:r/>
            <w:r>
              <w:rPr>
                <w:rFonts w:ascii="Liberation Serif" w:hAnsi="Liberation Serif" w:eastAsia="Liberation Serif"/>
                <w:b w:val="0"/>
                <w:sz w:val="16"/>
              </w:rPr>
              <w:t>Proposal</w:t>
            </w:r>
          </w:p>
        </w:tc>
        <w:tc>
          <w:tcPr>
            <w:tcW w:type="dxa" w:w="7087"/>
            <w:vAlign w:val="top"/>
          </w:tcPr>
          <w:p>
            <w:pPr>
              <w:spacing w:after="0" w:line="240" w:lineRule="auto"/>
            </w:pPr>
            <w:r/>
            <w:r>
              <w:rPr>
                <w:rFonts w:ascii="Liberation Serif" w:hAnsi="Liberation Serif" w:eastAsia="Liberation Serif"/>
                <w:b w:val="0"/>
                <w:sz w:val="16"/>
              </w:rPr>
              <w:t>A proposal made by a person before another person, expecting acceptance, to do or not to do any act.</w:t>
            </w:r>
          </w:p>
        </w:tc>
      </w:tr>
      <w:tr>
        <w:tc>
          <w:tcPr>
            <w:tcW w:type="dxa" w:w="1984"/>
            <w:vAlign w:val="top"/>
          </w:tcPr>
          <w:p>
            <w:pPr>
              <w:spacing w:after="0" w:line="240" w:lineRule="auto"/>
            </w:pPr>
            <w:r/>
            <w:r>
              <w:rPr>
                <w:rFonts w:ascii="Liberation Serif" w:hAnsi="Liberation Serif" w:eastAsia="Liberation Serif"/>
                <w:b w:val="0"/>
                <w:sz w:val="16"/>
              </w:rPr>
              <w:t>Acceptance</w:t>
            </w:r>
          </w:p>
        </w:tc>
        <w:tc>
          <w:tcPr>
            <w:tcW w:type="dxa" w:w="7087"/>
            <w:vAlign w:val="top"/>
          </w:tcPr>
          <w:p>
            <w:pPr>
              <w:spacing w:after="0" w:line="240" w:lineRule="auto"/>
            </w:pPr>
            <w:r/>
            <w:r>
              <w:rPr>
                <w:rFonts w:ascii="Liberation Serif" w:hAnsi="Liberation Serif" w:eastAsia="Liberation Serif"/>
                <w:b w:val="0"/>
                <w:sz w:val="16"/>
              </w:rPr>
              <w:t>Consent given by the person to whom the proposal is made, in the same sense in which the proposer has taken the matter proposed.</w:t>
            </w:r>
          </w:p>
        </w:tc>
      </w:tr>
    </w:tbl>
    <w:p/>
    <w:p>
      <w:pPr>
        <w:spacing w:after="80" w:line="252" w:lineRule="auto"/>
      </w:pPr>
      <w:r>
        <w:rPr>
          <w:rFonts w:ascii="Liberation Serif" w:hAnsi="Liberation Serif" w:eastAsia="Liberation Serif"/>
          <w:b w:val="0"/>
          <w:i w:val="0"/>
          <w:sz w:val="21"/>
        </w:rPr>
        <w:t>On the basis of the above provisions, the important elements that must exist in any contract are:</w:t>
      </w:r>
    </w:p>
    <w:p>
      <w:pPr>
        <w:pStyle w:val="ListBullet"/>
        <w:spacing w:after="40" w:line="240" w:lineRule="auto"/>
      </w:pPr>
      <w:r>
        <w:rPr>
          <w:rFonts w:ascii="Liberation Serif" w:hAnsi="Liberation Serif" w:eastAsia="Liberation Serif"/>
          <w:sz w:val="20"/>
        </w:rPr>
        <w:t>one or more persons must have made a proposal;</w:t>
      </w:r>
    </w:p>
    <w:p>
      <w:pPr>
        <w:pStyle w:val="ListBullet"/>
        <w:spacing w:after="40" w:line="240" w:lineRule="auto"/>
      </w:pPr>
      <w:r>
        <w:rPr>
          <w:rFonts w:ascii="Liberation Serif" w:hAnsi="Liberation Serif" w:eastAsia="Liberation Serif"/>
          <w:sz w:val="20"/>
        </w:rPr>
        <w:t>all persons receiving the proposal must have accepted it;</w:t>
      </w:r>
    </w:p>
    <w:p>
      <w:pPr>
        <w:pStyle w:val="ListBullet"/>
        <w:spacing w:after="40" w:line="240" w:lineRule="auto"/>
      </w:pPr>
      <w:r>
        <w:rPr>
          <w:rFonts w:ascii="Liberation Serif" w:hAnsi="Liberation Serif" w:eastAsia="Liberation Serif"/>
          <w:sz w:val="20"/>
        </w:rPr>
        <w:t>all parties must agree to do, or not to do, the legally enforceable act stated in the contract;</w:t>
      </w:r>
    </w:p>
    <w:p>
      <w:pPr>
        <w:pStyle w:val="ListBullet"/>
        <w:spacing w:after="40" w:line="240" w:lineRule="auto"/>
      </w:pPr>
      <w:r>
        <w:rPr>
          <w:rFonts w:ascii="Liberation Serif" w:hAnsi="Liberation Serif" w:eastAsia="Liberation Serif"/>
          <w:sz w:val="20"/>
        </w:rPr>
        <w:t>there must be a form of consideration, including a commitment to do or not to do an act, in exchange for performance of the proposal.</w:t>
      </w:r>
    </w:p>
    <w:p>
      <w:pPr>
        <w:spacing w:after="80" w:line="252" w:lineRule="auto"/>
      </w:pPr>
      <w:r>
        <w:rPr>
          <w:rFonts w:ascii="Liberation Serif" w:hAnsi="Liberation Serif" w:eastAsia="Liberation Serif"/>
          <w:b w:val="0"/>
          <w:i w:val="0"/>
          <w:sz w:val="21"/>
        </w:rPr>
        <w:t>A contract may be oral or written. Generally, parties to a long-term contract formally sign a written document setting out their rights and obligations under the contract. In other cases, although the terms and conditions of a proposal may be drafted in writing, every party may not sign them in writing. If the party receiving a proposal knowingly permits the first party to act according to the proposed terms and conditions, the contract and its terms are deemed to have been accepted silently, and the proposal assumes the form of a contract.</w:t>
      </w:r>
    </w:p>
    <w:p>
      <w:pPr>
        <w:pStyle w:val="Heading4"/>
      </w:pPr>
      <w:r>
        <w:t>Meaning of contract under Nepal Accounting Standards</w:t>
      </w:r>
    </w:p>
    <w:p>
      <w:pPr>
        <w:spacing w:after="80" w:line="252" w:lineRule="auto"/>
      </w:pPr>
      <w:r>
        <w:rPr>
          <w:rFonts w:ascii="Liberation Serif" w:hAnsi="Liberation Serif" w:eastAsia="Liberation Serif"/>
          <w:b w:val="0"/>
          <w:i w:val="0"/>
          <w:sz w:val="21"/>
        </w:rPr>
        <w:t>Although Nepal Accounting Standards do not separately define “contract” in general, Nepal Accounting Standard 13 defines a construction contract. This Directive applies to long-term contracts, and a long-term contract also includes a construction contract. Because a construction-related long-term contract must account for income and expenses for accounting purposes under Nepal Accounting Standard 13, the definition of construction contract in that standard is relevant and is reproduced below:</w:t>
      </w:r>
    </w:p>
    <w:p>
      <w:pPr>
        <w:spacing w:before="40" w:after="80" w:line="240" w:lineRule="auto"/>
        <w:ind w:left="255"/>
      </w:pPr>
      <w:r>
        <w:rPr>
          <w:rFonts w:ascii="Liberation Serif" w:hAnsi="Liberation Serif" w:eastAsia="Liberation Serif"/>
          <w:i/>
          <w:sz w:val="19"/>
        </w:rPr>
        <w:t>“A construction contract is a contract specifically negotiated for the construction of an asset or a combination of assets that are closely interrelated or interdependent in terms of their design, technology and function or their ultimate purpose or use.”</w:t>
      </w:r>
    </w:p>
    <w:p>
      <w:pPr>
        <w:spacing w:after="80" w:line="252" w:lineRule="auto"/>
      </w:pPr>
      <w:r>
        <w:rPr>
          <w:rFonts w:ascii="Liberation Serif" w:hAnsi="Liberation Serif" w:eastAsia="Liberation Serif"/>
          <w:b w:val="0"/>
          <w:i w:val="0"/>
          <w:sz w:val="21"/>
        </w:rPr>
        <w:t>According to this definition, a contract specifically negotiated for the construction of one asset, or for the construction of several assets closely interrelated or interdependent in terms of design, technology, function, ultimate purpose or use, is a construction contract.</w:t>
      </w:r>
    </w:p>
    <w:p>
      <w:pPr>
        <w:pStyle w:val="Heading4"/>
      </w:pPr>
      <w:r>
        <w:t>Meaning of contract under the Income Tax Act</w:t>
      </w:r>
    </w:p>
    <w:p>
      <w:pPr>
        <w:spacing w:after="80" w:line="252" w:lineRule="auto"/>
      </w:pPr>
      <w:r>
        <w:rPr>
          <w:rFonts w:ascii="Liberation Serif" w:hAnsi="Liberation Serif" w:eastAsia="Liberation Serif"/>
          <w:b w:val="0"/>
          <w:i w:val="0"/>
          <w:sz w:val="21"/>
        </w:rPr>
        <w:t>The Income Tax Act does not define “contract” in the general definition section. However, for the purpose of withholding advance tax on payments under a contract, the Explanation to Section 89 defines what types of work fall within the scope of contract. The Explanation provides as follows:</w:t>
      </w:r>
    </w:p>
    <w:p>
      <w:pPr>
        <w:spacing w:before="40" w:after="80" w:line="240" w:lineRule="auto"/>
        <w:ind w:left="255"/>
      </w:pPr>
      <w:r>
        <w:rPr>
          <w:rFonts w:ascii="Liberation Serif" w:hAnsi="Liberation Serif" w:eastAsia="Liberation Serif"/>
          <w:i/>
          <w:sz w:val="19"/>
        </w:rPr>
        <w:t>For the purposes of Section 89, “contract or agreement” means a contract or agreement made for the supply of goods or labour, or for the construction, fitting or installation of tangible property or structure, and any work specified by the Department as a contract or agreement. If such contract or agreement also includes services related to construction, fitting or installation, it also includes payment for such services.</w:t>
      </w:r>
    </w:p>
    <w:p>
      <w:pPr>
        <w:spacing w:after="80" w:line="252" w:lineRule="auto"/>
      </w:pPr>
      <w:r>
        <w:rPr>
          <w:rFonts w:ascii="Liberation Serif" w:hAnsi="Liberation Serif" w:eastAsia="Liberation Serif"/>
          <w:b w:val="0"/>
          <w:i w:val="0"/>
          <w:sz w:val="21"/>
        </w:rPr>
        <w:t>Although this definition is made for the purpose of Section 89, i.e., withholding advance tax on contract payments, it does not conflict with the definition of contract under the Contract Act, and no other section of the Income Tax Act provides a separate definition. Therefore, for purposes of the Income Tax Act and this Directive, this definition is relevant and authoritative. Accordingly, a contract covers a written or oral agreement for the supply of goods or labour, construction, fitting or installation of tangible property or structure, or provision of services related to such construction, fitting or installation. The Department has not separately prescribed any additional work as a contract for this purpose.</w:t>
      </w:r>
    </w:p>
    <w:p>
      <w:pPr>
        <w:pStyle w:val="Heading3"/>
      </w:pPr>
      <w:r>
        <w:t>20.1.2 Long-term contract</w:t>
      </w:r>
    </w:p>
    <w:p>
      <w:pPr>
        <w:spacing w:after="80" w:line="252" w:lineRule="auto"/>
      </w:pPr>
      <w:r>
        <w:rPr>
          <w:rFonts w:ascii="Liberation Serif" w:hAnsi="Liberation Serif" w:eastAsia="Liberation Serif"/>
          <w:b w:val="0"/>
          <w:i w:val="0"/>
          <w:sz w:val="21"/>
        </w:rPr>
        <w:t>No other law makes a clear provision on long-term contracts. The Income Tax Act alone defines such contracts and provides rules relating to them. Therefore, for tax purposes, the Income Tax Act is the sole basis for determining whether a contract falls under a long-term contract.</w:t>
      </w:r>
    </w:p>
    <w:p>
      <w:pPr>
        <w:spacing w:before="40" w:after="80" w:line="240" w:lineRule="auto"/>
        <w:ind w:left="255"/>
      </w:pPr>
      <w:r>
        <w:rPr>
          <w:rFonts w:ascii="Liberation Serif" w:hAnsi="Liberation Serif" w:eastAsia="Liberation Serif"/>
          <w:i/>
          <w:sz w:val="19"/>
        </w:rPr>
        <w:t>Section 2(f): “Long-term contract” means a contract referred to in Section 26, the term of which exceeds twelve months.</w:t>
      </w:r>
    </w:p>
    <w:p>
      <w:pPr>
        <w:spacing w:after="80" w:line="252" w:lineRule="auto"/>
      </w:pPr>
      <w:r>
        <w:rPr>
          <w:rFonts w:ascii="Liberation Serif" w:hAnsi="Liberation Serif" w:eastAsia="Liberation Serif"/>
          <w:b w:val="0"/>
          <w:i w:val="0"/>
          <w:sz w:val="21"/>
        </w:rPr>
        <w:t>Under this definition, a contract falls within a long-term contract if its period exceeds twelve months and it is a contract referred to in Section 26. The Explanation to Section 26 further provides:</w:t>
      </w:r>
    </w:p>
    <w:p>
      <w:pPr>
        <w:spacing w:before="40" w:after="80" w:line="240" w:lineRule="auto"/>
        <w:ind w:left="255"/>
      </w:pPr>
      <w:r>
        <w:rPr>
          <w:rFonts w:ascii="Liberation Serif" w:hAnsi="Liberation Serif" w:eastAsia="Liberation Serif"/>
          <w:i/>
          <w:sz w:val="19"/>
        </w:rPr>
        <w:t>Explanation to Section 26(1): For the purposes of this Section, “long-term contract” means a contract in the following circumstances: (a) the term of the contract exceeds twelve months; and (b) the contract is for manufacture, installation or construction, or for the performance of services related to each of such works, or is a deferred-payment contract other than an excluded contract.</w:t>
      </w:r>
    </w:p>
    <w:p>
      <w:pPr>
        <w:spacing w:after="80" w:line="252" w:lineRule="auto"/>
      </w:pPr>
      <w:r>
        <w:rPr>
          <w:rFonts w:ascii="Liberation Serif" w:hAnsi="Liberation Serif" w:eastAsia="Liberation Serif"/>
          <w:b w:val="0"/>
          <w:i w:val="0"/>
          <w:sz w:val="21"/>
        </w:rPr>
        <w:t>Accordingly, a contract for manufacture, installation or construction of goods or property, or a contract for providing services necessary for those works, becomes a long-term contract if its term exceeds twelve months. A deferred-payment contract, other than an excluded contract, also falls under a long-term contract.</w:t>
      </w:r>
    </w:p>
    <w:p>
      <w:pPr>
        <w:pStyle w:val="Heading3"/>
      </w:pPr>
      <w:r>
        <w:t>20.1.3 Contracts falling under long-term contract</w:t>
      </w:r>
    </w:p>
    <w:p>
      <w:pPr>
        <w:spacing w:after="80" w:line="252" w:lineRule="auto"/>
      </w:pPr>
      <w:r>
        <w:rPr>
          <w:rFonts w:ascii="Liberation Serif" w:hAnsi="Liberation Serif" w:eastAsia="Liberation Serif"/>
          <w:b w:val="0"/>
          <w:i w:val="0"/>
          <w:sz w:val="21"/>
        </w:rPr>
        <w:t>Although the Act provides that a contract with a term exceeding twelve months is a long-term contract, it does not mean that every contract exceeding twelve months is a long-term contract. Section 26(1), Explanation clause (b), determines the nature of activities that must be performed under the contract. Thus, whether a contract is a long-term contract is determined both by the period of the contract and by the nature of the work performed under it.</w:t>
      </w:r>
    </w:p>
    <w:p>
      <w:pPr>
        <w:pStyle w:val="Heading3"/>
      </w:pPr>
      <w:r>
        <w:t>20.1.4 Term of the contract</w:t>
      </w:r>
    </w:p>
    <w:p>
      <w:pPr>
        <w:spacing w:after="80" w:line="252" w:lineRule="auto"/>
      </w:pPr>
      <w:r>
        <w:rPr>
          <w:rFonts w:ascii="Liberation Serif" w:hAnsi="Liberation Serif" w:eastAsia="Liberation Serif"/>
          <w:b w:val="0"/>
          <w:i w:val="0"/>
          <w:sz w:val="21"/>
        </w:rPr>
        <w:t>For a contract to be a long-term contract for purposes of the Income Tax Act, 2058, its term, meaning the period required to complete the work under the contract, must first exceed twelve months. At the time of entering into the contract, the parties must have accepted that completion will take more than twelve months. The term of the contract means the period required to start and complete the work under the contract. If the contract includes guarantee or warranty obligations relating to the work to be performed, the guarantee or warranty period is also included in the term of the contract, that is, in the period required or considered to complete the contract.</w:t>
      </w:r>
    </w:p>
    <w:tbl>
      <w:tblPr>
        <w:tblStyle w:val="TableGrid"/>
        <w:tblW w:type="auto" w:w="0"/>
        <w:jc w:val="center"/>
        <w:tblLook w:firstColumn="1" w:firstRow="1" w:lastColumn="0" w:lastRow="0" w:noHBand="0" w:noVBand="1" w:val="04A0"/>
      </w:tblPr>
      <w:tblGrid>
        <w:gridCol w:w="3475"/>
        <w:gridCol w:w="3475"/>
        <w:gridCol w:w="3475"/>
      </w:tblGrid>
      <w:tr>
        <w:trPr>
          <w:tblHeader w:val="true"/>
        </w:trPr>
        <w:tc>
          <w:tcPr>
            <w:tcW w:type="dxa" w:w="1304"/>
            <w:vAlign w:val="top"/>
            <w:shd w:fill="D9EAF7"/>
          </w:tcPr>
          <w:p>
            <w:pPr>
              <w:spacing w:after="0" w:line="240" w:lineRule="auto"/>
            </w:pPr>
            <w:r/>
            <w:r>
              <w:rPr>
                <w:rFonts w:ascii="Liberation Serif" w:hAnsi="Liberation Serif" w:eastAsia="Liberation Serif"/>
                <w:b/>
                <w:sz w:val="16"/>
              </w:rPr>
              <w:t>Example</w:t>
            </w:r>
          </w:p>
        </w:tc>
        <w:tc>
          <w:tcPr>
            <w:tcW w:type="dxa" w:w="4195"/>
            <w:vAlign w:val="top"/>
            <w:shd w:fill="D9EAF7"/>
          </w:tcPr>
          <w:p>
            <w:pPr>
              <w:spacing w:after="0" w:line="240" w:lineRule="auto"/>
            </w:pPr>
            <w:r/>
            <w:r>
              <w:rPr>
                <w:rFonts w:ascii="Liberation Serif" w:hAnsi="Liberation Serif" w:eastAsia="Liberation Serif"/>
                <w:b/>
                <w:sz w:val="16"/>
              </w:rPr>
              <w:t>Facts</w:t>
            </w:r>
          </w:p>
        </w:tc>
        <w:tc>
          <w:tcPr>
            <w:tcW w:type="dxa" w:w="3572"/>
            <w:vAlign w:val="top"/>
            <w:shd w:fill="D9EAF7"/>
          </w:tcPr>
          <w:p>
            <w:pPr>
              <w:spacing w:after="0" w:line="240" w:lineRule="auto"/>
            </w:pPr>
            <w:r/>
            <w:r>
              <w:rPr>
                <w:rFonts w:ascii="Liberation Serif" w:hAnsi="Liberation Serif" w:eastAsia="Liberation Serif"/>
                <w:b/>
                <w:sz w:val="16"/>
              </w:rPr>
              <w:t>Treatment</w:t>
            </w:r>
          </w:p>
        </w:tc>
      </w:tr>
      <w:tr>
        <w:tc>
          <w:tcPr>
            <w:tcW w:type="dxa" w:w="1304"/>
            <w:vAlign w:val="top"/>
          </w:tcPr>
          <w:p>
            <w:pPr>
              <w:spacing w:after="0" w:line="240" w:lineRule="auto"/>
            </w:pPr>
            <w:r/>
            <w:r>
              <w:rPr>
                <w:rFonts w:ascii="Liberation Serif" w:hAnsi="Liberation Serif" w:eastAsia="Liberation Serif"/>
                <w:b w:val="0"/>
                <w:sz w:val="16"/>
              </w:rPr>
              <w:t>20.1.1</w:t>
            </w:r>
          </w:p>
        </w:tc>
        <w:tc>
          <w:tcPr>
            <w:tcW w:type="dxa" w:w="4195"/>
            <w:vAlign w:val="top"/>
          </w:tcPr>
          <w:p>
            <w:pPr>
              <w:spacing w:after="0" w:line="240" w:lineRule="auto"/>
            </w:pPr>
            <w:r/>
            <w:r>
              <w:rPr>
                <w:rFonts w:ascii="Liberation Serif" w:hAnsi="Liberation Serif" w:eastAsia="Liberation Serif"/>
                <w:b w:val="0"/>
                <w:sz w:val="16"/>
              </w:rPr>
              <w:t>New Nepal Construction Company Pvt. Ltd. entered into a contract with the Department of Roads in income year 2075/76 to construct a road for Rs. 110 million, to be completed within four years. If the contract also requires the company to repair any damage occurring within one year after handover, the warranty period is included.</w:t>
            </w:r>
          </w:p>
        </w:tc>
        <w:tc>
          <w:tcPr>
            <w:tcW w:type="dxa" w:w="3572"/>
            <w:vAlign w:val="top"/>
          </w:tcPr>
          <w:p>
            <w:pPr>
              <w:spacing w:after="0" w:line="240" w:lineRule="auto"/>
            </w:pPr>
            <w:r/>
            <w:r>
              <w:rPr>
                <w:rFonts w:ascii="Liberation Serif" w:hAnsi="Liberation Serif" w:eastAsia="Liberation Serif"/>
                <w:b w:val="0"/>
                <w:sz w:val="16"/>
              </w:rPr>
              <w:t>The road-construction contract is a long-term contract because both parties accepted at the time of contract that completion would take more than twelve months. With a one-year warranty, the term is five years.</w:t>
            </w:r>
          </w:p>
        </w:tc>
      </w:tr>
      <w:tr>
        <w:tc>
          <w:tcPr>
            <w:tcW w:type="dxa" w:w="1304"/>
            <w:vAlign w:val="top"/>
          </w:tcPr>
          <w:p>
            <w:pPr>
              <w:spacing w:after="0" w:line="240" w:lineRule="auto"/>
            </w:pPr>
            <w:r/>
            <w:r>
              <w:rPr>
                <w:rFonts w:ascii="Liberation Serif" w:hAnsi="Liberation Serif" w:eastAsia="Liberation Serif"/>
                <w:b w:val="0"/>
                <w:sz w:val="16"/>
              </w:rPr>
              <w:t>20.1.2</w:t>
            </w:r>
          </w:p>
        </w:tc>
        <w:tc>
          <w:tcPr>
            <w:tcW w:type="dxa" w:w="4195"/>
            <w:vAlign w:val="top"/>
          </w:tcPr>
          <w:p>
            <w:pPr>
              <w:spacing w:after="0" w:line="240" w:lineRule="auto"/>
            </w:pPr>
            <w:r/>
            <w:r>
              <w:rPr>
                <w:rFonts w:ascii="Liberation Serif" w:hAnsi="Liberation Serif" w:eastAsia="Liberation Serif"/>
                <w:b w:val="0"/>
                <w:sz w:val="16"/>
              </w:rPr>
              <w:t>The same company entered into a road-construction contract in income year 2078/79 for Rs. 50 million, to be completed in sixteen months. The work was in fact completed and handed over within ten months.</w:t>
            </w:r>
          </w:p>
        </w:tc>
        <w:tc>
          <w:tcPr>
            <w:tcW w:type="dxa" w:w="3572"/>
            <w:vAlign w:val="top"/>
          </w:tcPr>
          <w:p>
            <w:pPr>
              <w:spacing w:after="0" w:line="240" w:lineRule="auto"/>
            </w:pPr>
            <w:r/>
            <w:r>
              <w:rPr>
                <w:rFonts w:ascii="Liberation Serif" w:hAnsi="Liberation Serif" w:eastAsia="Liberation Serif"/>
                <w:b w:val="0"/>
                <w:sz w:val="16"/>
              </w:rPr>
              <w:t>The contract remains a long-term contract because the parties agreed at the time of entering into the contract that completion would take more than twelve months.</w:t>
            </w:r>
          </w:p>
        </w:tc>
      </w:tr>
      <w:tr>
        <w:tc>
          <w:tcPr>
            <w:tcW w:type="dxa" w:w="1304"/>
            <w:vAlign w:val="top"/>
          </w:tcPr>
          <w:p>
            <w:pPr>
              <w:spacing w:after="0" w:line="240" w:lineRule="auto"/>
            </w:pPr>
            <w:r/>
            <w:r>
              <w:rPr>
                <w:rFonts w:ascii="Liberation Serif" w:hAnsi="Liberation Serif" w:eastAsia="Liberation Serif"/>
                <w:b w:val="0"/>
                <w:sz w:val="16"/>
              </w:rPr>
              <w:t>20.1.3</w:t>
            </w:r>
          </w:p>
        </w:tc>
        <w:tc>
          <w:tcPr>
            <w:tcW w:type="dxa" w:w="4195"/>
            <w:vAlign w:val="top"/>
          </w:tcPr>
          <w:p>
            <w:pPr>
              <w:spacing w:after="0" w:line="240" w:lineRule="auto"/>
            </w:pPr>
            <w:r/>
            <w:r>
              <w:rPr>
                <w:rFonts w:ascii="Liberation Serif" w:hAnsi="Liberation Serif" w:eastAsia="Liberation Serif"/>
                <w:b w:val="0"/>
                <w:sz w:val="16"/>
              </w:rPr>
              <w:t>The company entered into a road-construction contract in income year 2078/79 for Rs. 30 million, expected to be completed within ten months. A landslide damaged part of the constructed road and reconstruction caused completion to take fourteen months.</w:t>
            </w:r>
          </w:p>
        </w:tc>
        <w:tc>
          <w:tcPr>
            <w:tcW w:type="dxa" w:w="3572"/>
            <w:vAlign w:val="top"/>
          </w:tcPr>
          <w:p>
            <w:pPr>
              <w:spacing w:after="0" w:line="240" w:lineRule="auto"/>
            </w:pPr>
            <w:r/>
            <w:r>
              <w:rPr>
                <w:rFonts w:ascii="Liberation Serif" w:hAnsi="Liberation Serif" w:eastAsia="Liberation Serif"/>
                <w:b w:val="0"/>
                <w:sz w:val="16"/>
              </w:rPr>
              <w:t>The contract does not become a long-term contract because at the time of contract the agreed period was less than twelve months; the period extended only due to circumstances.</w:t>
            </w:r>
          </w:p>
        </w:tc>
      </w:tr>
    </w:tbl>
    <w:p/>
    <w:p>
      <w:pPr>
        <w:spacing w:after="80" w:line="252" w:lineRule="auto"/>
      </w:pPr>
      <w:r>
        <w:rPr>
          <w:rFonts w:ascii="Liberation Serif" w:hAnsi="Liberation Serif" w:eastAsia="Liberation Serif"/>
          <w:b w:val="0"/>
          <w:i w:val="0"/>
          <w:sz w:val="21"/>
        </w:rPr>
        <w:t>However, if a person, with improper intention or with the purpose of bringing a contract within or outside the scope of long-term contract, initially sets the contract period above or below twelve months and later repeatedly reduces or increases the period, the tax officer may characterise the contract as a long-term contract or as another contract and determine the income and tax liability accordingly.</w:t>
      </w:r>
    </w:p>
    <w:p>
      <w:pPr>
        <w:pStyle w:val="Heading2"/>
      </w:pPr>
      <w:r>
        <w:t>20.2 Types of Contracts Falling Under Long-Term Contract</w:t>
      </w:r>
    </w:p>
    <w:p>
      <w:pPr>
        <w:spacing w:after="80" w:line="252" w:lineRule="auto"/>
      </w:pPr>
      <w:r>
        <w:rPr>
          <w:rFonts w:ascii="Liberation Serif" w:hAnsi="Liberation Serif" w:eastAsia="Liberation Serif"/>
          <w:b w:val="0"/>
          <w:i w:val="0"/>
          <w:sz w:val="21"/>
        </w:rPr>
        <w:t>Under Section 26, the nature of the contract is as important as its term. A contract can be a long-term contract only if it relates to manufacture, installation or construction of goods or property, provision of services necessary for such manufacture, installation or construction, or if it is a deferred-payment contract. Other contracts do not fall within the definition of long-term contract.</w:t>
      </w:r>
    </w:p>
    <w:p>
      <w:pPr>
        <w:pStyle w:val="Heading3"/>
      </w:pPr>
      <w:r>
        <w:t>20.2.1 Contract relating to manufacture</w:t>
      </w:r>
    </w:p>
    <w:p>
      <w:pPr>
        <w:spacing w:after="80" w:line="252" w:lineRule="auto"/>
      </w:pPr>
      <w:r>
        <w:rPr>
          <w:rFonts w:ascii="Liberation Serif" w:hAnsi="Liberation Serif" w:eastAsia="Liberation Serif"/>
          <w:b w:val="0"/>
          <w:i w:val="0"/>
          <w:sz w:val="21"/>
        </w:rPr>
        <w:t>A contract relating to manufacture is a contract under which one party, as manufacturer, is required to manufacture one or more items of property for the other party. In other words, where a person contracts with another person to manufacture and hand over goods or property for that person, the contract is a manufacturing contract. If such contract requires more than twelve months for completion, it is treated as a long-term contract for income tax purposes.</w:t>
      </w:r>
    </w:p>
    <w:tbl>
      <w:tblPr>
        <w:tblStyle w:val="TableGrid"/>
        <w:tblW w:type="auto" w:w="0"/>
        <w:jc w:val="center"/>
        <w:tblLook w:firstColumn="1" w:firstRow="1" w:lastColumn="0" w:lastRow="0" w:noHBand="0" w:noVBand="1" w:val="04A0"/>
      </w:tblPr>
      <w:tblGrid>
        <w:gridCol w:w="5213"/>
        <w:gridCol w:w="5213"/>
      </w:tblGrid>
      <w:tr>
        <w:trPr>
          <w:tblHeader w:val="true"/>
        </w:trPr>
        <w:tc>
          <w:tcPr>
            <w:tcW w:type="dxa" w:w="5102"/>
            <w:vAlign w:val="top"/>
            <w:shd w:fill="D9EAF7"/>
          </w:tcPr>
          <w:p>
            <w:pPr>
              <w:spacing w:after="0" w:line="240" w:lineRule="auto"/>
            </w:pPr>
            <w:r/>
            <w:r>
              <w:rPr>
                <w:rFonts w:ascii="Liberation Serif" w:hAnsi="Liberation Serif" w:eastAsia="Liberation Serif"/>
                <w:b/>
                <w:sz w:val="16"/>
              </w:rPr>
              <w:t>Example 20.2.1</w:t>
            </w:r>
          </w:p>
        </w:tc>
        <w:tc>
          <w:tcPr>
            <w:tcW w:type="dxa" w:w="3969"/>
            <w:vAlign w:val="top"/>
            <w:shd w:fill="D9EAF7"/>
          </w:tcPr>
          <w:p>
            <w:pPr>
              <w:spacing w:after="0" w:line="240" w:lineRule="auto"/>
            </w:pPr>
            <w:r/>
            <w:r>
              <w:rPr>
                <w:rFonts w:ascii="Liberation Serif" w:hAnsi="Liberation Serif" w:eastAsia="Liberation Serif"/>
                <w:b/>
                <w:sz w:val="16"/>
              </w:rPr>
              <w:t>Conclusion</w:t>
            </w:r>
          </w:p>
        </w:tc>
      </w:tr>
      <w:tr>
        <w:tc>
          <w:tcPr>
            <w:tcW w:type="dxa" w:w="5102"/>
            <w:vAlign w:val="top"/>
          </w:tcPr>
          <w:p>
            <w:pPr>
              <w:spacing w:after="0" w:line="240" w:lineRule="auto"/>
            </w:pPr>
            <w:r/>
            <w:r>
              <w:rPr>
                <w:rFonts w:ascii="Liberation Serif" w:hAnsi="Liberation Serif" w:eastAsia="Liberation Serif"/>
                <w:b w:val="0"/>
                <w:sz w:val="16"/>
              </w:rPr>
              <w:t>Pashupati Pvt. Ltd. entered into a contract on 1 Shrawan 2079 to manufacture penstock pipes and turbines for a hydropower company and hand them over by the end of Ashad 2081.</w:t>
            </w:r>
          </w:p>
        </w:tc>
        <w:tc>
          <w:tcPr>
            <w:tcW w:type="dxa" w:w="3969"/>
            <w:vAlign w:val="top"/>
          </w:tcPr>
          <w:p>
            <w:pPr>
              <w:spacing w:after="0" w:line="240" w:lineRule="auto"/>
            </w:pPr>
            <w:r/>
            <w:r>
              <w:rPr>
                <w:rFonts w:ascii="Liberation Serif" w:hAnsi="Liberation Serif" w:eastAsia="Liberation Serif"/>
                <w:b w:val="0"/>
                <w:sz w:val="16"/>
              </w:rPr>
              <w:t>The contract relates to manufacture and its term exceeds twelve months. It therefore falls under a long-term contract.</w:t>
            </w:r>
          </w:p>
        </w:tc>
      </w:tr>
    </w:tbl>
    <w:p/>
    <w:p>
      <w:pPr>
        <w:pStyle w:val="Heading3"/>
      </w:pPr>
      <w:r>
        <w:t>20.2.2 Contract relating to installation</w:t>
      </w:r>
    </w:p>
    <w:p>
      <w:pPr>
        <w:spacing w:after="80" w:line="252" w:lineRule="auto"/>
      </w:pPr>
      <w:r>
        <w:rPr>
          <w:rFonts w:ascii="Liberation Serif" w:hAnsi="Liberation Serif" w:eastAsia="Liberation Serif"/>
          <w:b w:val="0"/>
          <w:i w:val="0"/>
          <w:sz w:val="21"/>
        </w:rPr>
        <w:t>An installation contract means a contract under which one party, as installer, is required to install one or more items of property supplied by the other party at the place specified by that other party.</w:t>
      </w:r>
    </w:p>
    <w:tbl>
      <w:tblPr>
        <w:tblStyle w:val="TableGrid"/>
        <w:tblW w:type="auto" w:w="0"/>
        <w:jc w:val="center"/>
        <w:tblLook w:firstColumn="1" w:firstRow="1" w:lastColumn="0" w:lastRow="0" w:noHBand="0" w:noVBand="1" w:val="04A0"/>
      </w:tblPr>
      <w:tblGrid>
        <w:gridCol w:w="5213"/>
        <w:gridCol w:w="5213"/>
      </w:tblGrid>
      <w:tr>
        <w:trPr>
          <w:tblHeader w:val="true"/>
        </w:trPr>
        <w:tc>
          <w:tcPr>
            <w:tcW w:type="dxa" w:w="5102"/>
            <w:vAlign w:val="top"/>
            <w:shd w:fill="D9EAF7"/>
          </w:tcPr>
          <w:p>
            <w:pPr>
              <w:spacing w:after="0" w:line="240" w:lineRule="auto"/>
            </w:pPr>
            <w:r/>
            <w:r>
              <w:rPr>
                <w:rFonts w:ascii="Liberation Serif" w:hAnsi="Liberation Serif" w:eastAsia="Liberation Serif"/>
                <w:b/>
                <w:sz w:val="16"/>
              </w:rPr>
              <w:t>Example 20.2.2</w:t>
            </w:r>
          </w:p>
        </w:tc>
        <w:tc>
          <w:tcPr>
            <w:tcW w:type="dxa" w:w="3969"/>
            <w:vAlign w:val="top"/>
            <w:shd w:fill="D9EAF7"/>
          </w:tcPr>
          <w:p>
            <w:pPr>
              <w:spacing w:after="0" w:line="240" w:lineRule="auto"/>
            </w:pPr>
            <w:r/>
            <w:r>
              <w:rPr>
                <w:rFonts w:ascii="Liberation Serif" w:hAnsi="Liberation Serif" w:eastAsia="Liberation Serif"/>
                <w:b/>
                <w:sz w:val="16"/>
              </w:rPr>
              <w:t>Conclusion</w:t>
            </w:r>
          </w:p>
        </w:tc>
      </w:tr>
      <w:tr>
        <w:tc>
          <w:tcPr>
            <w:tcW w:type="dxa" w:w="5102"/>
            <w:vAlign w:val="top"/>
          </w:tcPr>
          <w:p>
            <w:pPr>
              <w:spacing w:after="0" w:line="240" w:lineRule="auto"/>
            </w:pPr>
            <w:r/>
            <w:r>
              <w:rPr>
                <w:rFonts w:ascii="Liberation Serif" w:hAnsi="Liberation Serif" w:eastAsia="Liberation Serif"/>
                <w:b w:val="0"/>
                <w:sz w:val="16"/>
              </w:rPr>
              <w:t>Pashupati Pvt. Ltd. contracted on 1 Shrawan 2079 to install penstock pipes and turbines imported by a hydropower company at the project site by the end of Mangsir 2080.</w:t>
            </w:r>
          </w:p>
        </w:tc>
        <w:tc>
          <w:tcPr>
            <w:tcW w:type="dxa" w:w="3969"/>
            <w:vAlign w:val="top"/>
          </w:tcPr>
          <w:p>
            <w:pPr>
              <w:spacing w:after="0" w:line="240" w:lineRule="auto"/>
            </w:pPr>
            <w:r/>
            <w:r>
              <w:rPr>
                <w:rFonts w:ascii="Liberation Serif" w:hAnsi="Liberation Serif" w:eastAsia="Liberation Serif"/>
                <w:b w:val="0"/>
                <w:sz w:val="16"/>
              </w:rPr>
              <w:t>The work is installation work and the term exceeds twelve months. The contract is a long-term contract.</w:t>
            </w:r>
          </w:p>
        </w:tc>
      </w:tr>
    </w:tbl>
    <w:p/>
    <w:p>
      <w:pPr>
        <w:pStyle w:val="Heading3"/>
      </w:pPr>
      <w:r>
        <w:t>20.2.3 Contract relating to construction</w:t>
      </w:r>
    </w:p>
    <w:p>
      <w:pPr>
        <w:spacing w:after="80" w:line="252" w:lineRule="auto"/>
      </w:pPr>
      <w:r>
        <w:rPr>
          <w:rFonts w:ascii="Liberation Serif" w:hAnsi="Liberation Serif" w:eastAsia="Liberation Serif"/>
          <w:b w:val="0"/>
          <w:i w:val="0"/>
          <w:sz w:val="21"/>
        </w:rPr>
        <w:t>A construction contract means a contract under which one party, commonly called the construction entrepreneur or contractor, constructs one or more items of property for the other party at the place specified by that person. Construction contracts generally include contracts for physical structures. Although the Income Tax Act does not separately define construction contract, Nepal Accounting Standard 13 defines it, and because accounting maintained under that standard is recognised for tax purposes, the definition is also relevant for Section 26.</w:t>
      </w:r>
    </w:p>
    <w:p>
      <w:pPr>
        <w:spacing w:before="40" w:after="80" w:line="240" w:lineRule="auto"/>
        <w:ind w:left="255"/>
      </w:pPr>
      <w:r>
        <w:rPr>
          <w:rFonts w:ascii="Liberation Serif" w:hAnsi="Liberation Serif" w:eastAsia="Liberation Serif"/>
          <w:i/>
          <w:sz w:val="19"/>
        </w:rPr>
        <w:t>A construction contract may be negotiated for the construction of a single asset such as a bridge, building, dam, pipeline, road, hydropower project, airport runway or tunnel. It may also deal with construction of a number of assets closely interrelated or interdependent in terms of their design, technology and function or ultimate purpose or use, such as refineries and other complex plant or equipment.</w:t>
      </w:r>
    </w:p>
    <w:p>
      <w:pPr>
        <w:spacing w:after="80" w:line="252" w:lineRule="auto"/>
      </w:pPr>
      <w:r>
        <w:rPr>
          <w:rFonts w:ascii="Liberation Serif" w:hAnsi="Liberation Serif" w:eastAsia="Liberation Serif"/>
          <w:b w:val="0"/>
          <w:i w:val="0"/>
          <w:sz w:val="21"/>
        </w:rPr>
        <w:t>Accordingly, a construction contract may relate to construction of one asset, or to several assets that are interrelated or interdependent in design, technology, function, ultimate purpose or use.</w:t>
      </w:r>
    </w:p>
    <w:tbl>
      <w:tblPr>
        <w:tblStyle w:val="TableGrid"/>
        <w:tblW w:type="auto" w:w="0"/>
        <w:jc w:val="center"/>
        <w:tblLook w:firstColumn="1" w:firstRow="1" w:lastColumn="0" w:lastRow="0" w:noHBand="0" w:noVBand="1" w:val="04A0"/>
      </w:tblPr>
      <w:tblGrid>
        <w:gridCol w:w="3475"/>
        <w:gridCol w:w="3475"/>
        <w:gridCol w:w="3475"/>
      </w:tblGrid>
      <w:tr>
        <w:trPr>
          <w:tblHeader w:val="true"/>
        </w:trPr>
        <w:tc>
          <w:tcPr>
            <w:tcW w:type="dxa" w:w="1247"/>
            <w:vAlign w:val="top"/>
            <w:shd w:fill="D9EAF7"/>
          </w:tcPr>
          <w:p>
            <w:pPr>
              <w:spacing w:after="0" w:line="240" w:lineRule="auto"/>
            </w:pPr>
            <w:r/>
            <w:r>
              <w:rPr>
                <w:rFonts w:ascii="Liberation Serif" w:hAnsi="Liberation Serif" w:eastAsia="Liberation Serif"/>
                <w:b/>
                <w:sz w:val="16"/>
              </w:rPr>
              <w:t>Example</w:t>
            </w:r>
          </w:p>
        </w:tc>
        <w:tc>
          <w:tcPr>
            <w:tcW w:type="dxa" w:w="4195"/>
            <w:vAlign w:val="top"/>
            <w:shd w:fill="D9EAF7"/>
          </w:tcPr>
          <w:p>
            <w:pPr>
              <w:spacing w:after="0" w:line="240" w:lineRule="auto"/>
            </w:pPr>
            <w:r/>
            <w:r>
              <w:rPr>
                <w:rFonts w:ascii="Liberation Serif" w:hAnsi="Liberation Serif" w:eastAsia="Liberation Serif"/>
                <w:b/>
                <w:sz w:val="16"/>
              </w:rPr>
              <w:t>Facts</w:t>
            </w:r>
          </w:p>
        </w:tc>
        <w:tc>
          <w:tcPr>
            <w:tcW w:type="dxa" w:w="3628"/>
            <w:vAlign w:val="top"/>
            <w:shd w:fill="D9EAF7"/>
          </w:tcPr>
          <w:p>
            <w:pPr>
              <w:spacing w:after="0" w:line="240" w:lineRule="auto"/>
            </w:pPr>
            <w:r/>
            <w:r>
              <w:rPr>
                <w:rFonts w:ascii="Liberation Serif" w:hAnsi="Liberation Serif" w:eastAsia="Liberation Serif"/>
                <w:b/>
                <w:sz w:val="16"/>
              </w:rPr>
              <w:t>Treatment</w:t>
            </w:r>
          </w:p>
        </w:tc>
      </w:tr>
      <w:tr>
        <w:tc>
          <w:tcPr>
            <w:tcW w:type="dxa" w:w="1247"/>
            <w:vAlign w:val="top"/>
          </w:tcPr>
          <w:p>
            <w:pPr>
              <w:spacing w:after="0" w:line="240" w:lineRule="auto"/>
            </w:pPr>
            <w:r/>
            <w:r>
              <w:rPr>
                <w:rFonts w:ascii="Liberation Serif" w:hAnsi="Liberation Serif" w:eastAsia="Liberation Serif"/>
                <w:b w:val="0"/>
                <w:sz w:val="16"/>
              </w:rPr>
              <w:t>20.2.3</w:t>
            </w:r>
          </w:p>
        </w:tc>
        <w:tc>
          <w:tcPr>
            <w:tcW w:type="dxa" w:w="4195"/>
            <w:vAlign w:val="top"/>
          </w:tcPr>
          <w:p>
            <w:pPr>
              <w:spacing w:after="0" w:line="240" w:lineRule="auto"/>
            </w:pPr>
            <w:r/>
            <w:r>
              <w:rPr>
                <w:rFonts w:ascii="Liberation Serif" w:hAnsi="Liberation Serif" w:eastAsia="Liberation Serif"/>
                <w:b w:val="0"/>
                <w:sz w:val="16"/>
              </w:rPr>
              <w:t>Pashupati Pvt. Ltd. contracted on 1 Shrawan 2079 to construct a tunnel at the site of a hydropower project by the end of Mangsir 2081.</w:t>
            </w:r>
          </w:p>
        </w:tc>
        <w:tc>
          <w:tcPr>
            <w:tcW w:type="dxa" w:w="3628"/>
            <w:vAlign w:val="top"/>
          </w:tcPr>
          <w:p>
            <w:pPr>
              <w:spacing w:after="0" w:line="240" w:lineRule="auto"/>
            </w:pPr>
            <w:r/>
            <w:r>
              <w:rPr>
                <w:rFonts w:ascii="Liberation Serif" w:hAnsi="Liberation Serif" w:eastAsia="Liberation Serif"/>
                <w:b w:val="0"/>
                <w:sz w:val="16"/>
              </w:rPr>
              <w:t>The tunnel construction contract is a construction contract and its term exceeds twelve months; it is a long-term contract.</w:t>
            </w:r>
          </w:p>
        </w:tc>
      </w:tr>
      <w:tr>
        <w:tc>
          <w:tcPr>
            <w:tcW w:type="dxa" w:w="1247"/>
            <w:vAlign w:val="top"/>
          </w:tcPr>
          <w:p>
            <w:pPr>
              <w:spacing w:after="0" w:line="240" w:lineRule="auto"/>
            </w:pPr>
            <w:r/>
            <w:r>
              <w:rPr>
                <w:rFonts w:ascii="Liberation Serif" w:hAnsi="Liberation Serif" w:eastAsia="Liberation Serif"/>
                <w:b w:val="0"/>
                <w:sz w:val="16"/>
              </w:rPr>
              <w:t>20.2.4</w:t>
            </w:r>
          </w:p>
        </w:tc>
        <w:tc>
          <w:tcPr>
            <w:tcW w:type="dxa" w:w="4195"/>
            <w:vAlign w:val="top"/>
          </w:tcPr>
          <w:p>
            <w:pPr>
              <w:spacing w:after="0" w:line="240" w:lineRule="auto"/>
            </w:pPr>
            <w:r/>
            <w:r>
              <w:rPr>
                <w:rFonts w:ascii="Liberation Serif" w:hAnsi="Liberation Serif" w:eastAsia="Liberation Serif"/>
                <w:b w:val="0"/>
                <w:sz w:val="16"/>
              </w:rPr>
              <w:t>Pashupati Pvt. Ltd. contracted on 1 Shrawan 2078 to construct both a tunnel and a motor road to the hydropower project site by the end of Poush 2081.</w:t>
            </w:r>
          </w:p>
        </w:tc>
        <w:tc>
          <w:tcPr>
            <w:tcW w:type="dxa" w:w="3628"/>
            <w:vAlign w:val="top"/>
          </w:tcPr>
          <w:p>
            <w:pPr>
              <w:spacing w:after="0" w:line="240" w:lineRule="auto"/>
            </w:pPr>
            <w:r/>
            <w:r>
              <w:rPr>
                <w:rFonts w:ascii="Liberation Serif" w:hAnsi="Liberation Serif" w:eastAsia="Liberation Serif"/>
                <w:b w:val="0"/>
                <w:sz w:val="16"/>
              </w:rPr>
              <w:t>The tunnel and access road are interrelated and interdependent with the hydropower project. Since the term exceeds twelve months, both works fall under one long-term contract.</w:t>
            </w:r>
          </w:p>
        </w:tc>
      </w:tr>
      <w:tr>
        <w:tc>
          <w:tcPr>
            <w:tcW w:type="dxa" w:w="1247"/>
            <w:vAlign w:val="top"/>
          </w:tcPr>
          <w:p>
            <w:pPr>
              <w:spacing w:after="0" w:line="240" w:lineRule="auto"/>
            </w:pPr>
            <w:r/>
            <w:r>
              <w:rPr>
                <w:rFonts w:ascii="Liberation Serif" w:hAnsi="Liberation Serif" w:eastAsia="Liberation Serif"/>
                <w:b w:val="0"/>
                <w:sz w:val="16"/>
              </w:rPr>
              <w:t>20.2.5</w:t>
            </w:r>
          </w:p>
        </w:tc>
        <w:tc>
          <w:tcPr>
            <w:tcW w:type="dxa" w:w="4195"/>
            <w:vAlign w:val="top"/>
          </w:tcPr>
          <w:p>
            <w:pPr>
              <w:spacing w:after="0" w:line="240" w:lineRule="auto"/>
            </w:pPr>
            <w:r/>
            <w:r>
              <w:rPr>
                <w:rFonts w:ascii="Liberation Serif" w:hAnsi="Liberation Serif" w:eastAsia="Liberation Serif"/>
                <w:b w:val="0"/>
                <w:sz w:val="16"/>
              </w:rPr>
              <w:t>The tunnel-construction contract also included preparation of the hydropower project design, to be completed by the end of Poush 2081.</w:t>
            </w:r>
          </w:p>
        </w:tc>
        <w:tc>
          <w:tcPr>
            <w:tcW w:type="dxa" w:w="3628"/>
            <w:vAlign w:val="top"/>
          </w:tcPr>
          <w:p>
            <w:pPr>
              <w:spacing w:after="0" w:line="240" w:lineRule="auto"/>
            </w:pPr>
            <w:r/>
            <w:r>
              <w:rPr>
                <w:rFonts w:ascii="Liberation Serif" w:hAnsi="Liberation Serif" w:eastAsia="Liberation Serif"/>
                <w:b w:val="0"/>
                <w:sz w:val="16"/>
              </w:rPr>
              <w:t>Although design preparation is a service, it is directly related to tunnel construction. The service and construction work together fall under one long-term contract.</w:t>
            </w:r>
          </w:p>
        </w:tc>
      </w:tr>
    </w:tbl>
    <w:p/>
    <w:p>
      <w:pPr>
        <w:spacing w:after="80" w:line="252" w:lineRule="auto"/>
      </w:pPr>
      <w:r>
        <w:rPr>
          <w:rFonts w:ascii="Liberation Serif" w:hAnsi="Liberation Serif" w:eastAsia="Liberation Serif"/>
          <w:b w:val="0"/>
          <w:i w:val="0"/>
          <w:sz w:val="21"/>
        </w:rPr>
        <w:t>For purposes of NAS 13, construction contracts also include contracts for services directly related to construction of the asset, such as services of project managers and architects, and contracts for destruction or restoration of assets and restoration of the environment following demolition.</w:t>
      </w:r>
    </w:p>
    <w:p>
      <w:pPr>
        <w:spacing w:after="80" w:line="252" w:lineRule="auto"/>
      </w:pPr>
      <w:r>
        <w:rPr>
          <w:rFonts w:ascii="Liberation Serif" w:hAnsi="Liberation Serif" w:eastAsia="Liberation Serif"/>
          <w:b w:val="0"/>
          <w:i w:val="0"/>
          <w:sz w:val="21"/>
        </w:rPr>
        <w:t>The provisions of NAS 13 apply separately to each contract. Therefore, depending on the circumstances, it may be necessary to combine or separate contracts. Where a contract covers several assets, construction of each asset is treated as a separate construction contract if separate proposals were submitted for each asset, each asset was separately negotiated and the contractor and customer could accept or reject that part of the contract, and the costs and revenues of each asset can be identified. If these conditions are not met, several assets may have to be treated as one contract.</w:t>
      </w:r>
    </w:p>
    <w:tbl>
      <w:tblPr>
        <w:tblStyle w:val="TableGrid"/>
        <w:tblW w:type="auto" w:w="0"/>
        <w:jc w:val="center"/>
        <w:tblLook w:firstColumn="1" w:firstRow="1" w:lastColumn="0" w:lastRow="0" w:noHBand="0" w:noVBand="1" w:val="04A0"/>
      </w:tblPr>
      <w:tblGrid>
        <w:gridCol w:w="3475"/>
        <w:gridCol w:w="3475"/>
        <w:gridCol w:w="3475"/>
      </w:tblGrid>
      <w:tr>
        <w:trPr>
          <w:tblHeader w:val="true"/>
        </w:trPr>
        <w:tc>
          <w:tcPr>
            <w:tcW w:type="dxa" w:w="1247"/>
            <w:vAlign w:val="top"/>
            <w:shd w:fill="D9EAF7"/>
          </w:tcPr>
          <w:p>
            <w:pPr>
              <w:spacing w:after="0" w:line="240" w:lineRule="auto"/>
            </w:pPr>
            <w:r/>
            <w:r>
              <w:rPr>
                <w:rFonts w:ascii="Liberation Serif" w:hAnsi="Liberation Serif" w:eastAsia="Liberation Serif"/>
                <w:b/>
                <w:sz w:val="16"/>
              </w:rPr>
              <w:t>Example</w:t>
            </w:r>
          </w:p>
        </w:tc>
        <w:tc>
          <w:tcPr>
            <w:tcW w:type="dxa" w:w="4592"/>
            <w:vAlign w:val="top"/>
            <w:shd w:fill="D9EAF7"/>
          </w:tcPr>
          <w:p>
            <w:pPr>
              <w:spacing w:after="0" w:line="240" w:lineRule="auto"/>
            </w:pPr>
            <w:r/>
            <w:r>
              <w:rPr>
                <w:rFonts w:ascii="Liberation Serif" w:hAnsi="Liberation Serif" w:eastAsia="Liberation Serif"/>
                <w:b/>
                <w:sz w:val="16"/>
              </w:rPr>
              <w:t>Facts</w:t>
            </w:r>
          </w:p>
        </w:tc>
        <w:tc>
          <w:tcPr>
            <w:tcW w:type="dxa" w:w="3231"/>
            <w:vAlign w:val="top"/>
            <w:shd w:fill="D9EAF7"/>
          </w:tcPr>
          <w:p>
            <w:pPr>
              <w:spacing w:after="0" w:line="240" w:lineRule="auto"/>
            </w:pPr>
            <w:r/>
            <w:r>
              <w:rPr>
                <w:rFonts w:ascii="Liberation Serif" w:hAnsi="Liberation Serif" w:eastAsia="Liberation Serif"/>
                <w:b/>
                <w:sz w:val="16"/>
              </w:rPr>
              <w:t>Treatment</w:t>
            </w:r>
          </w:p>
        </w:tc>
      </w:tr>
      <w:tr>
        <w:tc>
          <w:tcPr>
            <w:tcW w:type="dxa" w:w="1247"/>
            <w:vAlign w:val="top"/>
          </w:tcPr>
          <w:p>
            <w:pPr>
              <w:spacing w:after="0" w:line="240" w:lineRule="auto"/>
            </w:pPr>
            <w:r/>
            <w:r>
              <w:rPr>
                <w:rFonts w:ascii="Liberation Serif" w:hAnsi="Liberation Serif" w:eastAsia="Liberation Serif"/>
                <w:b w:val="0"/>
                <w:sz w:val="16"/>
              </w:rPr>
              <w:t>20.2.6</w:t>
            </w:r>
          </w:p>
        </w:tc>
        <w:tc>
          <w:tcPr>
            <w:tcW w:type="dxa" w:w="4592"/>
            <w:vAlign w:val="top"/>
          </w:tcPr>
          <w:p>
            <w:pPr>
              <w:spacing w:after="0" w:line="240" w:lineRule="auto"/>
            </w:pPr>
            <w:r/>
            <w:r>
              <w:rPr>
                <w:rFonts w:ascii="Liberation Serif" w:hAnsi="Liberation Serif" w:eastAsia="Liberation Serif"/>
                <w:b w:val="0"/>
                <w:sz w:val="16"/>
              </w:rPr>
              <w:t>A hydropower company published one notice seeking construction of a tunnel and a motor road to the project site. Pashupati Pvt. Ltd. entered into one contract on 1 Shrawan 2079 to complete both works for a lump sum of Rs. 100 million. Separate prices and costs for each work could not be identified, and the offer could not be accepted for one work and rejected for the other.</w:t>
            </w:r>
          </w:p>
        </w:tc>
        <w:tc>
          <w:tcPr>
            <w:tcW w:type="dxa" w:w="3231"/>
            <w:vAlign w:val="top"/>
          </w:tcPr>
          <w:p>
            <w:pPr>
              <w:spacing w:after="0" w:line="240" w:lineRule="auto"/>
            </w:pPr>
            <w:r/>
            <w:r>
              <w:rPr>
                <w:rFonts w:ascii="Liberation Serif" w:hAnsi="Liberation Serif" w:eastAsia="Liberation Serif"/>
                <w:b w:val="0"/>
                <w:sz w:val="16"/>
              </w:rPr>
              <w:t>Although two works are involved, both are treated as work under one contract.</w:t>
            </w:r>
          </w:p>
        </w:tc>
      </w:tr>
      <w:tr>
        <w:tc>
          <w:tcPr>
            <w:tcW w:type="dxa" w:w="1247"/>
            <w:vAlign w:val="top"/>
          </w:tcPr>
          <w:p>
            <w:pPr>
              <w:spacing w:after="0" w:line="240" w:lineRule="auto"/>
            </w:pPr>
            <w:r/>
            <w:r>
              <w:rPr>
                <w:rFonts w:ascii="Liberation Serif" w:hAnsi="Liberation Serif" w:eastAsia="Liberation Serif"/>
                <w:b w:val="0"/>
                <w:sz w:val="16"/>
              </w:rPr>
              <w:t>20.2.7</w:t>
            </w:r>
          </w:p>
        </w:tc>
        <w:tc>
          <w:tcPr>
            <w:tcW w:type="dxa" w:w="4592"/>
            <w:vAlign w:val="top"/>
          </w:tcPr>
          <w:p>
            <w:pPr>
              <w:spacing w:after="0" w:line="240" w:lineRule="auto"/>
            </w:pPr>
            <w:r/>
            <w:r>
              <w:rPr>
                <w:rFonts w:ascii="Liberation Serif" w:hAnsi="Liberation Serif" w:eastAsia="Liberation Serif"/>
                <w:b w:val="0"/>
                <w:sz w:val="16"/>
              </w:rPr>
              <w:t>The same type of customer issued separate estimates for tunnel construction and motor-road construction as separate works. Pashupati Pvt. Ltd. obtained both works and entered into contracts on 1 Shrawan 2079. Separate prices and costs could be identified and each work could be accepted or rejected separately.</w:t>
            </w:r>
          </w:p>
        </w:tc>
        <w:tc>
          <w:tcPr>
            <w:tcW w:type="dxa" w:w="3231"/>
            <w:vAlign w:val="top"/>
          </w:tcPr>
          <w:p>
            <w:pPr>
              <w:spacing w:after="0" w:line="240" w:lineRule="auto"/>
            </w:pPr>
            <w:r/>
            <w:r>
              <w:rPr>
                <w:rFonts w:ascii="Liberation Serif" w:hAnsi="Liberation Serif" w:eastAsia="Liberation Serif"/>
                <w:b w:val="0"/>
                <w:sz w:val="16"/>
              </w:rPr>
              <w:t>Even if the works are under the same customer and contractor and may be covered by one document, they are treated as separate contracts.</w:t>
            </w:r>
          </w:p>
        </w:tc>
      </w:tr>
    </w:tbl>
    <w:p/>
    <w:p>
      <w:pPr>
        <w:spacing w:after="80" w:line="252" w:lineRule="auto"/>
      </w:pPr>
      <w:r>
        <w:rPr>
          <w:rFonts w:ascii="Liberation Serif" w:hAnsi="Liberation Serif" w:eastAsia="Liberation Serif"/>
          <w:b w:val="0"/>
          <w:i w:val="0"/>
          <w:sz w:val="21"/>
        </w:rPr>
        <w:t>Similarly, a group of contracts with one or several customers is treated as a single construction contract when the group is negotiated as a single package, the contracts are so closely interrelated that they are effectively part of a single project with an overall profit margin, and the contracts are performed concurrently or in a continuous sequence.</w:t>
      </w:r>
    </w:p>
    <w:p>
      <w:pPr>
        <w:spacing w:after="80" w:line="252" w:lineRule="auto"/>
      </w:pPr>
      <w:r>
        <w:rPr>
          <w:rFonts w:ascii="Liberation Serif" w:hAnsi="Liberation Serif" w:eastAsia="Liberation Serif"/>
          <w:b w:val="0"/>
          <w:i w:val="0"/>
          <w:sz w:val="21"/>
        </w:rPr>
        <w:t>A contract may also be amended to include construction of an additional asset at the customer’s option. Construction of the additional asset is treated as a separate construction contract if the asset differs significantly in design, technology or function from the assets covered by the original contract, or if the price of the additional asset is negotiated without reference to the original contract price.</w:t>
      </w:r>
    </w:p>
    <w:p>
      <w:pPr>
        <w:spacing w:after="80" w:line="252" w:lineRule="auto"/>
      </w:pPr>
      <w:r>
        <w:rPr>
          <w:rFonts w:ascii="Liberation Serif" w:hAnsi="Liberation Serif" w:eastAsia="Liberation Serif"/>
          <w:b w:val="0"/>
          <w:i w:val="0"/>
          <w:sz w:val="21"/>
        </w:rPr>
        <w:t>Construction contracts generally include contracts for the following works:</w:t>
      </w:r>
    </w:p>
    <w:p>
      <w:pPr>
        <w:pStyle w:val="ListBullet"/>
        <w:spacing w:after="40" w:line="240" w:lineRule="auto"/>
      </w:pPr>
      <w:r>
        <w:rPr>
          <w:rFonts w:ascii="Liberation Serif" w:hAnsi="Liberation Serif" w:eastAsia="Liberation Serif"/>
          <w:sz w:val="20"/>
        </w:rPr>
        <w:t>construction of a house, residential complex, commercial complex or industrial complex;</w:t>
      </w:r>
    </w:p>
    <w:p>
      <w:pPr>
        <w:pStyle w:val="ListBullet"/>
        <w:spacing w:after="40" w:line="240" w:lineRule="auto"/>
      </w:pPr>
      <w:r>
        <w:rPr>
          <w:rFonts w:ascii="Liberation Serif" w:hAnsi="Liberation Serif" w:eastAsia="Liberation Serif"/>
          <w:sz w:val="20"/>
        </w:rPr>
        <w:t>addition of floors to, or improvement of, an existing residential, commercial or industrial building or complex;</w:t>
      </w:r>
    </w:p>
    <w:p>
      <w:pPr>
        <w:pStyle w:val="ListBullet"/>
        <w:spacing w:after="40" w:line="240" w:lineRule="auto"/>
      </w:pPr>
      <w:r>
        <w:rPr>
          <w:rFonts w:ascii="Liberation Serif" w:hAnsi="Liberation Serif" w:eastAsia="Liberation Serif"/>
          <w:sz w:val="20"/>
        </w:rPr>
        <w:t>construction of physical infrastructure such as bridge, dam, tunnel, reservoir, road, canal, ropeway, airport, hydropower project or dry port;</w:t>
      </w:r>
    </w:p>
    <w:p>
      <w:pPr>
        <w:pStyle w:val="ListBullet"/>
        <w:spacing w:after="40" w:line="240" w:lineRule="auto"/>
      </w:pPr>
      <w:r>
        <w:rPr>
          <w:rFonts w:ascii="Liberation Serif" w:hAnsi="Liberation Serif" w:eastAsia="Liberation Serif"/>
          <w:sz w:val="20"/>
        </w:rPr>
        <w:t>restoring the environment after destruction of property;</w:t>
      </w:r>
    </w:p>
    <w:p>
      <w:pPr>
        <w:pStyle w:val="ListBullet"/>
        <w:spacing w:after="40" w:line="240" w:lineRule="auto"/>
      </w:pPr>
      <w:r>
        <w:rPr>
          <w:rFonts w:ascii="Liberation Serif" w:hAnsi="Liberation Serif" w:eastAsia="Liberation Serif"/>
          <w:sz w:val="20"/>
        </w:rPr>
        <w:t>preparing a specified construction site so that it becomes suitable for construction of a structure.</w:t>
      </w:r>
    </w:p>
    <w:p>
      <w:pPr>
        <w:spacing w:after="80" w:line="252" w:lineRule="auto"/>
      </w:pPr>
      <w:r>
        <w:rPr>
          <w:rFonts w:ascii="Liberation Serif" w:hAnsi="Liberation Serif" w:eastAsia="Liberation Serif"/>
          <w:b w:val="0"/>
          <w:i w:val="0"/>
          <w:sz w:val="21"/>
        </w:rPr>
        <w:t>A contract may also be a combination of two or more types of contract. For example, if one party is required to manufacture goods for the other party and install those goods at the place specified by the other party, both manufacture and installation fall under the long-term contract. Likewise, in a construction contract, if the contractor must install property manufactured by a third party in the property under construction, both construction and installation fall within the long-term contract.</w:t>
      </w:r>
    </w:p>
    <w:p>
      <w:pPr>
        <w:spacing w:after="80" w:line="252" w:lineRule="auto"/>
      </w:pPr>
      <w:r>
        <w:rPr>
          <w:rFonts w:ascii="Liberation Serif" w:hAnsi="Liberation Serif" w:eastAsia="Liberation Serif"/>
          <w:b w:val="0"/>
          <w:i w:val="0"/>
          <w:sz w:val="21"/>
        </w:rPr>
        <w:t>From the point of view of pricing, NAS 13 classifies construction contracts mainly as cost plus contracts and fixed price contracts.</w:t>
      </w:r>
    </w:p>
    <w:tbl>
      <w:tblPr>
        <w:tblStyle w:val="TableGrid"/>
        <w:tblW w:type="auto" w:w="0"/>
        <w:jc w:val="center"/>
        <w:tblLook w:firstColumn="1" w:firstRow="1" w:lastColumn="0" w:lastRow="0" w:noHBand="0" w:noVBand="1" w:val="04A0"/>
      </w:tblPr>
      <w:tblGrid>
        <w:gridCol w:w="5213"/>
        <w:gridCol w:w="5213"/>
      </w:tblGrid>
      <w:tr>
        <w:trPr>
          <w:tblHeader w:val="true"/>
        </w:trPr>
        <w:tc>
          <w:tcPr>
            <w:tcW w:type="dxa" w:w="2268"/>
            <w:vAlign w:val="top"/>
            <w:shd w:fill="D9EAF7"/>
          </w:tcPr>
          <w:p>
            <w:pPr>
              <w:spacing w:after="0" w:line="240" w:lineRule="auto"/>
            </w:pPr>
            <w:r/>
            <w:r>
              <w:rPr>
                <w:rFonts w:ascii="Liberation Serif" w:hAnsi="Liberation Serif" w:eastAsia="Liberation Serif"/>
                <w:b/>
                <w:sz w:val="16"/>
              </w:rPr>
              <w:t>Type</w:t>
            </w:r>
          </w:p>
        </w:tc>
        <w:tc>
          <w:tcPr>
            <w:tcW w:type="dxa" w:w="6803"/>
            <w:vAlign w:val="top"/>
            <w:shd w:fill="D9EAF7"/>
          </w:tcPr>
          <w:p>
            <w:pPr>
              <w:spacing w:after="0" w:line="240" w:lineRule="auto"/>
            </w:pPr>
            <w:r/>
            <w:r>
              <w:rPr>
                <w:rFonts w:ascii="Liberation Serif" w:hAnsi="Liberation Serif" w:eastAsia="Liberation Serif"/>
                <w:b/>
                <w:sz w:val="16"/>
              </w:rPr>
              <w:t>Meaning</w:t>
            </w:r>
          </w:p>
        </w:tc>
      </w:tr>
      <w:tr>
        <w:tc>
          <w:tcPr>
            <w:tcW w:type="dxa" w:w="2268"/>
            <w:vAlign w:val="top"/>
          </w:tcPr>
          <w:p>
            <w:pPr>
              <w:spacing w:after="0" w:line="240" w:lineRule="auto"/>
            </w:pPr>
            <w:r/>
            <w:r>
              <w:rPr>
                <w:rFonts w:ascii="Liberation Serif" w:hAnsi="Liberation Serif" w:eastAsia="Liberation Serif"/>
                <w:b w:val="0"/>
                <w:sz w:val="16"/>
              </w:rPr>
              <w:t>Cost plus contract</w:t>
            </w:r>
          </w:p>
        </w:tc>
        <w:tc>
          <w:tcPr>
            <w:tcW w:type="dxa" w:w="6803"/>
            <w:vAlign w:val="top"/>
          </w:tcPr>
          <w:p>
            <w:pPr>
              <w:spacing w:after="0" w:line="240" w:lineRule="auto"/>
            </w:pPr>
            <w:r/>
            <w:r>
              <w:rPr>
                <w:rFonts w:ascii="Liberation Serif" w:hAnsi="Liberation Serif" w:eastAsia="Liberation Serif"/>
                <w:b w:val="0"/>
                <w:sz w:val="16"/>
              </w:rPr>
              <w:t>A construction contract in which the contractor is reimbursed allowable or otherwise defined costs, plus a percentage of those costs or a fixed fee.</w:t>
            </w:r>
          </w:p>
        </w:tc>
      </w:tr>
      <w:tr>
        <w:tc>
          <w:tcPr>
            <w:tcW w:type="dxa" w:w="2268"/>
            <w:vAlign w:val="top"/>
          </w:tcPr>
          <w:p>
            <w:pPr>
              <w:spacing w:after="0" w:line="240" w:lineRule="auto"/>
            </w:pPr>
            <w:r/>
            <w:r>
              <w:rPr>
                <w:rFonts w:ascii="Liberation Serif" w:hAnsi="Liberation Serif" w:eastAsia="Liberation Serif"/>
                <w:b w:val="0"/>
                <w:sz w:val="16"/>
              </w:rPr>
              <w:t>Fixed price contract</w:t>
            </w:r>
          </w:p>
        </w:tc>
        <w:tc>
          <w:tcPr>
            <w:tcW w:type="dxa" w:w="6803"/>
            <w:vAlign w:val="top"/>
          </w:tcPr>
          <w:p>
            <w:pPr>
              <w:spacing w:after="0" w:line="240" w:lineRule="auto"/>
            </w:pPr>
            <w:r/>
            <w:r>
              <w:rPr>
                <w:rFonts w:ascii="Liberation Serif" w:hAnsi="Liberation Serif" w:eastAsia="Liberation Serif"/>
                <w:b w:val="0"/>
                <w:sz w:val="16"/>
              </w:rPr>
              <w:t>A construction contract in which the contractor agrees to a fixed contract price or a fixed rate per unit of output, in some cases subject to cost escalation clauses.</w:t>
            </w:r>
          </w:p>
        </w:tc>
      </w:tr>
      <w:tr>
        <w:tc>
          <w:tcPr>
            <w:tcW w:type="dxa" w:w="2268"/>
            <w:vAlign w:val="top"/>
          </w:tcPr>
          <w:p>
            <w:pPr>
              <w:spacing w:after="0" w:line="240" w:lineRule="auto"/>
            </w:pPr>
            <w:r/>
            <w:r>
              <w:rPr>
                <w:rFonts w:ascii="Liberation Serif" w:hAnsi="Liberation Serif" w:eastAsia="Liberation Serif"/>
                <w:b w:val="0"/>
                <w:sz w:val="16"/>
              </w:rPr>
              <w:t>Mixed contract</w:t>
            </w:r>
          </w:p>
        </w:tc>
        <w:tc>
          <w:tcPr>
            <w:tcW w:type="dxa" w:w="6803"/>
            <w:vAlign w:val="top"/>
          </w:tcPr>
          <w:p>
            <w:pPr>
              <w:spacing w:after="0" w:line="240" w:lineRule="auto"/>
            </w:pPr>
            <w:r/>
            <w:r>
              <w:rPr>
                <w:rFonts w:ascii="Liberation Serif" w:hAnsi="Liberation Serif" w:eastAsia="Liberation Serif"/>
                <w:b w:val="0"/>
                <w:sz w:val="16"/>
              </w:rPr>
              <w:t>Some contracts may contain characteristics of both fixed price and cost plus contracts, such as a cost plus contract with an agreed maximum price.</w:t>
            </w:r>
          </w:p>
        </w:tc>
      </w:tr>
    </w:tbl>
    <w:p/>
    <w:p>
      <w:pPr>
        <w:pStyle w:val="Heading3"/>
      </w:pPr>
      <w:r>
        <w:t>20.2.4 Contract for services related to manufacture, installation or construction</w:t>
      </w:r>
    </w:p>
    <w:p>
      <w:pPr>
        <w:spacing w:after="80" w:line="252" w:lineRule="auto"/>
      </w:pPr>
      <w:r>
        <w:rPr>
          <w:rFonts w:ascii="Liberation Serif" w:hAnsi="Liberation Serif" w:eastAsia="Liberation Serif"/>
          <w:b w:val="0"/>
          <w:i w:val="0"/>
          <w:sz w:val="21"/>
        </w:rPr>
        <w:t>A contract for providing services related to manufacture, installation or construction means a contract under which one party, as service provider, agrees to provide the other party with services necessary to complete manufacture, installation or construction activities carried on by that other party. A contract exceeding twelve months for any service necessary to support or complete manufacture, installation or construction falls within the definition of long-term contract.</w:t>
      </w:r>
    </w:p>
    <w:p>
      <w:pPr>
        <w:spacing w:after="80" w:line="252" w:lineRule="auto"/>
      </w:pPr>
      <w:r>
        <w:rPr>
          <w:rFonts w:ascii="Liberation Serif" w:hAnsi="Liberation Serif" w:eastAsia="Liberation Serif"/>
          <w:b w:val="0"/>
          <w:i w:val="0"/>
          <w:sz w:val="21"/>
        </w:rPr>
        <w:t>Such services may include:</w:t>
      </w:r>
    </w:p>
    <w:p>
      <w:pPr>
        <w:pStyle w:val="ListBullet"/>
        <w:spacing w:after="40" w:line="240" w:lineRule="auto"/>
      </w:pPr>
      <w:r>
        <w:rPr>
          <w:rFonts w:ascii="Liberation Serif" w:hAnsi="Liberation Serif" w:eastAsia="Liberation Serif"/>
          <w:sz w:val="20"/>
        </w:rPr>
        <w:t>managerial, professional or technical services;</w:t>
      </w:r>
    </w:p>
    <w:p>
      <w:pPr>
        <w:pStyle w:val="ListBullet"/>
        <w:spacing w:after="40" w:line="240" w:lineRule="auto"/>
      </w:pPr>
      <w:r>
        <w:rPr>
          <w:rFonts w:ascii="Liberation Serif" w:hAnsi="Liberation Serif" w:eastAsia="Liberation Serif"/>
          <w:sz w:val="20"/>
        </w:rPr>
        <w:t>transportation, carriage and travel-related services;</w:t>
      </w:r>
    </w:p>
    <w:p>
      <w:pPr>
        <w:pStyle w:val="ListBullet"/>
        <w:spacing w:after="40" w:line="240" w:lineRule="auto"/>
      </w:pPr>
      <w:r>
        <w:rPr>
          <w:rFonts w:ascii="Liberation Serif" w:hAnsi="Liberation Serif" w:eastAsia="Liberation Serif"/>
          <w:sz w:val="20"/>
        </w:rPr>
        <w:t>communication services;</w:t>
      </w:r>
    </w:p>
    <w:p>
      <w:pPr>
        <w:pStyle w:val="ListBullet"/>
        <w:spacing w:after="40" w:line="240" w:lineRule="auto"/>
      </w:pPr>
      <w:r>
        <w:rPr>
          <w:rFonts w:ascii="Liberation Serif" w:hAnsi="Liberation Serif" w:eastAsia="Liberation Serif"/>
          <w:sz w:val="20"/>
        </w:rPr>
        <w:t>services relating to supply of goods or labour;</w:t>
      </w:r>
    </w:p>
    <w:p>
      <w:pPr>
        <w:pStyle w:val="ListBullet"/>
        <w:spacing w:after="40" w:line="240" w:lineRule="auto"/>
      </w:pPr>
      <w:r>
        <w:rPr>
          <w:rFonts w:ascii="Liberation Serif" w:hAnsi="Liberation Serif" w:eastAsia="Liberation Serif"/>
          <w:sz w:val="20"/>
        </w:rPr>
        <w:t>cleaning services, etc.</w:t>
      </w:r>
    </w:p>
    <w:tbl>
      <w:tblPr>
        <w:tblStyle w:val="TableGrid"/>
        <w:tblW w:type="auto" w:w="0"/>
        <w:jc w:val="center"/>
        <w:tblLook w:firstColumn="1" w:firstRow="1" w:lastColumn="0" w:lastRow="0" w:noHBand="0" w:noVBand="1" w:val="04A0"/>
      </w:tblPr>
      <w:tblGrid>
        <w:gridCol w:w="5213"/>
        <w:gridCol w:w="5213"/>
      </w:tblGrid>
      <w:tr>
        <w:trPr>
          <w:tblHeader w:val="true"/>
        </w:trPr>
        <w:tc>
          <w:tcPr>
            <w:tcW w:type="dxa" w:w="5102"/>
            <w:vAlign w:val="top"/>
            <w:shd w:fill="D9EAF7"/>
          </w:tcPr>
          <w:p>
            <w:pPr>
              <w:spacing w:after="0" w:line="240" w:lineRule="auto"/>
            </w:pPr>
            <w:r/>
            <w:r>
              <w:rPr>
                <w:rFonts w:ascii="Liberation Serif" w:hAnsi="Liberation Serif" w:eastAsia="Liberation Serif"/>
                <w:b/>
                <w:sz w:val="16"/>
              </w:rPr>
              <w:t>Example 20.2.8</w:t>
            </w:r>
          </w:p>
        </w:tc>
        <w:tc>
          <w:tcPr>
            <w:tcW w:type="dxa" w:w="3969"/>
            <w:vAlign w:val="top"/>
            <w:shd w:fill="D9EAF7"/>
          </w:tcPr>
          <w:p>
            <w:pPr>
              <w:spacing w:after="0" w:line="240" w:lineRule="auto"/>
            </w:pPr>
            <w:r/>
            <w:r>
              <w:rPr>
                <w:rFonts w:ascii="Liberation Serif" w:hAnsi="Liberation Serif" w:eastAsia="Liberation Serif"/>
                <w:b/>
                <w:sz w:val="16"/>
              </w:rPr>
              <w:t>Treatment</w:t>
            </w:r>
          </w:p>
        </w:tc>
      </w:tr>
      <w:tr>
        <w:tc>
          <w:tcPr>
            <w:tcW w:type="dxa" w:w="5102"/>
            <w:vAlign w:val="top"/>
          </w:tcPr>
          <w:p>
            <w:pPr>
              <w:spacing w:after="0" w:line="240" w:lineRule="auto"/>
            </w:pPr>
            <w:r/>
            <w:r>
              <w:rPr>
                <w:rFonts w:ascii="Liberation Serif" w:hAnsi="Liberation Serif" w:eastAsia="Liberation Serif"/>
                <w:b w:val="0"/>
                <w:sz w:val="16"/>
              </w:rPr>
              <w:t>Pashupati Consult Pvt. Ltd. contracted on 1 Shrawan 2079 to prepare the detailed design of a hydropower project for another company by the end of Poush 2080.</w:t>
            </w:r>
          </w:p>
        </w:tc>
        <w:tc>
          <w:tcPr>
            <w:tcW w:type="dxa" w:w="3969"/>
            <w:vAlign w:val="top"/>
          </w:tcPr>
          <w:p>
            <w:pPr>
              <w:spacing w:after="0" w:line="240" w:lineRule="auto"/>
            </w:pPr>
            <w:r/>
            <w:r>
              <w:rPr>
                <w:rFonts w:ascii="Liberation Serif" w:hAnsi="Liberation Serif" w:eastAsia="Liberation Serif"/>
                <w:b w:val="0"/>
                <w:sz w:val="16"/>
              </w:rPr>
              <w:t>Although design preparation is a service, it is related to construction of the hydropower project and the contract term exceeds twelve months. The service contract is therefore a long-term contract.</w:t>
            </w:r>
          </w:p>
        </w:tc>
      </w:tr>
    </w:tbl>
    <w:p/>
    <w:p>
      <w:pPr>
        <w:pStyle w:val="Heading2"/>
      </w:pPr>
      <w:r>
        <w:t>20.3 Deferred-Payment Contract</w:t>
      </w:r>
    </w:p>
    <w:p>
      <w:pPr>
        <w:spacing w:after="80" w:line="252" w:lineRule="auto"/>
      </w:pPr>
      <w:r>
        <w:rPr>
          <w:rFonts w:ascii="Liberation Serif" w:hAnsi="Liberation Serif" w:eastAsia="Liberation Serif"/>
          <w:b w:val="0"/>
          <w:i w:val="0"/>
          <w:sz w:val="21"/>
        </w:rPr>
        <w:t>Section 26 also provides that a deferred-payment contract is a long-term contract. For income tax purposes, if a party to a contract, after commencement of the contract, does not disclose the matters prescribed by the Department in relation to the estimated profit and loss of the contract at every six-month interval, the contract becomes a deferred-payment contract and therefore assumes the character of a long-term contract. Rule 10 of the Income Tax Rules, 2059 provides:</w:t>
      </w:r>
    </w:p>
    <w:p>
      <w:pPr>
        <w:spacing w:before="40" w:after="80" w:line="240" w:lineRule="auto"/>
        <w:ind w:left="255"/>
      </w:pPr>
      <w:r>
        <w:rPr>
          <w:rFonts w:ascii="Liberation Serif" w:hAnsi="Liberation Serif" w:eastAsia="Liberation Serif"/>
          <w:i/>
          <w:sz w:val="19"/>
        </w:rPr>
        <w:t>Rule 10 - Deferred-payment contract: If a party to a contract, after commencement of the contract, does not show the matters prescribed by the Department in relation to estimated profit and estimated loss in each six-month period, such contract shall be a deferred-payment contract.</w:t>
      </w:r>
    </w:p>
    <w:p>
      <w:pPr>
        <w:spacing w:after="80" w:line="252" w:lineRule="auto"/>
      </w:pPr>
      <w:r>
        <w:rPr>
          <w:rFonts w:ascii="Liberation Serif" w:hAnsi="Liberation Serif" w:eastAsia="Liberation Serif"/>
          <w:b w:val="0"/>
          <w:i w:val="0"/>
          <w:sz w:val="21"/>
        </w:rPr>
        <w:t>Therefore, if a person carrying on work under a contract does not submit the statement containing information prescribed by the Department regarding estimated profit or loss from the contract, that contract becomes a deferred-payment contract and falls under a long-term contract. Income from that contract must then be computed under Section 26 on the basis of percentage of completion.</w:t>
      </w:r>
    </w:p>
    <w:p>
      <w:pPr>
        <w:pStyle w:val="Heading2"/>
      </w:pPr>
      <w:r>
        <w:t>20.4 Excluded Contract</w:t>
      </w:r>
    </w:p>
    <w:p>
      <w:pPr>
        <w:spacing w:after="80" w:line="252" w:lineRule="auto"/>
      </w:pPr>
      <w:r>
        <w:rPr>
          <w:rFonts w:ascii="Liberation Serif" w:hAnsi="Liberation Serif" w:eastAsia="Liberation Serif"/>
          <w:b w:val="0"/>
          <w:i w:val="0"/>
          <w:sz w:val="21"/>
        </w:rPr>
        <w:t>Although Section 26 includes deferred-payment contracts within long-term contracts, an excluded contract does not fall within the definition of long-term contract. For income tax purposes, an excluded contract means a contract arising from holding an interest in an entity, membership in a retirement fund, or an investment insurance contract. Rule 11 provides:</w:t>
      </w:r>
    </w:p>
    <w:p>
      <w:pPr>
        <w:spacing w:before="40" w:after="80" w:line="240" w:lineRule="auto"/>
        <w:ind w:left="255"/>
      </w:pPr>
      <w:r>
        <w:rPr>
          <w:rFonts w:ascii="Liberation Serif" w:hAnsi="Liberation Serif" w:eastAsia="Liberation Serif"/>
          <w:i/>
          <w:sz w:val="19"/>
        </w:rPr>
        <w:t>Rule 11 - Excluded contract: The following contracts shall be excluded contracts: (a) any contract arising by reason of holding an interest in an entity or membership of a retirement fund; or (b) any contract of investment insurance.</w:t>
      </w:r>
    </w:p>
    <w:p>
      <w:pPr>
        <w:spacing w:after="80" w:line="252" w:lineRule="auto"/>
      </w:pPr>
      <w:r>
        <w:rPr>
          <w:rFonts w:ascii="Liberation Serif" w:hAnsi="Liberation Serif" w:eastAsia="Liberation Serif"/>
          <w:b w:val="0"/>
          <w:i w:val="0"/>
          <w:sz w:val="21"/>
        </w:rPr>
        <w:t>Accordingly, a contract naturally arising from ownership interest in an entity or contribution to a retirement fund, and contracts relating to investment insurance such as life insurance or accident insurance for at least five years, are excluded contracts. Even if the consideration under an excluded contract is deferred, the contract is not a long-term contract.</w:t>
      </w:r>
    </w:p>
    <w:tbl>
      <w:tblPr>
        <w:tblStyle w:val="TableGrid"/>
        <w:tblW w:type="auto" w:w="0"/>
        <w:jc w:val="center"/>
        <w:tblLook w:firstColumn="1" w:firstRow="1" w:lastColumn="0" w:lastRow="0" w:noHBand="0" w:noVBand="1" w:val="04A0"/>
      </w:tblPr>
      <w:tblGrid>
        <w:gridCol w:w="5213"/>
        <w:gridCol w:w="5213"/>
      </w:tblGrid>
      <w:tr>
        <w:trPr>
          <w:tblHeader w:val="true"/>
        </w:trPr>
        <w:tc>
          <w:tcPr>
            <w:tcW w:type="dxa" w:w="5102"/>
            <w:vAlign w:val="top"/>
            <w:shd w:fill="D9EAF7"/>
          </w:tcPr>
          <w:p>
            <w:pPr>
              <w:spacing w:after="0" w:line="240" w:lineRule="auto"/>
            </w:pPr>
            <w:r/>
            <w:r>
              <w:rPr>
                <w:rFonts w:ascii="Liberation Serif" w:hAnsi="Liberation Serif" w:eastAsia="Liberation Serif"/>
                <w:b/>
                <w:sz w:val="16"/>
              </w:rPr>
              <w:t>Example 20.4.1</w:t>
            </w:r>
          </w:p>
        </w:tc>
        <w:tc>
          <w:tcPr>
            <w:tcW w:type="dxa" w:w="3969"/>
            <w:vAlign w:val="top"/>
            <w:shd w:fill="D9EAF7"/>
          </w:tcPr>
          <w:p>
            <w:pPr>
              <w:spacing w:after="0" w:line="240" w:lineRule="auto"/>
            </w:pPr>
            <w:r/>
            <w:r>
              <w:rPr>
                <w:rFonts w:ascii="Liberation Serif" w:hAnsi="Liberation Serif" w:eastAsia="Liberation Serif"/>
                <w:b/>
                <w:sz w:val="16"/>
              </w:rPr>
              <w:t>Treatment</w:t>
            </w:r>
          </w:p>
        </w:tc>
      </w:tr>
      <w:tr>
        <w:tc>
          <w:tcPr>
            <w:tcW w:type="dxa" w:w="5102"/>
            <w:vAlign w:val="top"/>
          </w:tcPr>
          <w:p>
            <w:pPr>
              <w:spacing w:after="0" w:line="240" w:lineRule="auto"/>
            </w:pPr>
            <w:r/>
            <w:r>
              <w:rPr>
                <w:rFonts w:ascii="Liberation Serif" w:hAnsi="Liberation Serif" w:eastAsia="Liberation Serif"/>
                <w:b w:val="0"/>
                <w:sz w:val="16"/>
              </w:rPr>
              <w:t>Devesh Dhakal entered into a 15-year life insurance contract with an insurance company. Under the contract, he will receive a lump sum of Rs. 150,000 after the specified period.</w:t>
            </w:r>
          </w:p>
        </w:tc>
        <w:tc>
          <w:tcPr>
            <w:tcW w:type="dxa" w:w="3969"/>
            <w:vAlign w:val="top"/>
          </w:tcPr>
          <w:p>
            <w:pPr>
              <w:spacing w:after="0" w:line="240" w:lineRule="auto"/>
            </w:pPr>
            <w:r/>
            <w:r>
              <w:rPr>
                <w:rFonts w:ascii="Liberation Serif" w:hAnsi="Liberation Serif" w:eastAsia="Liberation Serif"/>
                <w:b w:val="0"/>
                <w:sz w:val="16"/>
              </w:rPr>
              <w:t>Although the period exceeds twelve months, this investment insurance contract does not fall under a long-term contract.</w:t>
            </w:r>
          </w:p>
        </w:tc>
      </w:tr>
    </w:tbl>
    <w:p/>
    <w:p>
      <w:pPr>
        <w:pStyle w:val="Heading2"/>
      </w:pPr>
      <w:r>
        <w:t>20.5 Other Circumstances in Which a Contract May Be a Long-Term Contract</w:t>
      </w:r>
    </w:p>
    <w:p>
      <w:pPr>
        <w:spacing w:after="80" w:line="252" w:lineRule="auto"/>
      </w:pPr>
      <w:r>
        <w:rPr>
          <w:rFonts w:ascii="Liberation Serif" w:hAnsi="Liberation Serif" w:eastAsia="Liberation Serif"/>
          <w:b w:val="0"/>
          <w:i w:val="0"/>
          <w:sz w:val="21"/>
        </w:rPr>
        <w:t>Contracts other than those specified in Section 26 may also be long-term contracts if prescribed by the Inland Revenue Department. Rule 12(5) provides that the long-term contract rules apply to the following contracts:</w:t>
      </w:r>
    </w:p>
    <w:p>
      <w:pPr>
        <w:spacing w:before="40" w:after="80" w:line="240" w:lineRule="auto"/>
        <w:ind w:left="255"/>
      </w:pPr>
      <w:r>
        <w:rPr>
          <w:rFonts w:ascii="Liberation Serif" w:hAnsi="Liberation Serif" w:eastAsia="Liberation Serif"/>
          <w:i/>
          <w:sz w:val="19"/>
        </w:rPr>
        <w:t>Rule 12(5): (a) contracts relating to manufacture, construction or installation, or contracts for completing services related to those matters, that existed at the time the Act came into force; and (b) in cases other than clause (a), contracts according to the time and circumstances prescribed by the Department.</w:t>
      </w:r>
    </w:p>
    <w:p>
      <w:pPr>
        <w:spacing w:after="80" w:line="252" w:lineRule="auto"/>
      </w:pPr>
      <w:r>
        <w:rPr>
          <w:rFonts w:ascii="Liberation Serif" w:hAnsi="Liberation Serif" w:eastAsia="Liberation Serif"/>
          <w:b w:val="0"/>
          <w:i w:val="0"/>
          <w:sz w:val="21"/>
        </w:rPr>
        <w:t>Clause (a) is a transitional provision for contracts in operation when the Income Tax Act, 2058 came into force; that situation is no longer relevant. Although the Rules allow the Department to prescribe other contracts for application of Section 26, the Department has not yet prescribed any such contract.</w:t>
      </w:r>
    </w:p>
    <w:p>
      <w:pPr>
        <w:pStyle w:val="Heading2"/>
      </w:pPr>
      <w:r>
        <w:t>20.6 Circumstances in Which Long-Term Contract Rules Do Not Apply</w:t>
      </w:r>
    </w:p>
    <w:p>
      <w:pPr>
        <w:spacing w:after="80" w:line="252" w:lineRule="auto"/>
      </w:pPr>
      <w:r>
        <w:rPr>
          <w:rFonts w:ascii="Liberation Serif" w:hAnsi="Liberation Serif" w:eastAsia="Liberation Serif"/>
          <w:b w:val="0"/>
          <w:i w:val="0"/>
          <w:sz w:val="21"/>
        </w:rPr>
        <w:t>Even if a contract falls within a long-term contract under the Act and Rules, special circumstances may prevent the application of the long-term contract rules. Rule 12(4) provides that Section 26 does not apply to a person who is not required to submit an estimated tax statement for an income year under Section 95.</w:t>
      </w:r>
    </w:p>
    <w:p>
      <w:pPr>
        <w:spacing w:before="40" w:after="80" w:line="240" w:lineRule="auto"/>
        <w:ind w:left="255"/>
      </w:pPr>
      <w:r>
        <w:rPr>
          <w:rFonts w:ascii="Liberation Serif" w:hAnsi="Liberation Serif" w:eastAsia="Liberation Serif"/>
          <w:i/>
          <w:sz w:val="19"/>
        </w:rPr>
        <w:t>Rule 12(4): In the case of a person who is not required to submit an estimated tax statement for any income year under Section 95 of the Act, the provisions relating to long-term contracts under Section 26 shall not apply.</w:t>
      </w:r>
    </w:p>
    <w:p>
      <w:pPr>
        <w:spacing w:after="80" w:line="252" w:lineRule="auto"/>
      </w:pPr>
      <w:r>
        <w:rPr>
          <w:rFonts w:ascii="Liberation Serif" w:hAnsi="Liberation Serif" w:eastAsia="Liberation Serif"/>
          <w:b w:val="0"/>
          <w:i w:val="0"/>
          <w:sz w:val="21"/>
        </w:rPr>
        <w:t>Only a person required to pay instalments is required to submit an estimated tax statement. Where the total instalment amount is less than Rs. 7,500, the person is not required to pay instalments. Likewise, natural persons referred to in Section 4(4) of the Act are not required to pay instalments when the tax payable is below Rs. 7,500; therefore, they are not required to submit an estimated tax statement. For such natural persons, the long-term contract rules under Section 26 do not apply. Section 95(6) and Rule 33 also allow the Department to prescribe that a person or class of persons need not submit an estimated tax statement.</w:t>
      </w:r>
    </w:p>
    <w:p>
      <w:pPr>
        <w:pStyle w:val="Heading2"/>
      </w:pPr>
      <w:r>
        <w:t>20.7 Computation of Percentage of Completion of a Long-Term Contract</w:t>
      </w:r>
    </w:p>
    <w:p>
      <w:pPr>
        <w:spacing w:after="80" w:line="252" w:lineRule="auto"/>
      </w:pPr>
      <w:r>
        <w:rPr>
          <w:rFonts w:ascii="Liberation Serif" w:hAnsi="Liberation Serif" w:eastAsia="Liberation Serif"/>
          <w:b w:val="0"/>
          <w:i w:val="0"/>
          <w:sz w:val="21"/>
        </w:rPr>
        <w:t>Although income from a long-term contract is business income, the Act prescribes a separate method for computing it. Income from a long-term contract is computed on the basis of the percentage of completion. The estimated amount calculated on that basis must be included in income. Further, the amount included is not merely the amount for a particular income year; the income from the beginning of the contract up to the current income year is included. This is called the total of cumulative inclusions.</w:t>
      </w:r>
    </w:p>
    <w:p>
      <w:pPr>
        <w:spacing w:before="40" w:after="80" w:line="240" w:lineRule="auto"/>
        <w:ind w:left="255"/>
      </w:pPr>
      <w:r>
        <w:rPr>
          <w:rFonts w:ascii="Liberation Serif" w:hAnsi="Liberation Serif" w:eastAsia="Liberation Serif"/>
          <w:i/>
          <w:sz w:val="19"/>
        </w:rPr>
        <w:t>Section 26(1): In computing the income of a person from any employment, business or investment for an income year, estimated amounts to be included and deducted under a long-term contract, according to the percentage of completion of the contract and according to the total of cumulative inclusions and total of cumulative deductions, shall be treated as received or expended.</w:t>
      </w:r>
    </w:p>
    <w:p>
      <w:pPr>
        <w:spacing w:after="80" w:line="252" w:lineRule="auto"/>
      </w:pPr>
      <w:r>
        <w:rPr>
          <w:rFonts w:ascii="Liberation Serif" w:hAnsi="Liberation Serif" w:eastAsia="Liberation Serif"/>
          <w:b w:val="0"/>
          <w:i w:val="0"/>
          <w:sz w:val="21"/>
        </w:rPr>
        <w:t>The percentage of completion of a long-term contract generally means the ratio of the work completed at a particular time to the total work to be completed under that contract. Although the Act does not itself prescribe a method for computing the percentage, Section 26(2) provides that it shall be as prescribed. Rule 12(3) of the Rules provides:</w:t>
      </w:r>
    </w:p>
    <w:p>
      <w:pPr>
        <w:spacing w:before="40" w:after="80" w:line="240" w:lineRule="auto"/>
        <w:ind w:left="255"/>
      </w:pPr>
      <w:r>
        <w:rPr>
          <w:rFonts w:ascii="Liberation Serif" w:hAnsi="Liberation Serif" w:eastAsia="Liberation Serif"/>
          <w:i/>
          <w:sz w:val="19"/>
        </w:rPr>
        <w:t>Rule 12(3): In determining at any particular time the percentage of completion of a contract referred to in Section 26(2), it shall be determined: (a) for a contract relating to manufacture, construction or installation, or for completing related services, by comparing the amount of cumulative deductions at that time with the amount of cumulative deductions at the time the contract ends; or (b) in other cases, subject to clause (a), as prescribed by the Department.</w:t>
      </w:r>
    </w:p>
    <w:p>
      <w:pPr>
        <w:spacing w:after="80" w:line="252" w:lineRule="auto"/>
      </w:pPr>
      <w:r>
        <w:rPr>
          <w:rFonts w:ascii="Liberation Serif" w:hAnsi="Liberation Serif" w:eastAsia="Liberation Serif"/>
          <w:b w:val="0"/>
          <w:i w:val="0"/>
          <w:sz w:val="21"/>
        </w:rPr>
        <w:t>The Rules therefore prescribe two bases: first, for manufacture, construction, installation or related services, the ratio of costs incurred and to be incurred under the contract; and second, for other contracts, the method prescribed by the Department. Except for methods prescribed by the Department, the only basis is the cost incurred or estimated to be incurred under the contract.</w:t>
      </w:r>
    </w:p>
    <w:p>
      <w:pPr>
        <w:pStyle w:val="Heading3"/>
      </w:pPr>
      <w:r>
        <w:t>20.7.1 Deductible amount of a long-term contract</w:t>
      </w:r>
    </w:p>
    <w:p>
      <w:pPr>
        <w:spacing w:after="80" w:line="252" w:lineRule="auto"/>
      </w:pPr>
      <w:r>
        <w:rPr>
          <w:rFonts w:ascii="Liberation Serif" w:hAnsi="Liberation Serif" w:eastAsia="Liberation Serif"/>
          <w:b w:val="0"/>
          <w:i w:val="0"/>
          <w:sz w:val="21"/>
        </w:rPr>
        <w:t>Since the percentage of completion is determined on the basis of the deductible amount of the contract, it is necessary to identify what is meant by deductible amount. Section 26 and the Rules do not separately specify the costs deductible for a contract. Therefore, costs considered part of contract cost under prevailing accounting standards should be treated as contract costs. NAS 13 states that contract costs comprise:</w:t>
      </w:r>
    </w:p>
    <w:p>
      <w:pPr>
        <w:spacing w:before="40" w:after="80" w:line="240" w:lineRule="auto"/>
        <w:ind w:left="255"/>
      </w:pPr>
      <w:r>
        <w:rPr>
          <w:rFonts w:ascii="Liberation Serif" w:hAnsi="Liberation Serif" w:eastAsia="Liberation Serif"/>
          <w:i/>
          <w:sz w:val="19"/>
        </w:rPr>
        <w:t>(a) costs that relate directly to the specific contract; (b) costs that are attributable to contract activity in general and can be allocated to the contract; and (c) such other costs as are specifically chargeable to the customer under the terms of the contract.</w:t>
      </w:r>
    </w:p>
    <w:p>
      <w:pPr>
        <w:pStyle w:val="Heading3"/>
      </w:pPr>
      <w:r>
        <w:t>20.7.2 Non-deductible amount of a long-term contract</w:t>
      </w:r>
    </w:p>
    <w:p>
      <w:pPr>
        <w:spacing w:after="80" w:line="252" w:lineRule="auto"/>
      </w:pPr>
      <w:r>
        <w:rPr>
          <w:rFonts w:ascii="Liberation Serif" w:hAnsi="Liberation Serif" w:eastAsia="Liberation Serif"/>
          <w:b w:val="0"/>
          <w:i w:val="0"/>
          <w:sz w:val="21"/>
        </w:rPr>
        <w:t>Neither the Act nor the Rules specifically states what costs are not deductible as contract costs. Therefore, costs excluded from contract cost under prevailing accounting standards should be treated as costs not included in contract cost. NAS 13 provides that costs that cannot be attributed to contract activity or cannot be allocated to a contract are excluded from construction contract costs. Such costs include:</w:t>
      </w:r>
    </w:p>
    <w:p>
      <w:pPr>
        <w:pStyle w:val="ListBullet"/>
        <w:spacing w:after="40" w:line="240" w:lineRule="auto"/>
      </w:pPr>
      <w:r>
        <w:rPr>
          <w:rFonts w:ascii="Liberation Serif" w:hAnsi="Liberation Serif" w:eastAsia="Liberation Serif"/>
          <w:sz w:val="20"/>
        </w:rPr>
        <w:t>general administration costs for which reimbursement is not specified in the contract;</w:t>
      </w:r>
    </w:p>
    <w:p>
      <w:pPr>
        <w:pStyle w:val="ListBullet"/>
        <w:spacing w:after="40" w:line="240" w:lineRule="auto"/>
      </w:pPr>
      <w:r>
        <w:rPr>
          <w:rFonts w:ascii="Liberation Serif" w:hAnsi="Liberation Serif" w:eastAsia="Liberation Serif"/>
          <w:sz w:val="20"/>
        </w:rPr>
        <w:t>selling costs;</w:t>
      </w:r>
    </w:p>
    <w:p>
      <w:pPr>
        <w:pStyle w:val="ListBullet"/>
        <w:spacing w:after="40" w:line="240" w:lineRule="auto"/>
      </w:pPr>
      <w:r>
        <w:rPr>
          <w:rFonts w:ascii="Liberation Serif" w:hAnsi="Liberation Serif" w:eastAsia="Liberation Serif"/>
          <w:sz w:val="20"/>
        </w:rPr>
        <w:t>research and development costs for which reimbursement is not specified in the contract;</w:t>
      </w:r>
    </w:p>
    <w:p>
      <w:pPr>
        <w:pStyle w:val="ListBullet"/>
        <w:spacing w:after="40" w:line="240" w:lineRule="auto"/>
      </w:pPr>
      <w:r>
        <w:rPr>
          <w:rFonts w:ascii="Liberation Serif" w:hAnsi="Liberation Serif" w:eastAsia="Liberation Serif"/>
          <w:sz w:val="20"/>
        </w:rPr>
        <w:t>depreciation of idle plant and equipment not used on the particular contract.</w:t>
      </w:r>
    </w:p>
    <w:p>
      <w:pPr>
        <w:spacing w:after="80" w:line="252" w:lineRule="auto"/>
      </w:pPr>
      <w:r>
        <w:rPr>
          <w:rFonts w:ascii="Liberation Serif" w:hAnsi="Liberation Serif" w:eastAsia="Liberation Serif"/>
          <w:b w:val="0"/>
          <w:i w:val="0"/>
          <w:sz w:val="21"/>
        </w:rPr>
        <w:t>In addition, contract costs include costs attributable to a contract for the period from the date of securing the contract to the final completion of the contract. Costs directly incurred in securing the contract are also included as contract costs if they can be separately identified and measured reliably and it is probable that the contract will be obtained. However, if such costs were recognised as expense in the period in which they were incurred, they cannot later be included in contract costs when the contract is obtained in a subsequent period.</w:t>
      </w:r>
    </w:p>
    <w:p>
      <w:pPr>
        <w:pStyle w:val="Heading3"/>
      </w:pPr>
      <w:r>
        <w:t>20.7.3 Deductible amount for determining percentage of completion</w:t>
      </w:r>
    </w:p>
    <w:p>
      <w:pPr>
        <w:spacing w:after="80" w:line="252" w:lineRule="auto"/>
      </w:pPr>
      <w:r>
        <w:rPr>
          <w:rFonts w:ascii="Liberation Serif" w:hAnsi="Liberation Serif" w:eastAsia="Liberation Serif"/>
          <w:b w:val="0"/>
          <w:i w:val="0"/>
          <w:sz w:val="21"/>
        </w:rPr>
        <w:t>For computing taxable income and tax from a long-term contract, deductible amounts are those deductible under Section 13. In claiming deductions for expenses under a long-term contract, a person must comply not only with Section 13 but also with Sections 14, 15, 16, 17, 18, 19, 20 and 21, and with Chapters 6 and 7 of the Act.</w:t>
      </w:r>
    </w:p>
    <w:p>
      <w:pPr>
        <w:spacing w:after="80" w:line="252" w:lineRule="auto"/>
      </w:pPr>
      <w:r>
        <w:rPr>
          <w:rFonts w:ascii="Liberation Serif" w:hAnsi="Liberation Serif" w:eastAsia="Liberation Serif"/>
          <w:b w:val="0"/>
          <w:i w:val="0"/>
          <w:sz w:val="21"/>
        </w:rPr>
        <w:t>However, computation of taxable income and determination of percentage of completion are different tasks. Therefore, the amount deductible for determining percentage of completion may differ from the amount deductible for tax assessment. For purposes of determining percentage of completion, costs directly related to the contract should be treated as deductible amounts, excluding costs that Nepal Accounting Standards exclude from contract costs. The same method applies both to the amount deductible at a particular time and to the estimated amount deductible at the end of the contract.</w:t>
      </w:r>
    </w:p>
    <w:p>
      <w:pPr>
        <w:spacing w:after="80" w:line="252" w:lineRule="auto"/>
      </w:pPr>
      <w:r>
        <w:rPr>
          <w:rFonts w:ascii="Liberation Serif" w:hAnsi="Liberation Serif" w:eastAsia="Liberation Serif"/>
          <w:b w:val="0"/>
          <w:i w:val="0"/>
          <w:sz w:val="21"/>
        </w:rPr>
        <w:t>NAS 13 identifies direct contract costs such as site labour including supervision, materials used in construction, depreciation of plant and equipment used on the contract, movement of plant/equipment/materials to and from the site, hiring of plant and equipment, design and technical assistance directly related to the contract, estimated costs of rectification and guarantee work including expected warranty costs, and third-party claims.</w:t>
      </w:r>
    </w:p>
    <w:p>
      <w:pPr>
        <w:spacing w:after="80" w:line="252" w:lineRule="auto"/>
      </w:pPr>
      <w:r>
        <w:rPr>
          <w:rFonts w:ascii="Liberation Serif" w:hAnsi="Liberation Serif" w:eastAsia="Liberation Serif"/>
          <w:b w:val="0"/>
          <w:i w:val="0"/>
          <w:sz w:val="21"/>
        </w:rPr>
        <w:t>Accordingly, in computing the cumulative deductible amount for a year and the estimated cumulative deductible amount at contract completion, the following costs should be included:</w:t>
      </w:r>
    </w:p>
    <w:p>
      <w:pPr>
        <w:pStyle w:val="ListBullet"/>
        <w:spacing w:after="40" w:line="240" w:lineRule="auto"/>
      </w:pPr>
      <w:r>
        <w:rPr>
          <w:rFonts w:ascii="Liberation Serif" w:hAnsi="Liberation Serif" w:eastAsia="Liberation Serif"/>
          <w:sz w:val="20"/>
        </w:rPr>
        <w:t>site supervision and site labour costs;</w:t>
      </w:r>
    </w:p>
    <w:p>
      <w:pPr>
        <w:pStyle w:val="ListBullet"/>
        <w:spacing w:after="40" w:line="240" w:lineRule="auto"/>
      </w:pPr>
      <w:r>
        <w:rPr>
          <w:rFonts w:ascii="Liberation Serif" w:hAnsi="Liberation Serif" w:eastAsia="Liberation Serif"/>
          <w:sz w:val="20"/>
        </w:rPr>
        <w:t>cost of materials used in construction;</w:t>
      </w:r>
    </w:p>
    <w:p>
      <w:pPr>
        <w:pStyle w:val="ListBullet"/>
        <w:spacing w:after="40" w:line="240" w:lineRule="auto"/>
      </w:pPr>
      <w:r>
        <w:rPr>
          <w:rFonts w:ascii="Liberation Serif" w:hAnsi="Liberation Serif" w:eastAsia="Liberation Serif"/>
          <w:sz w:val="20"/>
        </w:rPr>
        <w:t>depreciation of machinery and equipment used in performing the contract;</w:t>
      </w:r>
    </w:p>
    <w:p>
      <w:pPr>
        <w:pStyle w:val="ListBullet"/>
        <w:spacing w:after="40" w:line="240" w:lineRule="auto"/>
      </w:pPr>
      <w:r>
        <w:rPr>
          <w:rFonts w:ascii="Liberation Serif" w:hAnsi="Liberation Serif" w:eastAsia="Liberation Serif"/>
          <w:sz w:val="20"/>
        </w:rPr>
        <w:t>transportation or carriage costs of materials, machinery and equipment used in performing the contract;</w:t>
      </w:r>
    </w:p>
    <w:p>
      <w:pPr>
        <w:pStyle w:val="ListBullet"/>
        <w:spacing w:after="40" w:line="240" w:lineRule="auto"/>
      </w:pPr>
      <w:r>
        <w:rPr>
          <w:rFonts w:ascii="Liberation Serif" w:hAnsi="Liberation Serif" w:eastAsia="Liberation Serif"/>
          <w:sz w:val="20"/>
        </w:rPr>
        <w:t>hire charges for machinery and equipment;</w:t>
      </w:r>
    </w:p>
    <w:p>
      <w:pPr>
        <w:pStyle w:val="ListBullet"/>
        <w:spacing w:after="40" w:line="240" w:lineRule="auto"/>
      </w:pPr>
      <w:r>
        <w:rPr>
          <w:rFonts w:ascii="Liberation Serif" w:hAnsi="Liberation Serif" w:eastAsia="Liberation Serif"/>
          <w:sz w:val="20"/>
        </w:rPr>
        <w:t>costs of design and technical services directly related to the contract;</w:t>
      </w:r>
    </w:p>
    <w:p>
      <w:pPr>
        <w:pStyle w:val="ListBullet"/>
        <w:spacing w:after="40" w:line="240" w:lineRule="auto"/>
      </w:pPr>
      <w:r>
        <w:rPr>
          <w:rFonts w:ascii="Liberation Serif" w:hAnsi="Liberation Serif" w:eastAsia="Liberation Serif"/>
          <w:sz w:val="20"/>
        </w:rPr>
        <w:t>third-party claims for compensation;</w:t>
      </w:r>
    </w:p>
    <w:p>
      <w:pPr>
        <w:pStyle w:val="ListBullet"/>
        <w:spacing w:after="40" w:line="240" w:lineRule="auto"/>
      </w:pPr>
      <w:r>
        <w:rPr>
          <w:rFonts w:ascii="Liberation Serif" w:hAnsi="Liberation Serif" w:eastAsia="Liberation Serif"/>
          <w:sz w:val="20"/>
        </w:rPr>
        <w:t>estimated costs for rectification, guarantee work and expected warranty obligations.</w:t>
      </w:r>
    </w:p>
    <w:p>
      <w:pPr>
        <w:spacing w:after="80" w:line="252" w:lineRule="auto"/>
      </w:pPr>
      <w:r>
        <w:rPr>
          <w:rFonts w:ascii="Liberation Serif" w:hAnsi="Liberation Serif" w:eastAsia="Liberation Serif"/>
          <w:b w:val="0"/>
          <w:i w:val="0"/>
          <w:sz w:val="21"/>
        </w:rPr>
        <w:t>Even though accounting standards may allow certain incidental amounts to reduce the cost instead of being included as contract income, for determining percentage of completion the cost should not be reduced in that manner; total cost should be used as the basis.</w:t>
      </w:r>
    </w:p>
    <w:p>
      <w:pPr>
        <w:pStyle w:val="Heading3"/>
      </w:pPr>
      <w:r>
        <w:t>20.7.4 Total of cumulative deductions</w:t>
      </w:r>
    </w:p>
    <w:p>
      <w:pPr>
        <w:spacing w:after="80" w:line="252" w:lineRule="auto"/>
      </w:pPr>
      <w:r>
        <w:rPr>
          <w:rFonts w:ascii="Liberation Serif" w:hAnsi="Liberation Serif" w:eastAsia="Liberation Serif"/>
          <w:b w:val="0"/>
          <w:i w:val="0"/>
          <w:sz w:val="21"/>
        </w:rPr>
        <w:t>The Rules require estimated income from a long-term contract to be determined on the basis of cumulative actual expenses incurred and the total expenses estimated to be deductible by the end of the contract. For a particular income year, the deductible amount of a contract means the actual direct cost incurred in that year for performing the work under the contract. The total cost deductible by the end of the contract means the estimated direct cost to be incurred until completion of the contract. This estimate must be prepared at the time of entering into the contract on the basis of technical analysis and market prices.</w:t>
      </w:r>
    </w:p>
    <w:p>
      <w:pPr>
        <w:spacing w:after="80" w:line="252" w:lineRule="auto"/>
      </w:pPr>
      <w:r>
        <w:rPr>
          <w:rFonts w:ascii="Liberation Serif" w:hAnsi="Liberation Serif" w:eastAsia="Liberation Serif"/>
          <w:b w:val="0"/>
          <w:i w:val="0"/>
          <w:sz w:val="21"/>
        </w:rPr>
        <w:t>For computing income, two stages of cost must be calculated: the cumulative deductions at a particular time, and the estimated cumulative deductions at the time the contract ends. Cumulative deductions at a particular time mean the sum of actual direct costs incurred from the income year in which the contract work began up to the current income year. Estimated cumulative deductions at the end of the contract mean the total direct costs, including estimated warranty or guarantee costs, expected to be incurred during the whole contract period, including the warranty or guarantee period.</w:t>
      </w:r>
    </w:p>
    <w:tbl>
      <w:tblPr>
        <w:tblStyle w:val="TableGrid"/>
        <w:tblW w:type="auto" w:w="0"/>
        <w:jc w:val="center"/>
        <w:tblLook w:firstColumn="1" w:firstRow="1" w:lastColumn="0" w:lastRow="0" w:noHBand="0" w:noVBand="1" w:val="04A0"/>
      </w:tblPr>
      <w:tblGrid>
        <w:gridCol w:w="2606"/>
        <w:gridCol w:w="2606"/>
        <w:gridCol w:w="2606"/>
        <w:gridCol w:w="2606"/>
      </w:tblGrid>
      <w:tr>
        <w:trPr>
          <w:tblHeader w:val="true"/>
        </w:trPr>
        <w:tc>
          <w:tcPr>
            <w:tcW w:type="dxa" w:w="1814"/>
            <w:vAlign w:val="top"/>
            <w:shd w:fill="D9EAF7"/>
          </w:tcPr>
          <w:p>
            <w:pPr>
              <w:spacing w:after="0" w:line="240" w:lineRule="auto"/>
            </w:pPr>
            <w:r/>
            <w:r>
              <w:rPr>
                <w:rFonts w:ascii="Liberation Serif" w:hAnsi="Liberation Serif" w:eastAsia="Liberation Serif"/>
                <w:b/>
                <w:sz w:val="16"/>
              </w:rPr>
              <w:t>Income year</w:t>
            </w:r>
          </w:p>
        </w:tc>
        <w:tc>
          <w:tcPr>
            <w:tcW w:type="dxa" w:w="2438"/>
            <w:vAlign w:val="top"/>
            <w:shd w:fill="D9EAF7"/>
          </w:tcPr>
          <w:p>
            <w:pPr>
              <w:spacing w:after="0" w:line="240" w:lineRule="auto"/>
            </w:pPr>
            <w:r/>
            <w:r>
              <w:rPr>
                <w:rFonts w:ascii="Liberation Serif" w:hAnsi="Liberation Serif" w:eastAsia="Liberation Serif"/>
                <w:b/>
                <w:sz w:val="16"/>
              </w:rPr>
              <w:t>Current year direct cost (Rs.)</w:t>
            </w:r>
          </w:p>
        </w:tc>
        <w:tc>
          <w:tcPr>
            <w:tcW w:type="dxa" w:w="2438"/>
            <w:vAlign w:val="top"/>
            <w:shd w:fill="D9EAF7"/>
          </w:tcPr>
          <w:p>
            <w:pPr>
              <w:spacing w:after="0" w:line="240" w:lineRule="auto"/>
            </w:pPr>
            <w:r/>
            <w:r>
              <w:rPr>
                <w:rFonts w:ascii="Liberation Serif" w:hAnsi="Liberation Serif" w:eastAsia="Liberation Serif"/>
                <w:b/>
                <w:sz w:val="16"/>
              </w:rPr>
              <w:t>Cost up to previous year (Rs.)</w:t>
            </w:r>
          </w:p>
        </w:tc>
        <w:tc>
          <w:tcPr>
            <w:tcW w:type="dxa" w:w="2438"/>
            <w:vAlign w:val="top"/>
            <w:shd w:fill="D9EAF7"/>
          </w:tcPr>
          <w:p>
            <w:pPr>
              <w:spacing w:after="0" w:line="240" w:lineRule="auto"/>
            </w:pPr>
            <w:r/>
            <w:r>
              <w:rPr>
                <w:rFonts w:ascii="Liberation Serif" w:hAnsi="Liberation Serif" w:eastAsia="Liberation Serif"/>
                <w:b/>
                <w:sz w:val="16"/>
              </w:rPr>
              <w:t>Cumulative direct cost (Rs.)</w:t>
            </w:r>
          </w:p>
        </w:tc>
      </w:tr>
      <w:tr>
        <w:tc>
          <w:tcPr>
            <w:tcW w:type="dxa" w:w="1814"/>
            <w:vAlign w:val="top"/>
          </w:tcPr>
          <w:p>
            <w:pPr>
              <w:spacing w:after="0" w:line="240" w:lineRule="auto"/>
            </w:pPr>
            <w:r/>
            <w:r>
              <w:rPr>
                <w:rFonts w:ascii="Liberation Serif" w:hAnsi="Liberation Serif" w:eastAsia="Liberation Serif"/>
                <w:b w:val="0"/>
                <w:sz w:val="16"/>
              </w:rPr>
              <w:t>2076/77</w:t>
            </w:r>
          </w:p>
        </w:tc>
        <w:tc>
          <w:tcPr>
            <w:tcW w:type="dxa" w:w="2438"/>
            <w:vAlign w:val="top"/>
          </w:tcPr>
          <w:p>
            <w:pPr>
              <w:spacing w:after="0" w:line="240" w:lineRule="auto"/>
            </w:pPr>
            <w:r/>
            <w:r>
              <w:rPr>
                <w:rFonts w:ascii="Liberation Serif" w:hAnsi="Liberation Serif" w:eastAsia="Liberation Serif"/>
                <w:b w:val="0"/>
                <w:sz w:val="16"/>
              </w:rPr>
              <w:t>20,000,000</w:t>
            </w:r>
          </w:p>
        </w:tc>
        <w:tc>
          <w:tcPr>
            <w:tcW w:type="dxa" w:w="2438"/>
            <w:vAlign w:val="top"/>
          </w:tcPr>
          <w:p>
            <w:pPr>
              <w:spacing w:after="0" w:line="240" w:lineRule="auto"/>
            </w:pPr>
            <w:r/>
            <w:r>
              <w:rPr>
                <w:rFonts w:ascii="Liberation Serif" w:hAnsi="Liberation Serif" w:eastAsia="Liberation Serif"/>
                <w:b w:val="0"/>
                <w:sz w:val="16"/>
              </w:rPr>
              <w:t>0</w:t>
            </w:r>
          </w:p>
        </w:tc>
        <w:tc>
          <w:tcPr>
            <w:tcW w:type="dxa" w:w="2438"/>
            <w:vAlign w:val="top"/>
          </w:tcPr>
          <w:p>
            <w:pPr>
              <w:spacing w:after="0" w:line="240" w:lineRule="auto"/>
            </w:pPr>
            <w:r/>
            <w:r>
              <w:rPr>
                <w:rFonts w:ascii="Liberation Serif" w:hAnsi="Liberation Serif" w:eastAsia="Liberation Serif"/>
                <w:b w:val="0"/>
                <w:sz w:val="16"/>
              </w:rPr>
              <w:t>20,000,000</w:t>
            </w:r>
          </w:p>
        </w:tc>
      </w:tr>
      <w:tr>
        <w:tc>
          <w:tcPr>
            <w:tcW w:type="dxa" w:w="1814"/>
            <w:vAlign w:val="top"/>
          </w:tcPr>
          <w:p>
            <w:pPr>
              <w:spacing w:after="0" w:line="240" w:lineRule="auto"/>
            </w:pPr>
            <w:r/>
            <w:r>
              <w:rPr>
                <w:rFonts w:ascii="Liberation Serif" w:hAnsi="Liberation Serif" w:eastAsia="Liberation Serif"/>
                <w:b w:val="0"/>
                <w:sz w:val="16"/>
              </w:rPr>
              <w:t>2077/78</w:t>
            </w:r>
          </w:p>
        </w:tc>
        <w:tc>
          <w:tcPr>
            <w:tcW w:type="dxa" w:w="2438"/>
            <w:vAlign w:val="top"/>
          </w:tcPr>
          <w:p>
            <w:pPr>
              <w:spacing w:after="0" w:line="240" w:lineRule="auto"/>
            </w:pPr>
            <w:r/>
            <w:r>
              <w:rPr>
                <w:rFonts w:ascii="Liberation Serif" w:hAnsi="Liberation Serif" w:eastAsia="Liberation Serif"/>
                <w:b w:val="0"/>
                <w:sz w:val="16"/>
              </w:rPr>
              <w:t>30,000,000</w:t>
            </w:r>
          </w:p>
        </w:tc>
        <w:tc>
          <w:tcPr>
            <w:tcW w:type="dxa" w:w="2438"/>
            <w:vAlign w:val="top"/>
          </w:tcPr>
          <w:p>
            <w:pPr>
              <w:spacing w:after="0" w:line="240" w:lineRule="auto"/>
            </w:pPr>
            <w:r/>
            <w:r>
              <w:rPr>
                <w:rFonts w:ascii="Liberation Serif" w:hAnsi="Liberation Serif" w:eastAsia="Liberation Serif"/>
                <w:b w:val="0"/>
                <w:sz w:val="16"/>
              </w:rPr>
              <w:t>20,000,000</w:t>
            </w:r>
          </w:p>
        </w:tc>
        <w:tc>
          <w:tcPr>
            <w:tcW w:type="dxa" w:w="2438"/>
            <w:vAlign w:val="top"/>
          </w:tcPr>
          <w:p>
            <w:pPr>
              <w:spacing w:after="0" w:line="240" w:lineRule="auto"/>
            </w:pPr>
            <w:r/>
            <w:r>
              <w:rPr>
                <w:rFonts w:ascii="Liberation Serif" w:hAnsi="Liberation Serif" w:eastAsia="Liberation Serif"/>
                <w:b w:val="0"/>
                <w:sz w:val="16"/>
              </w:rPr>
              <w:t>50,000,000</w:t>
            </w:r>
          </w:p>
        </w:tc>
      </w:tr>
      <w:tr>
        <w:tc>
          <w:tcPr>
            <w:tcW w:type="dxa" w:w="1814"/>
            <w:vAlign w:val="top"/>
          </w:tcPr>
          <w:p>
            <w:pPr>
              <w:spacing w:after="0" w:line="240" w:lineRule="auto"/>
            </w:pPr>
            <w:r/>
            <w:r>
              <w:rPr>
                <w:rFonts w:ascii="Liberation Serif" w:hAnsi="Liberation Serif" w:eastAsia="Liberation Serif"/>
                <w:b w:val="0"/>
                <w:sz w:val="16"/>
              </w:rPr>
              <w:t>2078/79</w:t>
            </w:r>
          </w:p>
        </w:tc>
        <w:tc>
          <w:tcPr>
            <w:tcW w:type="dxa" w:w="2438"/>
            <w:vAlign w:val="top"/>
          </w:tcPr>
          <w:p>
            <w:pPr>
              <w:spacing w:after="0" w:line="240" w:lineRule="auto"/>
            </w:pPr>
            <w:r/>
            <w:r>
              <w:rPr>
                <w:rFonts w:ascii="Liberation Serif" w:hAnsi="Liberation Serif" w:eastAsia="Liberation Serif"/>
                <w:b w:val="0"/>
                <w:sz w:val="16"/>
              </w:rPr>
              <w:t>30,000,000</w:t>
            </w:r>
          </w:p>
        </w:tc>
        <w:tc>
          <w:tcPr>
            <w:tcW w:type="dxa" w:w="2438"/>
            <w:vAlign w:val="top"/>
          </w:tcPr>
          <w:p>
            <w:pPr>
              <w:spacing w:after="0" w:line="240" w:lineRule="auto"/>
            </w:pPr>
            <w:r/>
            <w:r>
              <w:rPr>
                <w:rFonts w:ascii="Liberation Serif" w:hAnsi="Liberation Serif" w:eastAsia="Liberation Serif"/>
                <w:b w:val="0"/>
                <w:sz w:val="16"/>
              </w:rPr>
              <w:t>50,000,000</w:t>
            </w:r>
          </w:p>
        </w:tc>
        <w:tc>
          <w:tcPr>
            <w:tcW w:type="dxa" w:w="2438"/>
            <w:vAlign w:val="top"/>
          </w:tcPr>
          <w:p>
            <w:pPr>
              <w:spacing w:after="0" w:line="240" w:lineRule="auto"/>
            </w:pPr>
            <w:r/>
            <w:r>
              <w:rPr>
                <w:rFonts w:ascii="Liberation Serif" w:hAnsi="Liberation Serif" w:eastAsia="Liberation Serif"/>
                <w:b w:val="0"/>
                <w:sz w:val="16"/>
              </w:rPr>
              <w:t>80,000,000</w:t>
            </w:r>
          </w:p>
        </w:tc>
      </w:tr>
    </w:tbl>
    <w:p/>
    <w:p>
      <w:pPr>
        <w:spacing w:after="80" w:line="252" w:lineRule="auto"/>
      </w:pPr>
      <w:r>
        <w:rPr>
          <w:rFonts w:ascii="Liberation Serif" w:hAnsi="Liberation Serif" w:eastAsia="Liberation Serif"/>
          <w:b w:val="0"/>
          <w:i w:val="0"/>
          <w:sz w:val="21"/>
        </w:rPr>
        <w:t>Example 20.7.1: New Nepal Construction Company Pvt. Ltd. entered into a four-year road-construction contract in income year 2076/77 for Rs. 130 million. The estimated total direct cost was Rs. 100 million. It claimed direct costs of Rs. 20 million, Rs. 30 million and Rs. 30 million in income years 2076/77, 2077/78 and 2078/79 respectively. The cumulative direct costs for determining percentage of completion are shown above.</w:t>
      </w:r>
    </w:p>
    <w:p>
      <w:pPr>
        <w:spacing w:after="80" w:line="252" w:lineRule="auto"/>
      </w:pPr>
      <w:r>
        <w:rPr>
          <w:rFonts w:ascii="Liberation Serif" w:hAnsi="Liberation Serif" w:eastAsia="Liberation Serif"/>
          <w:b w:val="0"/>
          <w:i w:val="0"/>
          <w:sz w:val="21"/>
        </w:rPr>
        <w:t>Example 20.7.2: In the same type of road-construction contract for Rs. 130 million, if the estimated total direct cost is Rs. 100 million, the estimated cumulative deduction at the time the contract ends is the total direct cost of the contract, i.e., Rs. 100 million.</w:t>
      </w:r>
    </w:p>
    <w:p>
      <w:pPr>
        <w:pStyle w:val="Heading2"/>
      </w:pPr>
      <w:r>
        <w:t>20.8 Computation of Percentage of Completion on Cost Basis</w:t>
      </w:r>
    </w:p>
    <w:p>
      <w:pPr>
        <w:spacing w:after="80" w:line="252" w:lineRule="auto"/>
      </w:pPr>
      <w:r>
        <w:rPr>
          <w:rFonts w:ascii="Liberation Serif" w:hAnsi="Liberation Serif" w:eastAsia="Liberation Serif"/>
          <w:b w:val="0"/>
          <w:i w:val="0"/>
          <w:sz w:val="21"/>
        </w:rPr>
        <w:t>The Rules provide that the percentage of completion is determined on the basis of total estimated direct cost and actual direct cost incurred. The percentage for an income year is calculated by dividing the cumulative actual direct cost incurred and deducted up to that year by the estimated total direct cost required to complete the contract.</w:t>
      </w:r>
    </w:p>
    <w:tbl>
      <w:tblPr>
        <w:tblStyle w:val="TableGrid"/>
        <w:tblW w:type="auto" w:w="0"/>
        <w:jc w:val="center"/>
        <w:tblLook w:firstColumn="1" w:firstRow="1" w:lastColumn="0" w:lastRow="0" w:noHBand="0" w:noVBand="1" w:val="04A0"/>
      </w:tblPr>
      <w:tblGrid>
        <w:gridCol w:w="5213"/>
        <w:gridCol w:w="5213"/>
      </w:tblGrid>
      <w:tr>
        <w:trPr>
          <w:tblHeader w:val="true"/>
        </w:trPr>
        <w:tc>
          <w:tcPr>
            <w:tcW w:type="dxa" w:w="5953"/>
            <w:vAlign w:val="top"/>
            <w:shd w:fill="D9EAF7"/>
          </w:tcPr>
          <w:p>
            <w:pPr>
              <w:spacing w:after="0" w:line="240" w:lineRule="auto"/>
            </w:pPr>
            <w:r/>
            <w:r>
              <w:rPr>
                <w:rFonts w:ascii="Liberation Serif" w:hAnsi="Liberation Serif" w:eastAsia="Liberation Serif"/>
                <w:b/>
                <w:sz w:val="16"/>
              </w:rPr>
              <w:t>Formula</w:t>
            </w:r>
          </w:p>
        </w:tc>
        <w:tc>
          <w:tcPr>
            <w:tcW w:type="dxa" w:w="3118"/>
            <w:vAlign w:val="top"/>
            <w:shd w:fill="D9EAF7"/>
          </w:tcPr>
          <w:p>
            <w:pPr>
              <w:spacing w:after="0" w:line="240" w:lineRule="auto"/>
            </w:pPr>
            <w:r/>
            <w:r>
              <w:rPr>
                <w:rFonts w:ascii="Liberation Serif" w:hAnsi="Liberation Serif" w:eastAsia="Liberation Serif"/>
                <w:b/>
                <w:sz w:val="16"/>
              </w:rPr>
              <w:t>Result</w:t>
            </w:r>
          </w:p>
        </w:tc>
      </w:tr>
      <w:tr>
        <w:tc>
          <w:tcPr>
            <w:tcW w:type="dxa" w:w="5953"/>
            <w:vAlign w:val="top"/>
          </w:tcPr>
          <w:p>
            <w:pPr>
              <w:spacing w:after="0" w:line="240" w:lineRule="auto"/>
            </w:pPr>
            <w:r/>
            <w:r>
              <w:rPr>
                <w:rFonts w:ascii="Liberation Serif" w:hAnsi="Liberation Serif" w:eastAsia="Liberation Serif"/>
                <w:b w:val="0"/>
                <w:sz w:val="16"/>
              </w:rPr>
              <w:t>Percentage of completion = Cumulative direct cost deducted up to the income year ÷ Estimated total direct cost of the contract × 100%</w:t>
            </w:r>
          </w:p>
        </w:tc>
        <w:tc>
          <w:tcPr>
            <w:tcW w:type="dxa" w:w="3118"/>
            <w:vAlign w:val="top"/>
          </w:tcPr>
          <w:p>
            <w:pPr>
              <w:spacing w:after="0" w:line="240" w:lineRule="auto"/>
            </w:pPr>
            <w:r/>
            <w:r>
              <w:rPr>
                <w:rFonts w:ascii="Liberation Serif" w:hAnsi="Liberation Serif" w:eastAsia="Liberation Serif"/>
                <w:b w:val="0"/>
                <w:sz w:val="16"/>
              </w:rPr>
              <w:t>This represents the ratio of actual direct cost to estimated total direct cost.</w:t>
            </w:r>
          </w:p>
        </w:tc>
      </w:tr>
    </w:tbl>
    <w:p/>
    <w:tbl>
      <w:tblPr>
        <w:tblStyle w:val="TableGrid"/>
        <w:tblW w:type="auto" w:w="0"/>
        <w:jc w:val="center"/>
        <w:tblLook w:firstColumn="1" w:firstRow="1" w:lastColumn="0" w:lastRow="0" w:noHBand="0" w:noVBand="1" w:val="04A0"/>
      </w:tblPr>
      <w:tblGrid>
        <w:gridCol w:w="3475"/>
        <w:gridCol w:w="3475"/>
        <w:gridCol w:w="3475"/>
      </w:tblGrid>
      <w:tr>
        <w:trPr>
          <w:tblHeader w:val="true"/>
        </w:trPr>
        <w:tc>
          <w:tcPr>
            <w:tcW w:type="dxa" w:w="1417"/>
            <w:vAlign w:val="top"/>
            <w:shd w:fill="D9EAF7"/>
          </w:tcPr>
          <w:p>
            <w:pPr>
              <w:spacing w:after="0" w:line="240" w:lineRule="auto"/>
            </w:pPr>
            <w:r/>
            <w:r>
              <w:rPr>
                <w:rFonts w:ascii="Liberation Serif" w:hAnsi="Liberation Serif" w:eastAsia="Liberation Serif"/>
                <w:b/>
                <w:sz w:val="16"/>
              </w:rPr>
              <w:t>Example</w:t>
            </w:r>
          </w:p>
        </w:tc>
        <w:tc>
          <w:tcPr>
            <w:tcW w:type="dxa" w:w="5386"/>
            <w:vAlign w:val="top"/>
            <w:shd w:fill="D9EAF7"/>
          </w:tcPr>
          <w:p>
            <w:pPr>
              <w:spacing w:after="0" w:line="240" w:lineRule="auto"/>
            </w:pPr>
            <w:r/>
            <w:r>
              <w:rPr>
                <w:rFonts w:ascii="Liberation Serif" w:hAnsi="Liberation Serif" w:eastAsia="Liberation Serif"/>
                <w:b/>
                <w:sz w:val="16"/>
              </w:rPr>
              <w:t>Computation</w:t>
            </w:r>
          </w:p>
        </w:tc>
        <w:tc>
          <w:tcPr>
            <w:tcW w:type="dxa" w:w="2268"/>
            <w:vAlign w:val="top"/>
            <w:shd w:fill="D9EAF7"/>
          </w:tcPr>
          <w:p>
            <w:pPr>
              <w:spacing w:after="0" w:line="240" w:lineRule="auto"/>
            </w:pPr>
            <w:r/>
            <w:r>
              <w:rPr>
                <w:rFonts w:ascii="Liberation Serif" w:hAnsi="Liberation Serif" w:eastAsia="Liberation Serif"/>
                <w:b/>
                <w:sz w:val="16"/>
              </w:rPr>
              <w:t>Percentage</w:t>
            </w:r>
          </w:p>
        </w:tc>
      </w:tr>
      <w:tr>
        <w:tc>
          <w:tcPr>
            <w:tcW w:type="dxa" w:w="1417"/>
            <w:vAlign w:val="top"/>
          </w:tcPr>
          <w:p>
            <w:pPr>
              <w:spacing w:after="0" w:line="240" w:lineRule="auto"/>
            </w:pPr>
            <w:r/>
            <w:r>
              <w:rPr>
                <w:rFonts w:ascii="Liberation Serif" w:hAnsi="Liberation Serif" w:eastAsia="Liberation Serif"/>
                <w:b w:val="0"/>
                <w:sz w:val="16"/>
              </w:rPr>
              <w:t>20.8.1</w:t>
            </w:r>
          </w:p>
        </w:tc>
        <w:tc>
          <w:tcPr>
            <w:tcW w:type="dxa" w:w="5386"/>
            <w:vAlign w:val="top"/>
          </w:tcPr>
          <w:p>
            <w:pPr>
              <w:spacing w:after="0" w:line="240" w:lineRule="auto"/>
            </w:pPr>
            <w:r/>
            <w:r>
              <w:rPr>
                <w:rFonts w:ascii="Liberation Serif" w:hAnsi="Liberation Serif" w:eastAsia="Liberation Serif"/>
                <w:b w:val="0"/>
                <w:sz w:val="16"/>
              </w:rPr>
              <w:t>Rs. 20,000,000 ÷ Rs. 100,000,000 × 100%</w:t>
            </w:r>
          </w:p>
        </w:tc>
        <w:tc>
          <w:tcPr>
            <w:tcW w:type="dxa" w:w="2268"/>
            <w:vAlign w:val="top"/>
          </w:tcPr>
          <w:p>
            <w:pPr>
              <w:spacing w:after="0" w:line="240" w:lineRule="auto"/>
            </w:pPr>
            <w:r/>
            <w:r>
              <w:rPr>
                <w:rFonts w:ascii="Liberation Serif" w:hAnsi="Liberation Serif" w:eastAsia="Liberation Serif"/>
                <w:b w:val="0"/>
                <w:sz w:val="16"/>
              </w:rPr>
              <w:t>20%</w:t>
            </w:r>
          </w:p>
        </w:tc>
      </w:tr>
      <w:tr>
        <w:tc>
          <w:tcPr>
            <w:tcW w:type="dxa" w:w="1417"/>
            <w:vAlign w:val="top"/>
          </w:tcPr>
          <w:p>
            <w:pPr>
              <w:spacing w:after="0" w:line="240" w:lineRule="auto"/>
            </w:pPr>
            <w:r/>
            <w:r>
              <w:rPr>
                <w:rFonts w:ascii="Liberation Serif" w:hAnsi="Liberation Serif" w:eastAsia="Liberation Serif"/>
                <w:b w:val="0"/>
                <w:sz w:val="16"/>
              </w:rPr>
              <w:t>20.8.2</w:t>
            </w:r>
          </w:p>
        </w:tc>
        <w:tc>
          <w:tcPr>
            <w:tcW w:type="dxa" w:w="5386"/>
            <w:vAlign w:val="top"/>
          </w:tcPr>
          <w:p>
            <w:pPr>
              <w:spacing w:after="0" w:line="240" w:lineRule="auto"/>
            </w:pPr>
            <w:r/>
            <w:r>
              <w:rPr>
                <w:rFonts w:ascii="Liberation Serif" w:hAnsi="Liberation Serif" w:eastAsia="Liberation Serif"/>
                <w:b w:val="0"/>
                <w:sz w:val="16"/>
              </w:rPr>
              <w:t>Rs. 50,000,000 ÷ Rs. 100,000,000 × 100%</w:t>
            </w:r>
          </w:p>
        </w:tc>
        <w:tc>
          <w:tcPr>
            <w:tcW w:type="dxa" w:w="2268"/>
            <w:vAlign w:val="top"/>
          </w:tcPr>
          <w:p>
            <w:pPr>
              <w:spacing w:after="0" w:line="240" w:lineRule="auto"/>
            </w:pPr>
            <w:r/>
            <w:r>
              <w:rPr>
                <w:rFonts w:ascii="Liberation Serif" w:hAnsi="Liberation Serif" w:eastAsia="Liberation Serif"/>
                <w:b w:val="0"/>
                <w:sz w:val="16"/>
              </w:rPr>
              <w:t>50%</w:t>
            </w:r>
          </w:p>
        </w:tc>
      </w:tr>
    </w:tbl>
    <w:p/>
    <w:p>
      <w:pPr>
        <w:spacing w:after="80" w:line="252" w:lineRule="auto"/>
      </w:pPr>
      <w:r>
        <w:rPr>
          <w:rFonts w:ascii="Liberation Serif" w:hAnsi="Liberation Serif" w:eastAsia="Liberation Serif"/>
          <w:b w:val="0"/>
          <w:i w:val="0"/>
          <w:sz w:val="21"/>
        </w:rPr>
        <w:t>Example 20.8.1: If a four-year road contract has estimated total direct cost of Rs. 100 million and direct cost of Rs. 20 million has been deducted in income year 2076/77, the completion percentage for that year is 20%. Example 20.8.2: If cumulative cost up to income year 2077/78 is Rs. 50 million, the completion percentage up to that year is 50%.</w:t>
      </w:r>
    </w:p>
    <w:p>
      <w:pPr>
        <w:pStyle w:val="Heading2"/>
      </w:pPr>
      <w:r>
        <w:t>20.9 Determining Percentage of Completion When Estimated Total Deductible Amount Changes</w:t>
      </w:r>
    </w:p>
    <w:p>
      <w:pPr>
        <w:spacing w:after="80" w:line="252" w:lineRule="auto"/>
      </w:pPr>
      <w:r>
        <w:rPr>
          <w:rFonts w:ascii="Liberation Serif" w:hAnsi="Liberation Serif" w:eastAsia="Liberation Serif"/>
          <w:b w:val="0"/>
          <w:i w:val="0"/>
          <w:sz w:val="21"/>
        </w:rPr>
        <w:t>The total deductible cost estimated at the time of entering into a contract may increase or decrease for various reasons. Costs may increase if the price of goods or services used in the project increases or if the volume of work increases. Costs may decrease if such prices or quantities decrease. If deductible costs of a long-term contract change, the revised total deductible amount from the year in which the change occurs and for subsequent years becomes the estimated cumulative deduction at the end of the contract. The percentage of completion for the remaining period is determined on that revised amount.</w:t>
      </w:r>
    </w:p>
    <w:tbl>
      <w:tblPr>
        <w:tblStyle w:val="TableGrid"/>
        <w:tblW w:type="auto" w:w="0"/>
        <w:jc w:val="center"/>
        <w:tblLook w:firstColumn="1" w:firstRow="1" w:lastColumn="0" w:lastRow="0" w:noHBand="0" w:noVBand="1" w:val="04A0"/>
      </w:tblPr>
      <w:tblGrid>
        <w:gridCol w:w="5213"/>
        <w:gridCol w:w="5213"/>
      </w:tblGrid>
      <w:tr>
        <w:trPr>
          <w:tblHeader w:val="true"/>
        </w:trPr>
        <w:tc>
          <w:tcPr>
            <w:tcW w:type="dxa" w:w="5669"/>
            <w:vAlign w:val="top"/>
            <w:shd w:fill="D9EAF7"/>
          </w:tcPr>
          <w:p>
            <w:pPr>
              <w:spacing w:after="0" w:line="240" w:lineRule="auto"/>
            </w:pPr>
            <w:r/>
            <w:r>
              <w:rPr>
                <w:rFonts w:ascii="Liberation Serif" w:hAnsi="Liberation Serif" w:eastAsia="Liberation Serif"/>
                <w:b/>
                <w:sz w:val="16"/>
              </w:rPr>
              <w:t>Example 20.9.1</w:t>
            </w:r>
          </w:p>
        </w:tc>
        <w:tc>
          <w:tcPr>
            <w:tcW w:type="dxa" w:w="3402"/>
            <w:vAlign w:val="top"/>
            <w:shd w:fill="D9EAF7"/>
          </w:tcPr>
          <w:p>
            <w:pPr>
              <w:spacing w:after="0" w:line="240" w:lineRule="auto"/>
            </w:pPr>
            <w:r/>
            <w:r>
              <w:rPr>
                <w:rFonts w:ascii="Liberation Serif" w:hAnsi="Liberation Serif" w:eastAsia="Liberation Serif"/>
                <w:b/>
                <w:sz w:val="16"/>
              </w:rPr>
              <w:t>Treatment</w:t>
            </w:r>
          </w:p>
        </w:tc>
      </w:tr>
      <w:tr>
        <w:tc>
          <w:tcPr>
            <w:tcW w:type="dxa" w:w="5669"/>
            <w:vAlign w:val="top"/>
          </w:tcPr>
          <w:p>
            <w:pPr>
              <w:spacing w:after="0" w:line="240" w:lineRule="auto"/>
            </w:pPr>
            <w:r/>
            <w:r>
              <w:rPr>
                <w:rFonts w:ascii="Liberation Serif" w:hAnsi="Liberation Serif" w:eastAsia="Liberation Serif"/>
                <w:b w:val="0"/>
                <w:sz w:val="16"/>
              </w:rPr>
              <w:t>New Nepal Construction Company Pvt. Ltd. obtained a four-year road-construction contract for Rs. 110 million in income year 2076/77. Estimated total cost was Rs. 100 million. In income year 2078/79, due to a significant increase in construction-material costs, expected cost rose to Rs. 120 million. The company claimed reimbursement of the additional Rs. 20 million under the contract terms, and the Department of Roads agreed to reimburse it.</w:t>
            </w:r>
          </w:p>
        </w:tc>
        <w:tc>
          <w:tcPr>
            <w:tcW w:type="dxa" w:w="3402"/>
            <w:vAlign w:val="top"/>
          </w:tcPr>
          <w:p>
            <w:pPr>
              <w:spacing w:after="0" w:line="240" w:lineRule="auto"/>
            </w:pPr>
            <w:r/>
            <w:r>
              <w:rPr>
                <w:rFonts w:ascii="Liberation Serif" w:hAnsi="Liberation Serif" w:eastAsia="Liberation Serif"/>
                <w:b w:val="0"/>
                <w:sz w:val="16"/>
              </w:rPr>
              <w:t>For income years 2076/77 and 2077/78, total cost is taken as Rs. 100 million. From income year 2078/79 onwards, total cost is taken as Rs. 120 million and the percentage of completion is determined on that basis.</w:t>
            </w:r>
          </w:p>
        </w:tc>
      </w:tr>
    </w:tbl>
    <w:p/>
    <w:p>
      <w:pPr>
        <w:pStyle w:val="Heading2"/>
      </w:pPr>
      <w:r>
        <w:t>20.10 Percentage of Completion to Be Computed Separately for Each Long-Term Contract</w:t>
      </w:r>
    </w:p>
    <w:p>
      <w:pPr>
        <w:spacing w:after="80" w:line="252" w:lineRule="auto"/>
      </w:pPr>
      <w:r>
        <w:rPr>
          <w:rFonts w:ascii="Liberation Serif" w:hAnsi="Liberation Serif" w:eastAsia="Liberation Serif"/>
          <w:b w:val="0"/>
          <w:i w:val="0"/>
          <w:sz w:val="21"/>
        </w:rPr>
        <w:t>The Act treats a long-term contract as a business different from other businesses and provides special rules for computing income and deductions. Therefore, each long-term contract must be treated as a separate business, and the cumulative deductions at a particular time, the cumulative deductions at the end of the contract, and the percentage of completion must be calculated separately for each contract.</w:t>
      </w:r>
    </w:p>
    <w:p>
      <w:pPr>
        <w:pStyle w:val="Heading2"/>
      </w:pPr>
      <w:r>
        <w:t>20.11 Effect of Difference in Deductible Amount</w:t>
      </w:r>
    </w:p>
    <w:p>
      <w:pPr>
        <w:spacing w:after="80" w:line="252" w:lineRule="auto"/>
      </w:pPr>
      <w:r>
        <w:rPr>
          <w:rFonts w:ascii="Liberation Serif" w:hAnsi="Liberation Serif" w:eastAsia="Liberation Serif"/>
          <w:b w:val="0"/>
          <w:i w:val="0"/>
          <w:sz w:val="21"/>
        </w:rPr>
        <w:t>The estimated total cost of a long-term contract is generally stated in the contract agreement and remains fixed except in the situations discussed above. Actual cost incurred and deducted while performing the contract is variable; as the work progresses, actual cost increases. Since income from the contract is determined by the percentage of completion, and one element for determining that percentage is the direct cost incurred and deducted, incorrect accounting of cost directly affects contract income.</w:t>
      </w:r>
    </w:p>
    <w:p>
      <w:pPr>
        <w:spacing w:after="80" w:line="252" w:lineRule="auto"/>
      </w:pPr>
      <w:r>
        <w:rPr>
          <w:rFonts w:ascii="Liberation Serif" w:hAnsi="Liberation Serif" w:eastAsia="Liberation Serif"/>
          <w:b w:val="0"/>
          <w:i w:val="0"/>
          <w:sz w:val="21"/>
        </w:rPr>
        <w:t>If actual cost is recorded higher than the cost actually incurred, or if the actual total direct cost is estimated lower than it should be, the completion percentage becomes higher than the actual percentage and income is overstated, resulting in an unusually high tax liability. Conversely, if actual cost is recorded lower than the cost actually incurred, or if total direct cost is estimated higher than it should be, the completion percentage and income are understated, resulting in an unusually low tax liability. In such case, the tax officer may adjust the contract income and tax liability and levy additional tax, fees and interest. Therefore, cost accounting and estimation must reflect the true cost picture of the contract.</w:t>
      </w:r>
    </w:p>
    <w:p>
      <w:pPr>
        <w:pStyle w:val="Heading2"/>
      </w:pPr>
      <w:r>
        <w:t>20.12 Computation of Percentage of Completion on Basis Prescribed by the Department</w:t>
      </w:r>
    </w:p>
    <w:p>
      <w:pPr>
        <w:spacing w:after="80" w:line="252" w:lineRule="auto"/>
      </w:pPr>
      <w:r>
        <w:rPr>
          <w:rFonts w:ascii="Liberation Serif" w:hAnsi="Liberation Serif" w:eastAsia="Liberation Serif"/>
          <w:b w:val="0"/>
          <w:i w:val="0"/>
          <w:sz w:val="21"/>
        </w:rPr>
        <w:t>The Rules provide that, for contracts other than those relating to manufacture, construction, installation, or related services, the percentage of completion shall be determined as prescribed by the Department. However, because the Department has not yet prescribed any other method for any contract, further discussion is not relevant at present.</w:t>
      </w:r>
    </w:p>
    <w:p>
      <w:pPr>
        <w:pStyle w:val="Heading2"/>
      </w:pPr>
      <w:r>
        <w:t>20.13 Amounts to Be Included in Income from a Long-Term Contract</w:t>
      </w:r>
    </w:p>
    <w:p>
      <w:pPr>
        <w:spacing w:after="80" w:line="252" w:lineRule="auto"/>
      </w:pPr>
      <w:r>
        <w:rPr>
          <w:rFonts w:ascii="Liberation Serif" w:hAnsi="Liberation Serif" w:eastAsia="Liberation Serif"/>
          <w:b w:val="0"/>
          <w:i w:val="0"/>
          <w:sz w:val="21"/>
        </w:rPr>
        <w:t>A long-term contract relates to manufacture, installation or construction of property, or services related to such activities. The activities falling within the definition of a long-term contract are business activities, and income from those contracts is business income. Although business income is generally computed under Section 7, the Act treats long-term contracts as a special type of business and prescribes a separate method under Section 26. Income must therefore be computed according to that method, on the basis of the percentage of completion and the total of cumulative inclusions.</w:t>
      </w:r>
    </w:p>
    <w:p>
      <w:pPr>
        <w:pStyle w:val="Heading3"/>
      </w:pPr>
      <w:r>
        <w:t>20.13.1 Amount to be included in income</w:t>
      </w:r>
    </w:p>
    <w:p>
      <w:pPr>
        <w:spacing w:after="80" w:line="252" w:lineRule="auto"/>
      </w:pPr>
      <w:r>
        <w:rPr>
          <w:rFonts w:ascii="Liberation Serif" w:hAnsi="Liberation Serif" w:eastAsia="Liberation Serif"/>
          <w:b w:val="0"/>
          <w:i w:val="0"/>
          <w:sz w:val="21"/>
        </w:rPr>
        <w:t>The amount included in income from a long-term contract is not determined merely by sales invoices or other ordinary bases. It is the amount estimated on the basis of percentage of completion. At any point in time, income from the contract means the same percentage of the total contract price as the percentage of completion of the contract at that time. Because this is an estimated amount, it may not be the final actual income of the contract.</w:t>
      </w:r>
    </w:p>
    <w:tbl>
      <w:tblPr>
        <w:tblStyle w:val="TableGrid"/>
        <w:tblW w:type="auto" w:w="0"/>
        <w:jc w:val="center"/>
        <w:tblLook w:firstColumn="1" w:firstRow="1" w:lastColumn="0" w:lastRow="0" w:noHBand="0" w:noVBand="1" w:val="04A0"/>
      </w:tblPr>
      <w:tblGrid>
        <w:gridCol w:w="2606"/>
        <w:gridCol w:w="2606"/>
        <w:gridCol w:w="2606"/>
        <w:gridCol w:w="2606"/>
      </w:tblGrid>
      <w:tr>
        <w:trPr>
          <w:tblHeader w:val="true"/>
        </w:trPr>
        <w:tc>
          <w:tcPr>
            <w:tcW w:type="dxa" w:w="4649"/>
            <w:vAlign w:val="top"/>
            <w:shd w:fill="D9EAF7"/>
          </w:tcPr>
          <w:p>
            <w:pPr>
              <w:spacing w:after="0" w:line="240" w:lineRule="auto"/>
            </w:pPr>
            <w:r/>
            <w:r>
              <w:rPr>
                <w:rFonts w:ascii="Liberation Serif" w:hAnsi="Liberation Serif" w:eastAsia="Liberation Serif"/>
                <w:b/>
                <w:sz w:val="14"/>
              </w:rPr>
              <w:t>Particulars (amounts in Rs. lakh)</w:t>
            </w:r>
          </w:p>
        </w:tc>
        <w:tc>
          <w:tcPr>
            <w:tcW w:type="dxa" w:w="1474"/>
            <w:vAlign w:val="top"/>
            <w:shd w:fill="D9EAF7"/>
          </w:tcPr>
          <w:p>
            <w:pPr>
              <w:spacing w:after="0" w:line="240" w:lineRule="auto"/>
            </w:pPr>
            <w:r/>
            <w:r>
              <w:rPr>
                <w:rFonts w:ascii="Liberation Serif" w:hAnsi="Liberation Serif" w:eastAsia="Liberation Serif"/>
                <w:b/>
                <w:sz w:val="14"/>
              </w:rPr>
              <w:t>2078/79</w:t>
            </w:r>
          </w:p>
        </w:tc>
        <w:tc>
          <w:tcPr>
            <w:tcW w:type="dxa" w:w="1474"/>
            <w:vAlign w:val="top"/>
            <w:shd w:fill="D9EAF7"/>
          </w:tcPr>
          <w:p>
            <w:pPr>
              <w:spacing w:after="0" w:line="240" w:lineRule="auto"/>
            </w:pPr>
            <w:r/>
            <w:r>
              <w:rPr>
                <w:rFonts w:ascii="Liberation Serif" w:hAnsi="Liberation Serif" w:eastAsia="Liberation Serif"/>
                <w:b/>
                <w:sz w:val="14"/>
              </w:rPr>
              <w:t>2079/80</w:t>
            </w:r>
          </w:p>
        </w:tc>
        <w:tc>
          <w:tcPr>
            <w:tcW w:type="dxa" w:w="1474"/>
            <w:vAlign w:val="top"/>
            <w:shd w:fill="D9EAF7"/>
          </w:tcPr>
          <w:p>
            <w:pPr>
              <w:spacing w:after="0" w:line="240" w:lineRule="auto"/>
            </w:pPr>
            <w:r/>
            <w:r>
              <w:rPr>
                <w:rFonts w:ascii="Liberation Serif" w:hAnsi="Liberation Serif" w:eastAsia="Liberation Serif"/>
                <w:b/>
                <w:sz w:val="14"/>
              </w:rPr>
              <w:t>2080/81</w:t>
            </w:r>
          </w:p>
        </w:tc>
      </w:tr>
      <w:tr>
        <w:tc>
          <w:tcPr>
            <w:tcW w:type="dxa" w:w="4649"/>
            <w:vAlign w:val="top"/>
          </w:tcPr>
          <w:p>
            <w:pPr>
              <w:spacing w:after="0" w:line="240" w:lineRule="auto"/>
            </w:pPr>
            <w:r/>
            <w:r>
              <w:rPr>
                <w:rFonts w:ascii="Liberation Serif" w:hAnsi="Liberation Serif" w:eastAsia="Liberation Serif"/>
                <w:b w:val="0"/>
                <w:sz w:val="14"/>
              </w:rPr>
              <w:t>Initial contract price</w:t>
            </w:r>
          </w:p>
        </w:tc>
        <w:tc>
          <w:tcPr>
            <w:tcW w:type="dxa" w:w="1474"/>
            <w:vAlign w:val="top"/>
          </w:tcPr>
          <w:p>
            <w:pPr>
              <w:spacing w:after="0" w:line="240" w:lineRule="auto"/>
            </w:pPr>
            <w:r/>
            <w:r>
              <w:rPr>
                <w:rFonts w:ascii="Liberation Serif" w:hAnsi="Liberation Serif" w:eastAsia="Liberation Serif"/>
                <w:b w:val="0"/>
                <w:sz w:val="14"/>
              </w:rPr>
              <w:t>20,000</w:t>
            </w:r>
          </w:p>
        </w:tc>
        <w:tc>
          <w:tcPr>
            <w:tcW w:type="dxa" w:w="1474"/>
            <w:vAlign w:val="top"/>
          </w:tcPr>
          <w:p>
            <w:pPr>
              <w:spacing w:after="0" w:line="240" w:lineRule="auto"/>
            </w:pPr>
            <w:r/>
            <w:r>
              <w:rPr>
                <w:rFonts w:ascii="Liberation Serif" w:hAnsi="Liberation Serif" w:eastAsia="Liberation Serif"/>
                <w:b w:val="0"/>
                <w:sz w:val="14"/>
              </w:rPr>
              <w:t>20,000</w:t>
            </w:r>
          </w:p>
        </w:tc>
        <w:tc>
          <w:tcPr>
            <w:tcW w:type="dxa" w:w="1474"/>
            <w:vAlign w:val="top"/>
          </w:tcPr>
          <w:p>
            <w:pPr>
              <w:spacing w:after="0" w:line="240" w:lineRule="auto"/>
            </w:pPr>
            <w:r/>
            <w:r>
              <w:rPr>
                <w:rFonts w:ascii="Liberation Serif" w:hAnsi="Liberation Serif" w:eastAsia="Liberation Serif"/>
                <w:b w:val="0"/>
                <w:sz w:val="14"/>
              </w:rPr>
              <w:t>20,000</w:t>
            </w:r>
          </w:p>
        </w:tc>
      </w:tr>
      <w:tr>
        <w:tc>
          <w:tcPr>
            <w:tcW w:type="dxa" w:w="4649"/>
            <w:vAlign w:val="top"/>
          </w:tcPr>
          <w:p>
            <w:pPr>
              <w:spacing w:after="0" w:line="240" w:lineRule="auto"/>
            </w:pPr>
            <w:r/>
            <w:r>
              <w:rPr>
                <w:rFonts w:ascii="Liberation Serif" w:hAnsi="Liberation Serif" w:eastAsia="Liberation Serif"/>
                <w:b w:val="0"/>
                <w:sz w:val="14"/>
              </w:rPr>
              <w:t>Variation order</w:t>
            </w:r>
          </w:p>
        </w:tc>
        <w:tc>
          <w:tcPr>
            <w:tcW w:type="dxa" w:w="1474"/>
            <w:vAlign w:val="top"/>
          </w:tcPr>
          <w:p>
            <w:pPr>
              <w:spacing w:after="0" w:line="240" w:lineRule="auto"/>
            </w:pPr>
            <w:r/>
            <w:r>
              <w:rPr>
                <w:rFonts w:ascii="Liberation Serif" w:hAnsi="Liberation Serif" w:eastAsia="Liberation Serif"/>
                <w:b w:val="0"/>
                <w:sz w:val="14"/>
              </w:rPr>
              <w:t>-</w:t>
            </w:r>
          </w:p>
        </w:tc>
        <w:tc>
          <w:tcPr>
            <w:tcW w:type="dxa" w:w="1474"/>
            <w:vAlign w:val="top"/>
          </w:tcPr>
          <w:p>
            <w:pPr>
              <w:spacing w:after="0" w:line="240" w:lineRule="auto"/>
            </w:pPr>
            <w:r/>
            <w:r>
              <w:rPr>
                <w:rFonts w:ascii="Liberation Serif" w:hAnsi="Liberation Serif" w:eastAsia="Liberation Serif"/>
                <w:b w:val="0"/>
                <w:sz w:val="14"/>
              </w:rPr>
              <w:t>350</w:t>
            </w:r>
          </w:p>
        </w:tc>
        <w:tc>
          <w:tcPr>
            <w:tcW w:type="dxa" w:w="1474"/>
            <w:vAlign w:val="top"/>
          </w:tcPr>
          <w:p>
            <w:pPr>
              <w:spacing w:after="0" w:line="240" w:lineRule="auto"/>
            </w:pPr>
            <w:r/>
            <w:r>
              <w:rPr>
                <w:rFonts w:ascii="Liberation Serif" w:hAnsi="Liberation Serif" w:eastAsia="Liberation Serif"/>
                <w:b w:val="0"/>
                <w:sz w:val="14"/>
              </w:rPr>
              <w:t>400</w:t>
            </w:r>
          </w:p>
        </w:tc>
      </w:tr>
      <w:tr>
        <w:tc>
          <w:tcPr>
            <w:tcW w:type="dxa" w:w="4649"/>
            <w:vAlign w:val="top"/>
          </w:tcPr>
          <w:p>
            <w:pPr>
              <w:spacing w:after="0" w:line="240" w:lineRule="auto"/>
            </w:pPr>
            <w:r/>
            <w:r>
              <w:rPr>
                <w:rFonts w:ascii="Liberation Serif" w:hAnsi="Liberation Serif" w:eastAsia="Liberation Serif"/>
                <w:b w:val="0"/>
                <w:sz w:val="14"/>
              </w:rPr>
              <w:t>Total contract price</w:t>
            </w:r>
          </w:p>
        </w:tc>
        <w:tc>
          <w:tcPr>
            <w:tcW w:type="dxa" w:w="1474"/>
            <w:vAlign w:val="top"/>
          </w:tcPr>
          <w:p>
            <w:pPr>
              <w:spacing w:after="0" w:line="240" w:lineRule="auto"/>
            </w:pPr>
            <w:r/>
            <w:r>
              <w:rPr>
                <w:rFonts w:ascii="Liberation Serif" w:hAnsi="Liberation Serif" w:eastAsia="Liberation Serif"/>
                <w:b w:val="0"/>
                <w:sz w:val="14"/>
              </w:rPr>
              <w:t>20,000</w:t>
            </w:r>
          </w:p>
        </w:tc>
        <w:tc>
          <w:tcPr>
            <w:tcW w:type="dxa" w:w="1474"/>
            <w:vAlign w:val="top"/>
          </w:tcPr>
          <w:p>
            <w:pPr>
              <w:spacing w:after="0" w:line="240" w:lineRule="auto"/>
            </w:pPr>
            <w:r/>
            <w:r>
              <w:rPr>
                <w:rFonts w:ascii="Liberation Serif" w:hAnsi="Liberation Serif" w:eastAsia="Liberation Serif"/>
                <w:b w:val="0"/>
                <w:sz w:val="14"/>
              </w:rPr>
              <w:t>20,350</w:t>
            </w:r>
          </w:p>
        </w:tc>
        <w:tc>
          <w:tcPr>
            <w:tcW w:type="dxa" w:w="1474"/>
            <w:vAlign w:val="top"/>
          </w:tcPr>
          <w:p>
            <w:pPr>
              <w:spacing w:after="0" w:line="240" w:lineRule="auto"/>
            </w:pPr>
            <w:r/>
            <w:r>
              <w:rPr>
                <w:rFonts w:ascii="Liberation Serif" w:hAnsi="Liberation Serif" w:eastAsia="Liberation Serif"/>
                <w:b w:val="0"/>
                <w:sz w:val="14"/>
              </w:rPr>
              <w:t>20,400</w:t>
            </w:r>
          </w:p>
        </w:tc>
      </w:tr>
      <w:tr>
        <w:tc>
          <w:tcPr>
            <w:tcW w:type="dxa" w:w="4649"/>
            <w:vAlign w:val="top"/>
          </w:tcPr>
          <w:p>
            <w:pPr>
              <w:spacing w:after="0" w:line="240" w:lineRule="auto"/>
            </w:pPr>
            <w:r/>
            <w:r>
              <w:rPr>
                <w:rFonts w:ascii="Liberation Serif" w:hAnsi="Liberation Serif" w:eastAsia="Liberation Serif"/>
                <w:b w:val="0"/>
                <w:sz w:val="14"/>
              </w:rPr>
              <w:t>Initial estimated cost</w:t>
            </w:r>
          </w:p>
        </w:tc>
        <w:tc>
          <w:tcPr>
            <w:tcW w:type="dxa" w:w="1474"/>
            <w:vAlign w:val="top"/>
          </w:tcPr>
          <w:p>
            <w:pPr>
              <w:spacing w:after="0" w:line="240" w:lineRule="auto"/>
            </w:pPr>
            <w:r/>
            <w:r>
              <w:rPr>
                <w:rFonts w:ascii="Liberation Serif" w:hAnsi="Liberation Serif" w:eastAsia="Liberation Serif"/>
                <w:b w:val="0"/>
                <w:sz w:val="14"/>
              </w:rPr>
              <w:t>18,000</w:t>
            </w:r>
          </w:p>
        </w:tc>
        <w:tc>
          <w:tcPr>
            <w:tcW w:type="dxa" w:w="1474"/>
            <w:vAlign w:val="top"/>
          </w:tcPr>
          <w:p>
            <w:pPr>
              <w:spacing w:after="0" w:line="240" w:lineRule="auto"/>
            </w:pPr>
            <w:r/>
            <w:r>
              <w:rPr>
                <w:rFonts w:ascii="Liberation Serif" w:hAnsi="Liberation Serif" w:eastAsia="Liberation Serif"/>
                <w:b w:val="0"/>
                <w:sz w:val="14"/>
              </w:rPr>
              <w:t>18,000</w:t>
            </w:r>
          </w:p>
        </w:tc>
        <w:tc>
          <w:tcPr>
            <w:tcW w:type="dxa" w:w="1474"/>
            <w:vAlign w:val="top"/>
          </w:tcPr>
          <w:p>
            <w:pPr>
              <w:spacing w:after="0" w:line="240" w:lineRule="auto"/>
            </w:pPr>
            <w:r/>
            <w:r>
              <w:rPr>
                <w:rFonts w:ascii="Liberation Serif" w:hAnsi="Liberation Serif" w:eastAsia="Liberation Serif"/>
                <w:b w:val="0"/>
                <w:sz w:val="14"/>
              </w:rPr>
              <w:t>18,000</w:t>
            </w:r>
          </w:p>
        </w:tc>
      </w:tr>
      <w:tr>
        <w:tc>
          <w:tcPr>
            <w:tcW w:type="dxa" w:w="4649"/>
            <w:vAlign w:val="top"/>
          </w:tcPr>
          <w:p>
            <w:pPr>
              <w:spacing w:after="0" w:line="240" w:lineRule="auto"/>
            </w:pPr>
            <w:r/>
            <w:r>
              <w:rPr>
                <w:rFonts w:ascii="Liberation Serif" w:hAnsi="Liberation Serif" w:eastAsia="Liberation Serif"/>
                <w:b w:val="0"/>
                <w:sz w:val="14"/>
              </w:rPr>
              <w:t>Additional estimated cost</w:t>
            </w:r>
          </w:p>
        </w:tc>
        <w:tc>
          <w:tcPr>
            <w:tcW w:type="dxa" w:w="1474"/>
            <w:vAlign w:val="top"/>
          </w:tcPr>
          <w:p>
            <w:pPr>
              <w:spacing w:after="0" w:line="240" w:lineRule="auto"/>
            </w:pPr>
            <w:r/>
            <w:r>
              <w:rPr>
                <w:rFonts w:ascii="Liberation Serif" w:hAnsi="Liberation Serif" w:eastAsia="Liberation Serif"/>
                <w:b w:val="0"/>
                <w:sz w:val="14"/>
              </w:rPr>
              <w:t>-</w:t>
            </w:r>
          </w:p>
        </w:tc>
        <w:tc>
          <w:tcPr>
            <w:tcW w:type="dxa" w:w="1474"/>
            <w:vAlign w:val="top"/>
          </w:tcPr>
          <w:p>
            <w:pPr>
              <w:spacing w:after="0" w:line="240" w:lineRule="auto"/>
            </w:pPr>
            <w:r/>
            <w:r>
              <w:rPr>
                <w:rFonts w:ascii="Liberation Serif" w:hAnsi="Liberation Serif" w:eastAsia="Liberation Serif"/>
                <w:b w:val="0"/>
                <w:sz w:val="14"/>
              </w:rPr>
              <w:t>250</w:t>
            </w:r>
          </w:p>
        </w:tc>
        <w:tc>
          <w:tcPr>
            <w:tcW w:type="dxa" w:w="1474"/>
            <w:vAlign w:val="top"/>
          </w:tcPr>
          <w:p>
            <w:pPr>
              <w:spacing w:after="0" w:line="240" w:lineRule="auto"/>
            </w:pPr>
            <w:r/>
            <w:r>
              <w:rPr>
                <w:rFonts w:ascii="Liberation Serif" w:hAnsi="Liberation Serif" w:eastAsia="Liberation Serif"/>
                <w:b w:val="0"/>
                <w:sz w:val="14"/>
              </w:rPr>
              <w:t>300</w:t>
            </w:r>
          </w:p>
        </w:tc>
      </w:tr>
      <w:tr>
        <w:tc>
          <w:tcPr>
            <w:tcW w:type="dxa" w:w="4649"/>
            <w:vAlign w:val="top"/>
          </w:tcPr>
          <w:p>
            <w:pPr>
              <w:spacing w:after="0" w:line="240" w:lineRule="auto"/>
            </w:pPr>
            <w:r/>
            <w:r>
              <w:rPr>
                <w:rFonts w:ascii="Liberation Serif" w:hAnsi="Liberation Serif" w:eastAsia="Liberation Serif"/>
                <w:b w:val="0"/>
                <w:sz w:val="14"/>
              </w:rPr>
              <w:t>Total estimated cost</w:t>
            </w:r>
          </w:p>
        </w:tc>
        <w:tc>
          <w:tcPr>
            <w:tcW w:type="dxa" w:w="1474"/>
            <w:vAlign w:val="top"/>
          </w:tcPr>
          <w:p>
            <w:pPr>
              <w:spacing w:after="0" w:line="240" w:lineRule="auto"/>
            </w:pPr>
            <w:r/>
            <w:r>
              <w:rPr>
                <w:rFonts w:ascii="Liberation Serif" w:hAnsi="Liberation Serif" w:eastAsia="Liberation Serif"/>
                <w:b w:val="0"/>
                <w:sz w:val="14"/>
              </w:rPr>
              <w:t>18,000</w:t>
            </w:r>
          </w:p>
        </w:tc>
        <w:tc>
          <w:tcPr>
            <w:tcW w:type="dxa" w:w="1474"/>
            <w:vAlign w:val="top"/>
          </w:tcPr>
          <w:p>
            <w:pPr>
              <w:spacing w:after="0" w:line="240" w:lineRule="auto"/>
            </w:pPr>
            <w:r/>
            <w:r>
              <w:rPr>
                <w:rFonts w:ascii="Liberation Serif" w:hAnsi="Liberation Serif" w:eastAsia="Liberation Serif"/>
                <w:b w:val="0"/>
                <w:sz w:val="14"/>
              </w:rPr>
              <w:t>18,250</w:t>
            </w:r>
          </w:p>
        </w:tc>
        <w:tc>
          <w:tcPr>
            <w:tcW w:type="dxa" w:w="1474"/>
            <w:vAlign w:val="top"/>
          </w:tcPr>
          <w:p>
            <w:pPr>
              <w:spacing w:after="0" w:line="240" w:lineRule="auto"/>
            </w:pPr>
            <w:r/>
            <w:r>
              <w:rPr>
                <w:rFonts w:ascii="Liberation Serif" w:hAnsi="Liberation Serif" w:eastAsia="Liberation Serif"/>
                <w:b w:val="0"/>
                <w:sz w:val="14"/>
              </w:rPr>
              <w:t>18,300</w:t>
            </w:r>
          </w:p>
        </w:tc>
      </w:tr>
      <w:tr>
        <w:tc>
          <w:tcPr>
            <w:tcW w:type="dxa" w:w="4649"/>
            <w:vAlign w:val="top"/>
          </w:tcPr>
          <w:p>
            <w:pPr>
              <w:spacing w:after="0" w:line="240" w:lineRule="auto"/>
            </w:pPr>
            <w:r/>
            <w:r>
              <w:rPr>
                <w:rFonts w:ascii="Liberation Serif" w:hAnsi="Liberation Serif" w:eastAsia="Liberation Serif"/>
                <w:b w:val="0"/>
                <w:sz w:val="14"/>
              </w:rPr>
              <w:t>Cost of this year</w:t>
            </w:r>
          </w:p>
        </w:tc>
        <w:tc>
          <w:tcPr>
            <w:tcW w:type="dxa" w:w="1474"/>
            <w:vAlign w:val="top"/>
          </w:tcPr>
          <w:p>
            <w:pPr>
              <w:spacing w:after="0" w:line="240" w:lineRule="auto"/>
            </w:pPr>
            <w:r/>
            <w:r>
              <w:rPr>
                <w:rFonts w:ascii="Liberation Serif" w:hAnsi="Liberation Serif" w:eastAsia="Liberation Serif"/>
                <w:b w:val="0"/>
                <w:sz w:val="14"/>
              </w:rPr>
              <w:t>9,000</w:t>
            </w:r>
          </w:p>
        </w:tc>
        <w:tc>
          <w:tcPr>
            <w:tcW w:type="dxa" w:w="1474"/>
            <w:vAlign w:val="top"/>
          </w:tcPr>
          <w:p>
            <w:pPr>
              <w:spacing w:after="0" w:line="240" w:lineRule="auto"/>
            </w:pPr>
            <w:r/>
            <w:r>
              <w:rPr>
                <w:rFonts w:ascii="Liberation Serif" w:hAnsi="Liberation Serif" w:eastAsia="Liberation Serif"/>
                <w:b w:val="0"/>
                <w:sz w:val="14"/>
              </w:rPr>
              <w:t>4,140</w:t>
            </w:r>
          </w:p>
        </w:tc>
        <w:tc>
          <w:tcPr>
            <w:tcW w:type="dxa" w:w="1474"/>
            <w:vAlign w:val="top"/>
          </w:tcPr>
          <w:p>
            <w:pPr>
              <w:spacing w:after="0" w:line="240" w:lineRule="auto"/>
            </w:pPr>
            <w:r/>
            <w:r>
              <w:rPr>
                <w:rFonts w:ascii="Liberation Serif" w:hAnsi="Liberation Serif" w:eastAsia="Liberation Serif"/>
                <w:b w:val="0"/>
                <w:sz w:val="14"/>
              </w:rPr>
              <w:t>5,160</w:t>
            </w:r>
          </w:p>
        </w:tc>
      </w:tr>
      <w:tr>
        <w:tc>
          <w:tcPr>
            <w:tcW w:type="dxa" w:w="4649"/>
            <w:vAlign w:val="top"/>
          </w:tcPr>
          <w:p>
            <w:pPr>
              <w:spacing w:after="0" w:line="240" w:lineRule="auto"/>
            </w:pPr>
            <w:r/>
            <w:r>
              <w:rPr>
                <w:rFonts w:ascii="Liberation Serif" w:hAnsi="Liberation Serif" w:eastAsia="Liberation Serif"/>
                <w:b w:val="0"/>
                <w:sz w:val="14"/>
              </w:rPr>
              <w:t>Cost to date</w:t>
            </w:r>
          </w:p>
        </w:tc>
        <w:tc>
          <w:tcPr>
            <w:tcW w:type="dxa" w:w="1474"/>
            <w:vAlign w:val="top"/>
          </w:tcPr>
          <w:p>
            <w:pPr>
              <w:spacing w:after="0" w:line="240" w:lineRule="auto"/>
            </w:pPr>
            <w:r/>
            <w:r>
              <w:rPr>
                <w:rFonts w:ascii="Liberation Serif" w:hAnsi="Liberation Serif" w:eastAsia="Liberation Serif"/>
                <w:b w:val="0"/>
                <w:sz w:val="14"/>
              </w:rPr>
              <w:t>9,000</w:t>
            </w:r>
          </w:p>
        </w:tc>
        <w:tc>
          <w:tcPr>
            <w:tcW w:type="dxa" w:w="1474"/>
            <w:vAlign w:val="top"/>
          </w:tcPr>
          <w:p>
            <w:pPr>
              <w:spacing w:after="0" w:line="240" w:lineRule="auto"/>
            </w:pPr>
            <w:r/>
            <w:r>
              <w:rPr>
                <w:rFonts w:ascii="Liberation Serif" w:hAnsi="Liberation Serif" w:eastAsia="Liberation Serif"/>
                <w:b w:val="0"/>
                <w:sz w:val="14"/>
              </w:rPr>
              <w:t>13,140</w:t>
            </w:r>
          </w:p>
        </w:tc>
        <w:tc>
          <w:tcPr>
            <w:tcW w:type="dxa" w:w="1474"/>
            <w:vAlign w:val="top"/>
          </w:tcPr>
          <w:p>
            <w:pPr>
              <w:spacing w:after="0" w:line="240" w:lineRule="auto"/>
            </w:pPr>
            <w:r/>
            <w:r>
              <w:rPr>
                <w:rFonts w:ascii="Liberation Serif" w:hAnsi="Liberation Serif" w:eastAsia="Liberation Serif"/>
                <w:b w:val="0"/>
                <w:sz w:val="14"/>
              </w:rPr>
              <w:t>18,300</w:t>
            </w:r>
          </w:p>
        </w:tc>
      </w:tr>
      <w:tr>
        <w:tc>
          <w:tcPr>
            <w:tcW w:type="dxa" w:w="4649"/>
            <w:vAlign w:val="top"/>
          </w:tcPr>
          <w:p>
            <w:pPr>
              <w:spacing w:after="0" w:line="240" w:lineRule="auto"/>
            </w:pPr>
            <w:r/>
            <w:r>
              <w:rPr>
                <w:rFonts w:ascii="Liberation Serif" w:hAnsi="Liberation Serif" w:eastAsia="Liberation Serif"/>
                <w:b w:val="0"/>
                <w:sz w:val="14"/>
              </w:rPr>
              <w:t>Estimated cost to complete</w:t>
            </w:r>
          </w:p>
        </w:tc>
        <w:tc>
          <w:tcPr>
            <w:tcW w:type="dxa" w:w="1474"/>
            <w:vAlign w:val="top"/>
          </w:tcPr>
          <w:p>
            <w:pPr>
              <w:spacing w:after="0" w:line="240" w:lineRule="auto"/>
            </w:pPr>
            <w:r/>
            <w:r>
              <w:rPr>
                <w:rFonts w:ascii="Liberation Serif" w:hAnsi="Liberation Serif" w:eastAsia="Liberation Serif"/>
                <w:b w:val="0"/>
                <w:sz w:val="14"/>
              </w:rPr>
              <w:t>9,000</w:t>
            </w:r>
          </w:p>
        </w:tc>
        <w:tc>
          <w:tcPr>
            <w:tcW w:type="dxa" w:w="1474"/>
            <w:vAlign w:val="top"/>
          </w:tcPr>
          <w:p>
            <w:pPr>
              <w:spacing w:after="0" w:line="240" w:lineRule="auto"/>
            </w:pPr>
            <w:r/>
            <w:r>
              <w:rPr>
                <w:rFonts w:ascii="Liberation Serif" w:hAnsi="Liberation Serif" w:eastAsia="Liberation Serif"/>
                <w:b w:val="0"/>
                <w:sz w:val="14"/>
              </w:rPr>
              <w:t>5,110</w:t>
            </w:r>
          </w:p>
        </w:tc>
        <w:tc>
          <w:tcPr>
            <w:tcW w:type="dxa" w:w="1474"/>
            <w:vAlign w:val="top"/>
          </w:tcPr>
          <w:p>
            <w:pPr>
              <w:spacing w:after="0" w:line="240" w:lineRule="auto"/>
            </w:pPr>
            <w:r/>
            <w:r>
              <w:rPr>
                <w:rFonts w:ascii="Liberation Serif" w:hAnsi="Liberation Serif" w:eastAsia="Liberation Serif"/>
                <w:b w:val="0"/>
                <w:sz w:val="14"/>
              </w:rPr>
              <w:t>-</w:t>
            </w:r>
          </w:p>
        </w:tc>
      </w:tr>
      <w:tr>
        <w:tc>
          <w:tcPr>
            <w:tcW w:type="dxa" w:w="4649"/>
            <w:vAlign w:val="top"/>
          </w:tcPr>
          <w:p>
            <w:pPr>
              <w:spacing w:after="0" w:line="240" w:lineRule="auto"/>
            </w:pPr>
            <w:r/>
            <w:r>
              <w:rPr>
                <w:rFonts w:ascii="Liberation Serif" w:hAnsi="Liberation Serif" w:eastAsia="Liberation Serif"/>
                <w:b w:val="0"/>
                <w:sz w:val="14"/>
              </w:rPr>
              <w:t>Estimated profit</w:t>
            </w:r>
          </w:p>
        </w:tc>
        <w:tc>
          <w:tcPr>
            <w:tcW w:type="dxa" w:w="1474"/>
            <w:vAlign w:val="top"/>
          </w:tcPr>
          <w:p>
            <w:pPr>
              <w:spacing w:after="0" w:line="240" w:lineRule="auto"/>
            </w:pPr>
            <w:r/>
            <w:r>
              <w:rPr>
                <w:rFonts w:ascii="Liberation Serif" w:hAnsi="Liberation Serif" w:eastAsia="Liberation Serif"/>
                <w:b w:val="0"/>
                <w:sz w:val="14"/>
              </w:rPr>
              <w:t>2,000</w:t>
            </w:r>
          </w:p>
        </w:tc>
        <w:tc>
          <w:tcPr>
            <w:tcW w:type="dxa" w:w="1474"/>
            <w:vAlign w:val="top"/>
          </w:tcPr>
          <w:p>
            <w:pPr>
              <w:spacing w:after="0" w:line="240" w:lineRule="auto"/>
            </w:pPr>
            <w:r/>
            <w:r>
              <w:rPr>
                <w:rFonts w:ascii="Liberation Serif" w:hAnsi="Liberation Serif" w:eastAsia="Liberation Serif"/>
                <w:b w:val="0"/>
                <w:sz w:val="14"/>
              </w:rPr>
              <w:t>2,100</w:t>
            </w:r>
          </w:p>
        </w:tc>
        <w:tc>
          <w:tcPr>
            <w:tcW w:type="dxa" w:w="1474"/>
            <w:vAlign w:val="top"/>
          </w:tcPr>
          <w:p>
            <w:pPr>
              <w:spacing w:after="0" w:line="240" w:lineRule="auto"/>
            </w:pPr>
            <w:r/>
            <w:r>
              <w:rPr>
                <w:rFonts w:ascii="Liberation Serif" w:hAnsi="Liberation Serif" w:eastAsia="Liberation Serif"/>
                <w:b w:val="0"/>
                <w:sz w:val="14"/>
              </w:rPr>
              <w:t>2,100</w:t>
            </w:r>
          </w:p>
        </w:tc>
      </w:tr>
      <w:tr>
        <w:tc>
          <w:tcPr>
            <w:tcW w:type="dxa" w:w="4649"/>
            <w:vAlign w:val="top"/>
          </w:tcPr>
          <w:p>
            <w:pPr>
              <w:spacing w:after="0" w:line="240" w:lineRule="auto"/>
            </w:pPr>
            <w:r/>
            <w:r>
              <w:rPr>
                <w:rFonts w:ascii="Liberation Serif" w:hAnsi="Liberation Serif" w:eastAsia="Liberation Serif"/>
                <w:b w:val="0"/>
                <w:sz w:val="14"/>
              </w:rPr>
              <w:t>Total completion percentage</w:t>
            </w:r>
          </w:p>
        </w:tc>
        <w:tc>
          <w:tcPr>
            <w:tcW w:type="dxa" w:w="1474"/>
            <w:vAlign w:val="top"/>
          </w:tcPr>
          <w:p>
            <w:pPr>
              <w:spacing w:after="0" w:line="240" w:lineRule="auto"/>
            </w:pPr>
            <w:r/>
            <w:r>
              <w:rPr>
                <w:rFonts w:ascii="Liberation Serif" w:hAnsi="Liberation Serif" w:eastAsia="Liberation Serif"/>
                <w:b w:val="0"/>
                <w:sz w:val="14"/>
              </w:rPr>
              <w:t>50%</w:t>
            </w:r>
          </w:p>
        </w:tc>
        <w:tc>
          <w:tcPr>
            <w:tcW w:type="dxa" w:w="1474"/>
            <w:vAlign w:val="top"/>
          </w:tcPr>
          <w:p>
            <w:pPr>
              <w:spacing w:after="0" w:line="240" w:lineRule="auto"/>
            </w:pPr>
            <w:r/>
            <w:r>
              <w:rPr>
                <w:rFonts w:ascii="Liberation Serif" w:hAnsi="Liberation Serif" w:eastAsia="Liberation Serif"/>
                <w:b w:val="0"/>
                <w:sz w:val="14"/>
              </w:rPr>
              <w:t>72%</w:t>
            </w:r>
          </w:p>
        </w:tc>
        <w:tc>
          <w:tcPr>
            <w:tcW w:type="dxa" w:w="1474"/>
            <w:vAlign w:val="top"/>
          </w:tcPr>
          <w:p>
            <w:pPr>
              <w:spacing w:after="0" w:line="240" w:lineRule="auto"/>
            </w:pPr>
            <w:r/>
            <w:r>
              <w:rPr>
                <w:rFonts w:ascii="Liberation Serif" w:hAnsi="Liberation Serif" w:eastAsia="Liberation Serif"/>
                <w:b w:val="0"/>
                <w:sz w:val="14"/>
              </w:rPr>
              <w:t>100%</w:t>
            </w:r>
          </w:p>
        </w:tc>
      </w:tr>
      <w:tr>
        <w:tc>
          <w:tcPr>
            <w:tcW w:type="dxa" w:w="4649"/>
            <w:vAlign w:val="top"/>
          </w:tcPr>
          <w:p>
            <w:pPr>
              <w:spacing w:after="0" w:line="240" w:lineRule="auto"/>
            </w:pPr>
            <w:r/>
            <w:r>
              <w:rPr>
                <w:rFonts w:ascii="Liberation Serif" w:hAnsi="Liberation Serif" w:eastAsia="Liberation Serif"/>
                <w:b w:val="0"/>
                <w:sz w:val="14"/>
              </w:rPr>
              <w:t>Amount to be included in income: completion % × contract price</w:t>
            </w:r>
          </w:p>
        </w:tc>
        <w:tc>
          <w:tcPr>
            <w:tcW w:type="dxa" w:w="1474"/>
            <w:vAlign w:val="top"/>
          </w:tcPr>
          <w:p>
            <w:pPr>
              <w:spacing w:after="0" w:line="240" w:lineRule="auto"/>
            </w:pPr>
            <w:r/>
            <w:r>
              <w:rPr>
                <w:rFonts w:ascii="Liberation Serif" w:hAnsi="Liberation Serif" w:eastAsia="Liberation Serif"/>
                <w:b w:val="0"/>
                <w:sz w:val="14"/>
              </w:rPr>
              <w:t>10,000</w:t>
            </w:r>
          </w:p>
        </w:tc>
        <w:tc>
          <w:tcPr>
            <w:tcW w:type="dxa" w:w="1474"/>
            <w:vAlign w:val="top"/>
          </w:tcPr>
          <w:p>
            <w:pPr>
              <w:spacing w:after="0" w:line="240" w:lineRule="auto"/>
            </w:pPr>
            <w:r/>
            <w:r>
              <w:rPr>
                <w:rFonts w:ascii="Liberation Serif" w:hAnsi="Liberation Serif" w:eastAsia="Liberation Serif"/>
                <w:b w:val="0"/>
                <w:sz w:val="14"/>
              </w:rPr>
              <w:t>14,652</w:t>
            </w:r>
          </w:p>
        </w:tc>
        <w:tc>
          <w:tcPr>
            <w:tcW w:type="dxa" w:w="1474"/>
            <w:vAlign w:val="top"/>
          </w:tcPr>
          <w:p>
            <w:pPr>
              <w:spacing w:after="0" w:line="240" w:lineRule="auto"/>
            </w:pPr>
            <w:r/>
            <w:r>
              <w:rPr>
                <w:rFonts w:ascii="Liberation Serif" w:hAnsi="Liberation Serif" w:eastAsia="Liberation Serif"/>
                <w:b w:val="0"/>
                <w:sz w:val="14"/>
              </w:rPr>
              <w:t>20,400</w:t>
            </w:r>
          </w:p>
        </w:tc>
      </w:tr>
      <w:tr>
        <w:tc>
          <w:tcPr>
            <w:tcW w:type="dxa" w:w="4649"/>
            <w:vAlign w:val="top"/>
          </w:tcPr>
          <w:p>
            <w:pPr>
              <w:spacing w:after="0" w:line="240" w:lineRule="auto"/>
            </w:pPr>
            <w:r/>
            <w:r>
              <w:rPr>
                <w:rFonts w:ascii="Liberation Serif" w:hAnsi="Liberation Serif" w:eastAsia="Liberation Serif"/>
                <w:b w:val="0"/>
                <w:sz w:val="14"/>
              </w:rPr>
              <w:t>Less: amount included in income up to previous year</w:t>
            </w:r>
          </w:p>
        </w:tc>
        <w:tc>
          <w:tcPr>
            <w:tcW w:type="dxa" w:w="1474"/>
            <w:vAlign w:val="top"/>
          </w:tcPr>
          <w:p>
            <w:pPr>
              <w:spacing w:after="0" w:line="240" w:lineRule="auto"/>
            </w:pPr>
            <w:r/>
            <w:r>
              <w:rPr>
                <w:rFonts w:ascii="Liberation Serif" w:hAnsi="Liberation Serif" w:eastAsia="Liberation Serif"/>
                <w:b w:val="0"/>
                <w:sz w:val="14"/>
              </w:rPr>
              <w:t>-</w:t>
            </w:r>
          </w:p>
        </w:tc>
        <w:tc>
          <w:tcPr>
            <w:tcW w:type="dxa" w:w="1474"/>
            <w:vAlign w:val="top"/>
          </w:tcPr>
          <w:p>
            <w:pPr>
              <w:spacing w:after="0" w:line="240" w:lineRule="auto"/>
            </w:pPr>
            <w:r/>
            <w:r>
              <w:rPr>
                <w:rFonts w:ascii="Liberation Serif" w:hAnsi="Liberation Serif" w:eastAsia="Liberation Serif"/>
                <w:b w:val="0"/>
                <w:sz w:val="14"/>
              </w:rPr>
              <w:t>(10,000)</w:t>
            </w:r>
          </w:p>
        </w:tc>
        <w:tc>
          <w:tcPr>
            <w:tcW w:type="dxa" w:w="1474"/>
            <w:vAlign w:val="top"/>
          </w:tcPr>
          <w:p>
            <w:pPr>
              <w:spacing w:after="0" w:line="240" w:lineRule="auto"/>
            </w:pPr>
            <w:r/>
            <w:r>
              <w:rPr>
                <w:rFonts w:ascii="Liberation Serif" w:hAnsi="Liberation Serif" w:eastAsia="Liberation Serif"/>
                <w:b w:val="0"/>
                <w:sz w:val="14"/>
              </w:rPr>
              <w:t>(14,652)</w:t>
            </w:r>
          </w:p>
        </w:tc>
      </w:tr>
      <w:tr>
        <w:tc>
          <w:tcPr>
            <w:tcW w:type="dxa" w:w="4649"/>
            <w:vAlign w:val="top"/>
          </w:tcPr>
          <w:p>
            <w:pPr>
              <w:spacing w:after="0" w:line="240" w:lineRule="auto"/>
            </w:pPr>
            <w:r/>
            <w:r>
              <w:rPr>
                <w:rFonts w:ascii="Liberation Serif" w:hAnsi="Liberation Serif" w:eastAsia="Liberation Serif"/>
                <w:b w:val="0"/>
                <w:sz w:val="14"/>
              </w:rPr>
              <w:t>Amount included in this year</w:t>
            </w:r>
          </w:p>
        </w:tc>
        <w:tc>
          <w:tcPr>
            <w:tcW w:type="dxa" w:w="1474"/>
            <w:vAlign w:val="top"/>
          </w:tcPr>
          <w:p>
            <w:pPr>
              <w:spacing w:after="0" w:line="240" w:lineRule="auto"/>
            </w:pPr>
            <w:r/>
            <w:r>
              <w:rPr>
                <w:rFonts w:ascii="Liberation Serif" w:hAnsi="Liberation Serif" w:eastAsia="Liberation Serif"/>
                <w:b w:val="0"/>
                <w:sz w:val="14"/>
              </w:rPr>
              <w:t>10,000</w:t>
            </w:r>
          </w:p>
        </w:tc>
        <w:tc>
          <w:tcPr>
            <w:tcW w:type="dxa" w:w="1474"/>
            <w:vAlign w:val="top"/>
          </w:tcPr>
          <w:p>
            <w:pPr>
              <w:spacing w:after="0" w:line="240" w:lineRule="auto"/>
            </w:pPr>
            <w:r/>
            <w:r>
              <w:rPr>
                <w:rFonts w:ascii="Liberation Serif" w:hAnsi="Liberation Serif" w:eastAsia="Liberation Serif"/>
                <w:b w:val="0"/>
                <w:sz w:val="14"/>
              </w:rPr>
              <w:t>4,652</w:t>
            </w:r>
          </w:p>
        </w:tc>
        <w:tc>
          <w:tcPr>
            <w:tcW w:type="dxa" w:w="1474"/>
            <w:vAlign w:val="top"/>
          </w:tcPr>
          <w:p>
            <w:pPr>
              <w:spacing w:after="0" w:line="240" w:lineRule="auto"/>
            </w:pPr>
            <w:r/>
            <w:r>
              <w:rPr>
                <w:rFonts w:ascii="Liberation Serif" w:hAnsi="Liberation Serif" w:eastAsia="Liberation Serif"/>
                <w:b w:val="0"/>
                <w:sz w:val="14"/>
              </w:rPr>
              <w:t>5,748</w:t>
            </w:r>
          </w:p>
        </w:tc>
      </w:tr>
      <w:tr>
        <w:tc>
          <w:tcPr>
            <w:tcW w:type="dxa" w:w="4649"/>
            <w:vAlign w:val="top"/>
          </w:tcPr>
          <w:p>
            <w:pPr>
              <w:spacing w:after="0" w:line="240" w:lineRule="auto"/>
            </w:pPr>
            <w:r/>
            <w:r>
              <w:rPr>
                <w:rFonts w:ascii="Liberation Serif" w:hAnsi="Liberation Serif" w:eastAsia="Liberation Serif"/>
                <w:b w:val="0"/>
                <w:sz w:val="14"/>
              </w:rPr>
              <w:t>Deduction claimed for this year</w:t>
            </w:r>
          </w:p>
        </w:tc>
        <w:tc>
          <w:tcPr>
            <w:tcW w:type="dxa" w:w="1474"/>
            <w:vAlign w:val="top"/>
          </w:tcPr>
          <w:p>
            <w:pPr>
              <w:spacing w:after="0" w:line="240" w:lineRule="auto"/>
            </w:pPr>
            <w:r/>
            <w:r>
              <w:rPr>
                <w:rFonts w:ascii="Liberation Serif" w:hAnsi="Liberation Serif" w:eastAsia="Liberation Serif"/>
                <w:b w:val="0"/>
                <w:sz w:val="14"/>
              </w:rPr>
              <w:t>9,000</w:t>
            </w:r>
          </w:p>
        </w:tc>
        <w:tc>
          <w:tcPr>
            <w:tcW w:type="dxa" w:w="1474"/>
            <w:vAlign w:val="top"/>
          </w:tcPr>
          <w:p>
            <w:pPr>
              <w:spacing w:after="0" w:line="240" w:lineRule="auto"/>
            </w:pPr>
            <w:r/>
            <w:r>
              <w:rPr>
                <w:rFonts w:ascii="Liberation Serif" w:hAnsi="Liberation Serif" w:eastAsia="Liberation Serif"/>
                <w:b w:val="0"/>
                <w:sz w:val="14"/>
              </w:rPr>
              <w:t>4,140</w:t>
            </w:r>
          </w:p>
        </w:tc>
        <w:tc>
          <w:tcPr>
            <w:tcW w:type="dxa" w:w="1474"/>
            <w:vAlign w:val="top"/>
          </w:tcPr>
          <w:p>
            <w:pPr>
              <w:spacing w:after="0" w:line="240" w:lineRule="auto"/>
            </w:pPr>
            <w:r/>
            <w:r>
              <w:rPr>
                <w:rFonts w:ascii="Liberation Serif" w:hAnsi="Liberation Serif" w:eastAsia="Liberation Serif"/>
                <w:b w:val="0"/>
                <w:sz w:val="14"/>
              </w:rPr>
              <w:t>5,160</w:t>
            </w:r>
          </w:p>
        </w:tc>
      </w:tr>
      <w:tr>
        <w:tc>
          <w:tcPr>
            <w:tcW w:type="dxa" w:w="4649"/>
            <w:vAlign w:val="top"/>
          </w:tcPr>
          <w:p>
            <w:pPr>
              <w:spacing w:after="0" w:line="240" w:lineRule="auto"/>
            </w:pPr>
            <w:r/>
            <w:r>
              <w:rPr>
                <w:rFonts w:ascii="Liberation Serif" w:hAnsi="Liberation Serif" w:eastAsia="Liberation Serif"/>
                <w:b w:val="0"/>
                <w:sz w:val="14"/>
              </w:rPr>
              <w:t>Assessable income</w:t>
            </w:r>
          </w:p>
        </w:tc>
        <w:tc>
          <w:tcPr>
            <w:tcW w:type="dxa" w:w="1474"/>
            <w:vAlign w:val="top"/>
          </w:tcPr>
          <w:p>
            <w:pPr>
              <w:spacing w:after="0" w:line="240" w:lineRule="auto"/>
            </w:pPr>
            <w:r/>
            <w:r>
              <w:rPr>
                <w:rFonts w:ascii="Liberation Serif" w:hAnsi="Liberation Serif" w:eastAsia="Liberation Serif"/>
                <w:b w:val="0"/>
                <w:sz w:val="14"/>
              </w:rPr>
              <w:t>1,000</w:t>
            </w:r>
          </w:p>
        </w:tc>
        <w:tc>
          <w:tcPr>
            <w:tcW w:type="dxa" w:w="1474"/>
            <w:vAlign w:val="top"/>
          </w:tcPr>
          <w:p>
            <w:pPr>
              <w:spacing w:after="0" w:line="240" w:lineRule="auto"/>
            </w:pPr>
            <w:r/>
            <w:r>
              <w:rPr>
                <w:rFonts w:ascii="Liberation Serif" w:hAnsi="Liberation Serif" w:eastAsia="Liberation Serif"/>
                <w:b w:val="0"/>
                <w:sz w:val="14"/>
              </w:rPr>
              <w:t>512</w:t>
            </w:r>
          </w:p>
        </w:tc>
        <w:tc>
          <w:tcPr>
            <w:tcW w:type="dxa" w:w="1474"/>
            <w:vAlign w:val="top"/>
          </w:tcPr>
          <w:p>
            <w:pPr>
              <w:spacing w:after="0" w:line="240" w:lineRule="auto"/>
            </w:pPr>
            <w:r/>
            <w:r>
              <w:rPr>
                <w:rFonts w:ascii="Liberation Serif" w:hAnsi="Liberation Serif" w:eastAsia="Liberation Serif"/>
                <w:b w:val="0"/>
                <w:sz w:val="14"/>
              </w:rPr>
              <w:t>588</w:t>
            </w:r>
          </w:p>
        </w:tc>
      </w:tr>
      <w:tr>
        <w:tc>
          <w:tcPr>
            <w:tcW w:type="dxa" w:w="4649"/>
            <w:vAlign w:val="top"/>
          </w:tcPr>
          <w:p>
            <w:pPr>
              <w:spacing w:after="0" w:line="240" w:lineRule="auto"/>
            </w:pPr>
            <w:r/>
            <w:r>
              <w:rPr>
                <w:rFonts w:ascii="Liberation Serif" w:hAnsi="Liberation Serif" w:eastAsia="Liberation Serif"/>
                <w:b w:val="0"/>
                <w:sz w:val="14"/>
              </w:rPr>
              <w:t>Less: exempt amount (assumed nil)</w:t>
            </w:r>
          </w:p>
        </w:tc>
        <w:tc>
          <w:tcPr>
            <w:tcW w:type="dxa" w:w="1474"/>
            <w:vAlign w:val="top"/>
          </w:tcPr>
          <w:p>
            <w:pPr>
              <w:spacing w:after="0" w:line="240" w:lineRule="auto"/>
            </w:pPr>
            <w:r/>
            <w:r>
              <w:rPr>
                <w:rFonts w:ascii="Liberation Serif" w:hAnsi="Liberation Serif" w:eastAsia="Liberation Serif"/>
                <w:b w:val="0"/>
                <w:sz w:val="14"/>
              </w:rPr>
              <w:t>-</w:t>
            </w:r>
          </w:p>
        </w:tc>
        <w:tc>
          <w:tcPr>
            <w:tcW w:type="dxa" w:w="1474"/>
            <w:vAlign w:val="top"/>
          </w:tcPr>
          <w:p>
            <w:pPr>
              <w:spacing w:after="0" w:line="240" w:lineRule="auto"/>
            </w:pPr>
            <w:r/>
            <w:r>
              <w:rPr>
                <w:rFonts w:ascii="Liberation Serif" w:hAnsi="Liberation Serif" w:eastAsia="Liberation Serif"/>
                <w:b w:val="0"/>
                <w:sz w:val="14"/>
              </w:rPr>
              <w:t>-</w:t>
            </w:r>
          </w:p>
        </w:tc>
        <w:tc>
          <w:tcPr>
            <w:tcW w:type="dxa" w:w="1474"/>
            <w:vAlign w:val="top"/>
          </w:tcPr>
          <w:p>
            <w:pPr>
              <w:spacing w:after="0" w:line="240" w:lineRule="auto"/>
            </w:pPr>
            <w:r/>
            <w:r>
              <w:rPr>
                <w:rFonts w:ascii="Liberation Serif" w:hAnsi="Liberation Serif" w:eastAsia="Liberation Serif"/>
                <w:b w:val="0"/>
                <w:sz w:val="14"/>
              </w:rPr>
              <w:t>-</w:t>
            </w:r>
          </w:p>
        </w:tc>
      </w:tr>
      <w:tr>
        <w:tc>
          <w:tcPr>
            <w:tcW w:type="dxa" w:w="4649"/>
            <w:vAlign w:val="top"/>
          </w:tcPr>
          <w:p>
            <w:pPr>
              <w:spacing w:after="0" w:line="240" w:lineRule="auto"/>
            </w:pPr>
            <w:r/>
            <w:r>
              <w:rPr>
                <w:rFonts w:ascii="Liberation Serif" w:hAnsi="Liberation Serif" w:eastAsia="Liberation Serif"/>
                <w:b w:val="0"/>
                <w:sz w:val="14"/>
              </w:rPr>
              <w:t>Taxable income</w:t>
            </w:r>
          </w:p>
        </w:tc>
        <w:tc>
          <w:tcPr>
            <w:tcW w:type="dxa" w:w="1474"/>
            <w:vAlign w:val="top"/>
          </w:tcPr>
          <w:p>
            <w:pPr>
              <w:spacing w:after="0" w:line="240" w:lineRule="auto"/>
            </w:pPr>
            <w:r/>
            <w:r>
              <w:rPr>
                <w:rFonts w:ascii="Liberation Serif" w:hAnsi="Liberation Serif" w:eastAsia="Liberation Serif"/>
                <w:b w:val="0"/>
                <w:sz w:val="14"/>
              </w:rPr>
              <w:t>1,000</w:t>
            </w:r>
          </w:p>
        </w:tc>
        <w:tc>
          <w:tcPr>
            <w:tcW w:type="dxa" w:w="1474"/>
            <w:vAlign w:val="top"/>
          </w:tcPr>
          <w:p>
            <w:pPr>
              <w:spacing w:after="0" w:line="240" w:lineRule="auto"/>
            </w:pPr>
            <w:r/>
            <w:r>
              <w:rPr>
                <w:rFonts w:ascii="Liberation Serif" w:hAnsi="Liberation Serif" w:eastAsia="Liberation Serif"/>
                <w:b w:val="0"/>
                <w:sz w:val="14"/>
              </w:rPr>
              <w:t>512</w:t>
            </w:r>
          </w:p>
        </w:tc>
        <w:tc>
          <w:tcPr>
            <w:tcW w:type="dxa" w:w="1474"/>
            <w:vAlign w:val="top"/>
          </w:tcPr>
          <w:p>
            <w:pPr>
              <w:spacing w:after="0" w:line="240" w:lineRule="auto"/>
            </w:pPr>
            <w:r/>
            <w:r>
              <w:rPr>
                <w:rFonts w:ascii="Liberation Serif" w:hAnsi="Liberation Serif" w:eastAsia="Liberation Serif"/>
                <w:b w:val="0"/>
                <w:sz w:val="14"/>
              </w:rPr>
              <w:t>588</w:t>
            </w:r>
          </w:p>
        </w:tc>
      </w:tr>
    </w:tbl>
    <w:p/>
    <w:p>
      <w:pPr>
        <w:spacing w:after="80" w:line="252" w:lineRule="auto"/>
      </w:pPr>
      <w:r>
        <w:rPr>
          <w:rFonts w:ascii="Liberation Serif" w:hAnsi="Liberation Serif" w:eastAsia="Liberation Serif"/>
          <w:b w:val="0"/>
          <w:i w:val="0"/>
          <w:sz w:val="21"/>
        </w:rPr>
        <w:t>Example 20.13.1: New Nepal Construction Company Pvt. Ltd. obtained a contract in income year 2078/79 to construct a shopping mall for Rs. 2 billion, to be completed in three years. Initial estimated cost was Rs. 1.8 billion. In the second year, the owner issued a variation order of Rs. 35 million and in the third year the variation order was increased to Rs. 40 million. Due to the variation order, estimated cost increased by Rs. 25 million in the second year and by a further Rs. 5 million in the third year. The computation is shown in the table above.</w:t>
      </w:r>
    </w:p>
    <w:p>
      <w:pPr>
        <w:pStyle w:val="Heading3"/>
      </w:pPr>
      <w:r>
        <w:t>20.13.2 Amount included according to total of cumulative inclusions</w:t>
      </w:r>
    </w:p>
    <w:p>
      <w:pPr>
        <w:spacing w:after="80" w:line="252" w:lineRule="auto"/>
      </w:pPr>
      <w:r>
        <w:rPr>
          <w:rFonts w:ascii="Liberation Serif" w:hAnsi="Liberation Serif" w:eastAsia="Liberation Serif"/>
          <w:b w:val="0"/>
          <w:i w:val="0"/>
          <w:sz w:val="21"/>
        </w:rPr>
        <w:t>Under the Act and Rules, the income return for a long-term contract must include not only the income of the current year, but the total income from the beginning of the contract up to the current year. This total income is called the amount included according to the total of cumulative inclusions. Rule 12(1) provides that amounts included in computing income at a time and before that time, instead of being computed as in an ordinary income year, are cumulative inclusions.</w:t>
      </w:r>
    </w:p>
    <w:tbl>
      <w:tblPr>
        <w:tblStyle w:val="TableGrid"/>
        <w:tblW w:type="auto" w:w="0"/>
        <w:jc w:val="center"/>
        <w:tblLook w:firstColumn="1" w:firstRow="1" w:lastColumn="0" w:lastRow="0" w:noHBand="0" w:noVBand="1" w:val="04A0"/>
      </w:tblPr>
      <w:tblGrid>
        <w:gridCol w:w="2085"/>
        <w:gridCol w:w="2085"/>
        <w:gridCol w:w="2085"/>
        <w:gridCol w:w="2085"/>
        <w:gridCol w:w="2085"/>
      </w:tblGrid>
      <w:tr>
        <w:trPr>
          <w:tblHeader w:val="true"/>
        </w:trPr>
        <w:tc>
          <w:tcPr>
            <w:tcW w:type="dxa" w:w="1587"/>
            <w:vAlign w:val="top"/>
            <w:shd w:fill="D9EAF7"/>
          </w:tcPr>
          <w:p>
            <w:pPr>
              <w:spacing w:after="0" w:line="240" w:lineRule="auto"/>
            </w:pPr>
            <w:r/>
            <w:r>
              <w:rPr>
                <w:rFonts w:ascii="Liberation Serif" w:hAnsi="Liberation Serif" w:eastAsia="Liberation Serif"/>
                <w:b/>
                <w:sz w:val="15"/>
              </w:rPr>
              <w:t>Income year</w:t>
            </w:r>
          </w:p>
        </w:tc>
        <w:tc>
          <w:tcPr>
            <w:tcW w:type="dxa" w:w="1928"/>
            <w:vAlign w:val="top"/>
            <w:shd w:fill="D9EAF7"/>
          </w:tcPr>
          <w:p>
            <w:pPr>
              <w:spacing w:after="0" w:line="240" w:lineRule="auto"/>
            </w:pPr>
            <w:r/>
            <w:r>
              <w:rPr>
                <w:rFonts w:ascii="Liberation Serif" w:hAnsi="Liberation Serif" w:eastAsia="Liberation Serif"/>
                <w:b/>
                <w:sz w:val="15"/>
              </w:rPr>
              <w:t>Contract price</w:t>
            </w:r>
          </w:p>
        </w:tc>
        <w:tc>
          <w:tcPr>
            <w:tcW w:type="dxa" w:w="1928"/>
            <w:vAlign w:val="top"/>
            <w:shd w:fill="D9EAF7"/>
          </w:tcPr>
          <w:p>
            <w:pPr>
              <w:spacing w:after="0" w:line="240" w:lineRule="auto"/>
            </w:pPr>
            <w:r/>
            <w:r>
              <w:rPr>
                <w:rFonts w:ascii="Liberation Serif" w:hAnsi="Liberation Serif" w:eastAsia="Liberation Serif"/>
                <w:b/>
                <w:sz w:val="15"/>
              </w:rPr>
              <w:t>Income of current year</w:t>
            </w:r>
          </w:p>
        </w:tc>
        <w:tc>
          <w:tcPr>
            <w:tcW w:type="dxa" w:w="1928"/>
            <w:vAlign w:val="top"/>
            <w:shd w:fill="D9EAF7"/>
          </w:tcPr>
          <w:p>
            <w:pPr>
              <w:spacing w:after="0" w:line="240" w:lineRule="auto"/>
            </w:pPr>
            <w:r/>
            <w:r>
              <w:rPr>
                <w:rFonts w:ascii="Liberation Serif" w:hAnsi="Liberation Serif" w:eastAsia="Liberation Serif"/>
                <w:b/>
                <w:sz w:val="15"/>
              </w:rPr>
              <w:t>Income up to the year</w:t>
            </w:r>
          </w:p>
        </w:tc>
        <w:tc>
          <w:tcPr>
            <w:tcW w:type="dxa" w:w="1928"/>
            <w:vAlign w:val="top"/>
            <w:shd w:fill="D9EAF7"/>
          </w:tcPr>
          <w:p>
            <w:pPr>
              <w:spacing w:after="0" w:line="240" w:lineRule="auto"/>
            </w:pPr>
            <w:r/>
            <w:r>
              <w:rPr>
                <w:rFonts w:ascii="Liberation Serif" w:hAnsi="Liberation Serif" w:eastAsia="Liberation Serif"/>
                <w:b/>
                <w:sz w:val="15"/>
              </w:rPr>
              <w:t>Amount included in income return</w:t>
            </w:r>
          </w:p>
        </w:tc>
      </w:tr>
      <w:tr>
        <w:tc>
          <w:tcPr>
            <w:tcW w:type="dxa" w:w="1587"/>
            <w:vAlign w:val="top"/>
          </w:tcPr>
          <w:p>
            <w:pPr>
              <w:spacing w:after="0" w:line="240" w:lineRule="auto"/>
            </w:pPr>
            <w:r/>
            <w:r>
              <w:rPr>
                <w:rFonts w:ascii="Liberation Serif" w:hAnsi="Liberation Serif" w:eastAsia="Liberation Serif"/>
                <w:b w:val="0"/>
                <w:sz w:val="15"/>
              </w:rPr>
              <w:t>2076/77</w:t>
            </w:r>
          </w:p>
        </w:tc>
        <w:tc>
          <w:tcPr>
            <w:tcW w:type="dxa" w:w="1928"/>
            <w:vAlign w:val="top"/>
          </w:tcPr>
          <w:p>
            <w:pPr>
              <w:spacing w:after="0" w:line="240" w:lineRule="auto"/>
            </w:pPr>
            <w:r/>
            <w:r>
              <w:rPr>
                <w:rFonts w:ascii="Liberation Serif" w:hAnsi="Liberation Serif" w:eastAsia="Liberation Serif"/>
                <w:b w:val="0"/>
                <w:sz w:val="15"/>
              </w:rPr>
              <w:t>Rs. 110,000,000</w:t>
            </w:r>
          </w:p>
        </w:tc>
        <w:tc>
          <w:tcPr>
            <w:tcW w:type="dxa" w:w="1928"/>
            <w:vAlign w:val="top"/>
          </w:tcPr>
          <w:p>
            <w:pPr>
              <w:spacing w:after="0" w:line="240" w:lineRule="auto"/>
            </w:pPr>
            <w:r/>
            <w:r>
              <w:rPr>
                <w:rFonts w:ascii="Liberation Serif" w:hAnsi="Liberation Serif" w:eastAsia="Liberation Serif"/>
                <w:b w:val="0"/>
                <w:sz w:val="15"/>
              </w:rPr>
              <w:t>Rs. 22,000,000</w:t>
            </w:r>
          </w:p>
        </w:tc>
        <w:tc>
          <w:tcPr>
            <w:tcW w:type="dxa" w:w="1928"/>
            <w:vAlign w:val="top"/>
          </w:tcPr>
          <w:p>
            <w:pPr>
              <w:spacing w:after="0" w:line="240" w:lineRule="auto"/>
            </w:pPr>
            <w:r/>
            <w:r>
              <w:rPr>
                <w:rFonts w:ascii="Liberation Serif" w:hAnsi="Liberation Serif" w:eastAsia="Liberation Serif"/>
                <w:b w:val="0"/>
                <w:sz w:val="15"/>
              </w:rPr>
              <w:t>Rs. 22,000,000</w:t>
            </w:r>
          </w:p>
        </w:tc>
        <w:tc>
          <w:tcPr>
            <w:tcW w:type="dxa" w:w="1928"/>
            <w:vAlign w:val="top"/>
          </w:tcPr>
          <w:p>
            <w:pPr>
              <w:spacing w:after="0" w:line="240" w:lineRule="auto"/>
            </w:pPr>
            <w:r/>
            <w:r>
              <w:rPr>
                <w:rFonts w:ascii="Liberation Serif" w:hAnsi="Liberation Serif" w:eastAsia="Liberation Serif"/>
                <w:b w:val="0"/>
                <w:sz w:val="15"/>
              </w:rPr>
              <w:t>Rs. 22,000,000</w:t>
            </w:r>
          </w:p>
        </w:tc>
      </w:tr>
      <w:tr>
        <w:tc>
          <w:tcPr>
            <w:tcW w:type="dxa" w:w="1587"/>
            <w:vAlign w:val="top"/>
          </w:tcPr>
          <w:p>
            <w:pPr>
              <w:spacing w:after="0" w:line="240" w:lineRule="auto"/>
            </w:pPr>
            <w:r/>
            <w:r>
              <w:rPr>
                <w:rFonts w:ascii="Liberation Serif" w:hAnsi="Liberation Serif" w:eastAsia="Liberation Serif"/>
                <w:b w:val="0"/>
                <w:sz w:val="15"/>
              </w:rPr>
              <w:t>2077/78</w:t>
            </w:r>
          </w:p>
        </w:tc>
        <w:tc>
          <w:tcPr>
            <w:tcW w:type="dxa" w:w="1928"/>
            <w:vAlign w:val="top"/>
          </w:tcPr>
          <w:p>
            <w:pPr>
              <w:spacing w:after="0" w:line="240" w:lineRule="auto"/>
            </w:pPr>
            <w:r/>
            <w:r>
              <w:rPr>
                <w:rFonts w:ascii="Liberation Serif" w:hAnsi="Liberation Serif" w:eastAsia="Liberation Serif"/>
                <w:b w:val="0"/>
                <w:sz w:val="15"/>
              </w:rPr>
              <w:t>Rs. 110,000,000</w:t>
            </w:r>
          </w:p>
        </w:tc>
        <w:tc>
          <w:tcPr>
            <w:tcW w:type="dxa" w:w="1928"/>
            <w:vAlign w:val="top"/>
          </w:tcPr>
          <w:p>
            <w:pPr>
              <w:spacing w:after="0" w:line="240" w:lineRule="auto"/>
            </w:pPr>
            <w:r/>
            <w:r>
              <w:rPr>
                <w:rFonts w:ascii="Liberation Serif" w:hAnsi="Liberation Serif" w:eastAsia="Liberation Serif"/>
                <w:b w:val="0"/>
                <w:sz w:val="15"/>
              </w:rPr>
              <w:t>Rs. 33,000,000</w:t>
            </w:r>
          </w:p>
        </w:tc>
        <w:tc>
          <w:tcPr>
            <w:tcW w:type="dxa" w:w="1928"/>
            <w:vAlign w:val="top"/>
          </w:tcPr>
          <w:p>
            <w:pPr>
              <w:spacing w:after="0" w:line="240" w:lineRule="auto"/>
            </w:pPr>
            <w:r/>
            <w:r>
              <w:rPr>
                <w:rFonts w:ascii="Liberation Serif" w:hAnsi="Liberation Serif" w:eastAsia="Liberation Serif"/>
                <w:b w:val="0"/>
                <w:sz w:val="15"/>
              </w:rPr>
              <w:t>Rs. 55,000,000</w:t>
            </w:r>
          </w:p>
        </w:tc>
        <w:tc>
          <w:tcPr>
            <w:tcW w:type="dxa" w:w="1928"/>
            <w:vAlign w:val="top"/>
          </w:tcPr>
          <w:p>
            <w:pPr>
              <w:spacing w:after="0" w:line="240" w:lineRule="auto"/>
            </w:pPr>
            <w:r/>
            <w:r>
              <w:rPr>
                <w:rFonts w:ascii="Liberation Serif" w:hAnsi="Liberation Serif" w:eastAsia="Liberation Serif"/>
                <w:b w:val="0"/>
                <w:sz w:val="15"/>
              </w:rPr>
              <w:t>Rs. 55,000,000</w:t>
            </w:r>
          </w:p>
        </w:tc>
      </w:tr>
      <w:tr>
        <w:tc>
          <w:tcPr>
            <w:tcW w:type="dxa" w:w="1587"/>
            <w:vAlign w:val="top"/>
          </w:tcPr>
          <w:p>
            <w:pPr>
              <w:spacing w:after="0" w:line="240" w:lineRule="auto"/>
            </w:pPr>
            <w:r/>
            <w:r>
              <w:rPr>
                <w:rFonts w:ascii="Liberation Serif" w:hAnsi="Liberation Serif" w:eastAsia="Liberation Serif"/>
                <w:b w:val="0"/>
                <w:sz w:val="15"/>
              </w:rPr>
              <w:t>2078/79</w:t>
            </w:r>
          </w:p>
        </w:tc>
        <w:tc>
          <w:tcPr>
            <w:tcW w:type="dxa" w:w="1928"/>
            <w:vAlign w:val="top"/>
          </w:tcPr>
          <w:p>
            <w:pPr>
              <w:spacing w:after="0" w:line="240" w:lineRule="auto"/>
            </w:pPr>
            <w:r/>
            <w:r>
              <w:rPr>
                <w:rFonts w:ascii="Liberation Serif" w:hAnsi="Liberation Serif" w:eastAsia="Liberation Serif"/>
                <w:b w:val="0"/>
                <w:sz w:val="15"/>
              </w:rPr>
              <w:t>Rs. 110,000,000</w:t>
            </w:r>
          </w:p>
        </w:tc>
        <w:tc>
          <w:tcPr>
            <w:tcW w:type="dxa" w:w="1928"/>
            <w:vAlign w:val="top"/>
          </w:tcPr>
          <w:p>
            <w:pPr>
              <w:spacing w:after="0" w:line="240" w:lineRule="auto"/>
            </w:pPr>
            <w:r/>
            <w:r>
              <w:rPr>
                <w:rFonts w:ascii="Liberation Serif" w:hAnsi="Liberation Serif" w:eastAsia="Liberation Serif"/>
                <w:b w:val="0"/>
                <w:sz w:val="15"/>
              </w:rPr>
              <w:t>Rs. 33,000,000</w:t>
            </w:r>
          </w:p>
        </w:tc>
        <w:tc>
          <w:tcPr>
            <w:tcW w:type="dxa" w:w="1928"/>
            <w:vAlign w:val="top"/>
          </w:tcPr>
          <w:p>
            <w:pPr>
              <w:spacing w:after="0" w:line="240" w:lineRule="auto"/>
            </w:pPr>
            <w:r/>
            <w:r>
              <w:rPr>
                <w:rFonts w:ascii="Liberation Serif" w:hAnsi="Liberation Serif" w:eastAsia="Liberation Serif"/>
                <w:b w:val="0"/>
                <w:sz w:val="15"/>
              </w:rPr>
              <w:t>Rs. 88,000,000</w:t>
            </w:r>
          </w:p>
        </w:tc>
        <w:tc>
          <w:tcPr>
            <w:tcW w:type="dxa" w:w="1928"/>
            <w:vAlign w:val="top"/>
          </w:tcPr>
          <w:p>
            <w:pPr>
              <w:spacing w:after="0" w:line="240" w:lineRule="auto"/>
            </w:pPr>
            <w:r/>
            <w:r>
              <w:rPr>
                <w:rFonts w:ascii="Liberation Serif" w:hAnsi="Liberation Serif" w:eastAsia="Liberation Serif"/>
                <w:b w:val="0"/>
                <w:sz w:val="15"/>
              </w:rPr>
              <w:t>Rs. 88,000,000</w:t>
            </w:r>
          </w:p>
        </w:tc>
      </w:tr>
    </w:tbl>
    <w:p/>
    <w:p>
      <w:pPr>
        <w:spacing w:after="80" w:line="252" w:lineRule="auto"/>
      </w:pPr>
      <w:r>
        <w:rPr>
          <w:rFonts w:ascii="Liberation Serif" w:hAnsi="Liberation Serif" w:eastAsia="Liberation Serif"/>
          <w:b w:val="0"/>
          <w:i w:val="0"/>
          <w:sz w:val="21"/>
        </w:rPr>
        <w:t>Example 20.13.2: If a four-year road construction contract has a total contract price of Rs. 110 million and work completed is 20% by 2076/77, 50% by 2077/78 and 80% by 2078/79, the amounts to be treated as income are shown above.</w:t>
      </w:r>
    </w:p>
    <w:p>
      <w:pPr>
        <w:pStyle w:val="Heading3"/>
      </w:pPr>
      <w:r>
        <w:t>20.13.3 Other amounts received in relation to a long-term contract</w:t>
      </w:r>
    </w:p>
    <w:p>
      <w:pPr>
        <w:spacing w:after="80" w:line="252" w:lineRule="auto"/>
      </w:pPr>
      <w:r>
        <w:rPr>
          <w:rFonts w:ascii="Liberation Serif" w:hAnsi="Liberation Serif" w:eastAsia="Liberation Serif"/>
          <w:b w:val="0"/>
          <w:i w:val="0"/>
          <w:sz w:val="21"/>
        </w:rPr>
        <w:t>Income to be received under a contract may increase for various reasons. If the cost of goods or services used in the project increases and the customer reimburses that increased cost, the reimbursement is income from the contract. Similarly, if the quantity or quality of work to be performed under the contract increases by agreement between the parties, both the contract cost and the contract income naturally increase. Any compensation, reward, incentive or other amount received from the customer in relation to the contract must be included in the income of that contract.</w:t>
      </w:r>
    </w:p>
    <w:p>
      <w:pPr>
        <w:spacing w:after="80" w:line="252" w:lineRule="auto"/>
      </w:pPr>
      <w:r>
        <w:rPr>
          <w:rFonts w:ascii="Liberation Serif" w:hAnsi="Liberation Serif" w:eastAsia="Liberation Serif"/>
          <w:b w:val="0"/>
          <w:i w:val="0"/>
          <w:sz w:val="21"/>
        </w:rPr>
        <w:t>If such amount becomes receivable in any income year, the increased total income of the contract applies from that year and for subsequent years as the cumulative inclusion at the end of the contract. Remaining-year income is determined on that revised amount.</w:t>
      </w:r>
    </w:p>
    <w:tbl>
      <w:tblPr>
        <w:tblStyle w:val="TableGrid"/>
        <w:tblW w:type="auto" w:w="0"/>
        <w:jc w:val="center"/>
        <w:tblLook w:firstColumn="1" w:firstRow="1" w:lastColumn="0" w:lastRow="0" w:noHBand="0" w:noVBand="1" w:val="04A0"/>
      </w:tblPr>
      <w:tblGrid>
        <w:gridCol w:w="5213"/>
        <w:gridCol w:w="5213"/>
      </w:tblGrid>
      <w:tr>
        <w:trPr>
          <w:tblHeader w:val="true"/>
        </w:trPr>
        <w:tc>
          <w:tcPr>
            <w:tcW w:type="dxa" w:w="5669"/>
            <w:vAlign w:val="top"/>
            <w:shd w:fill="D9EAF7"/>
          </w:tcPr>
          <w:p>
            <w:pPr>
              <w:spacing w:after="0" w:line="240" w:lineRule="auto"/>
            </w:pPr>
            <w:r/>
            <w:r>
              <w:rPr>
                <w:rFonts w:ascii="Liberation Serif" w:hAnsi="Liberation Serif" w:eastAsia="Liberation Serif"/>
                <w:b/>
                <w:sz w:val="16"/>
              </w:rPr>
              <w:t>Example 20.13.3</w:t>
            </w:r>
          </w:p>
        </w:tc>
        <w:tc>
          <w:tcPr>
            <w:tcW w:type="dxa" w:w="3402"/>
            <w:vAlign w:val="top"/>
            <w:shd w:fill="D9EAF7"/>
          </w:tcPr>
          <w:p>
            <w:pPr>
              <w:spacing w:after="0" w:line="240" w:lineRule="auto"/>
            </w:pPr>
            <w:r/>
            <w:r>
              <w:rPr>
                <w:rFonts w:ascii="Liberation Serif" w:hAnsi="Liberation Serif" w:eastAsia="Liberation Serif"/>
                <w:b/>
                <w:sz w:val="16"/>
              </w:rPr>
              <w:t>Treatment</w:t>
            </w:r>
          </w:p>
        </w:tc>
      </w:tr>
      <w:tr>
        <w:tc>
          <w:tcPr>
            <w:tcW w:type="dxa" w:w="5669"/>
            <w:vAlign w:val="top"/>
          </w:tcPr>
          <w:p>
            <w:pPr>
              <w:spacing w:after="0" w:line="240" w:lineRule="auto"/>
            </w:pPr>
            <w:r/>
            <w:r>
              <w:rPr>
                <w:rFonts w:ascii="Liberation Serif" w:hAnsi="Liberation Serif" w:eastAsia="Liberation Serif"/>
                <w:b w:val="0"/>
                <w:sz w:val="16"/>
              </w:rPr>
              <w:t>New Nepal Construction Company Pvt. Ltd. obtained a four-year road contract for Rs. 110 million with estimated cost of Rs. 100 million. In 2078/79, construction-material cost increased and expected cost reached Rs. 120 million. The company claimed reimbursement of the increased Rs. 20 million and the Department of Roads agreed.</w:t>
            </w:r>
          </w:p>
        </w:tc>
        <w:tc>
          <w:tcPr>
            <w:tcW w:type="dxa" w:w="3402"/>
            <w:vAlign w:val="top"/>
          </w:tcPr>
          <w:p>
            <w:pPr>
              <w:spacing w:after="0" w:line="240" w:lineRule="auto"/>
            </w:pPr>
            <w:r/>
            <w:r>
              <w:rPr>
                <w:rFonts w:ascii="Liberation Serif" w:hAnsi="Liberation Serif" w:eastAsia="Liberation Serif"/>
                <w:b w:val="0"/>
                <w:sz w:val="16"/>
              </w:rPr>
              <w:t>The total amount to be included in income at contract completion becomes Rs. 130 million (original contract price plus additional Rs. 20 million). For earlier years the contract income remains Rs. 110 million; from the year of increase onward, income is determined on the revised contract amount.</w:t>
            </w:r>
          </w:p>
        </w:tc>
      </w:tr>
    </w:tbl>
    <w:p/>
    <w:p>
      <w:pPr>
        <w:pStyle w:val="Heading3"/>
      </w:pPr>
      <w:r>
        <w:t>20.13.4 Other amounts received by a person involved in a long-term contract</w:t>
      </w:r>
    </w:p>
    <w:p>
      <w:pPr>
        <w:spacing w:after="80" w:line="252" w:lineRule="auto"/>
      </w:pPr>
      <w:r>
        <w:rPr>
          <w:rFonts w:ascii="Liberation Serif" w:hAnsi="Liberation Serif" w:eastAsia="Liberation Serif"/>
          <w:b w:val="0"/>
          <w:i w:val="0"/>
          <w:sz w:val="21"/>
        </w:rPr>
        <w:t>If a person engaged in a long-term contract receives any amount because of being associated with the contract but not related to performance of the contract work, such amount must be included in income in the income year in which it is received. It is not treated as part of the contract consideration. Instead, the entire amount is included as other income in the year of receipt. Such amount is not included in the total income expected at the end of the contract for computing cumulative inclusions. Examples include income from sale of property, income from disposal of business assets or liabilities, income from services provided outside the contract, and income from leasing property.</w:t>
      </w:r>
    </w:p>
    <w:p>
      <w:pPr>
        <w:pStyle w:val="Heading3"/>
      </w:pPr>
      <w:r>
        <w:t>20.13.5 Income of each long-term contract to be computed separately</w:t>
      </w:r>
    </w:p>
    <w:p>
      <w:pPr>
        <w:spacing w:after="80" w:line="252" w:lineRule="auto"/>
      </w:pPr>
      <w:r>
        <w:rPr>
          <w:rFonts w:ascii="Liberation Serif" w:hAnsi="Liberation Serif" w:eastAsia="Liberation Serif"/>
          <w:b w:val="0"/>
          <w:i w:val="0"/>
          <w:sz w:val="21"/>
        </w:rPr>
        <w:t>Because the Act treats long-term contracts as a business distinct from other business and prescribes special rules for income and deductions, each long-term contract must be treated as a separate business. Income according to percentage of completion and other income of each contract must be computed separately.</w:t>
      </w:r>
    </w:p>
    <w:p>
      <w:pPr>
        <w:pStyle w:val="Heading2"/>
      </w:pPr>
      <w:r>
        <w:t>20.14 Amounts Deductible from Income of a Long-Term Contract</w:t>
      </w:r>
    </w:p>
    <w:p>
      <w:pPr>
        <w:spacing w:after="80" w:line="252" w:lineRule="auto"/>
      </w:pPr>
      <w:r>
        <w:rPr>
          <w:rFonts w:ascii="Liberation Serif" w:hAnsi="Liberation Serif" w:eastAsia="Liberation Serif"/>
          <w:b w:val="0"/>
          <w:i w:val="0"/>
          <w:sz w:val="21"/>
        </w:rPr>
        <w:t>For determining tax liability, the Act places limits on certain expenses, disallows some actual expenses, and characterises certain expenses. Therefore, actual contract cost and the cost deductible for income tax purposes may differ. The deductible amounts in computing taxable income from long-term contracts are explained below.</w:t>
      </w:r>
    </w:p>
    <w:p>
      <w:pPr>
        <w:pStyle w:val="Heading3"/>
      </w:pPr>
      <w:r>
        <w:t>20.14.1 Amount deductible from income of a long-term contract</w:t>
      </w:r>
    </w:p>
    <w:p>
      <w:pPr>
        <w:spacing w:after="80" w:line="252" w:lineRule="auto"/>
      </w:pPr>
      <w:r>
        <w:rPr>
          <w:rFonts w:ascii="Liberation Serif" w:hAnsi="Liberation Serif" w:eastAsia="Liberation Serif"/>
          <w:b w:val="0"/>
          <w:i w:val="0"/>
          <w:sz w:val="21"/>
        </w:rPr>
        <w:t>For computing taxable income and tax from a long-term contract, deductible amounts are those deductible under Section 13. In claiming deductions for expenses under the contract, the person must comply with Sections 13, 14, 15, 16, 17, 18, 19 and 20 and with the provisions of Chapters 6 and 7. Losses from long-term contracts must also be deducted subject to Section 20.</w:t>
      </w:r>
    </w:p>
    <w:p>
      <w:pPr>
        <w:pStyle w:val="Heading3"/>
      </w:pPr>
      <w:r>
        <w:t>20.14.2 Total of cumulative deductions from income of a long-term contract</w:t>
      </w:r>
    </w:p>
    <w:p>
      <w:pPr>
        <w:spacing w:after="80" w:line="252" w:lineRule="auto"/>
      </w:pPr>
      <w:r>
        <w:rPr>
          <w:rFonts w:ascii="Liberation Serif" w:hAnsi="Liberation Serif" w:eastAsia="Liberation Serif"/>
          <w:b w:val="0"/>
          <w:i w:val="0"/>
          <w:sz w:val="21"/>
        </w:rPr>
        <w:t>For computing taxable income and tax from a long-term contract, expenses are not deducted only for the income year being computed, as in ordinary businesses. All actual contract-related expenses of the current and previous income years are deducted, subject to the limits prescribed by the Act. This total is called the total of cumulative deductions. Rule 12(2) provides that amounts deductible in computing business or investment income at a time and before that time, instead of being computed as in an ordinary income year, are cumulative deductions.</w:t>
      </w:r>
    </w:p>
    <w:tbl>
      <w:tblPr>
        <w:tblStyle w:val="TableGrid"/>
        <w:tblW w:type="auto" w:w="0"/>
        <w:jc w:val="center"/>
        <w:tblLook w:firstColumn="1" w:firstRow="1" w:lastColumn="0" w:lastRow="0" w:noHBand="0" w:noVBand="1" w:val="04A0"/>
      </w:tblPr>
      <w:tblGrid>
        <w:gridCol w:w="2606"/>
        <w:gridCol w:w="2606"/>
        <w:gridCol w:w="2606"/>
        <w:gridCol w:w="2606"/>
      </w:tblGrid>
      <w:tr>
        <w:trPr>
          <w:tblHeader w:val="true"/>
        </w:trPr>
        <w:tc>
          <w:tcPr>
            <w:tcW w:type="dxa" w:w="1814"/>
            <w:vAlign w:val="top"/>
            <w:shd w:fill="D9EAF7"/>
          </w:tcPr>
          <w:p>
            <w:pPr>
              <w:spacing w:after="0" w:line="240" w:lineRule="auto"/>
            </w:pPr>
            <w:r/>
            <w:r>
              <w:rPr>
                <w:rFonts w:ascii="Liberation Serif" w:hAnsi="Liberation Serif" w:eastAsia="Liberation Serif"/>
                <w:b/>
                <w:sz w:val="16"/>
              </w:rPr>
              <w:t>Income year</w:t>
            </w:r>
          </w:p>
        </w:tc>
        <w:tc>
          <w:tcPr>
            <w:tcW w:type="dxa" w:w="2438"/>
            <w:vAlign w:val="top"/>
            <w:shd w:fill="D9EAF7"/>
          </w:tcPr>
          <w:p>
            <w:pPr>
              <w:spacing w:after="0" w:line="240" w:lineRule="auto"/>
            </w:pPr>
            <w:r/>
            <w:r>
              <w:rPr>
                <w:rFonts w:ascii="Liberation Serif" w:hAnsi="Liberation Serif" w:eastAsia="Liberation Serif"/>
                <w:b/>
                <w:sz w:val="16"/>
              </w:rPr>
              <w:t>Current year deductible expense (Rs.)</w:t>
            </w:r>
          </w:p>
        </w:tc>
        <w:tc>
          <w:tcPr>
            <w:tcW w:type="dxa" w:w="2438"/>
            <w:vAlign w:val="top"/>
            <w:shd w:fill="D9EAF7"/>
          </w:tcPr>
          <w:p>
            <w:pPr>
              <w:spacing w:after="0" w:line="240" w:lineRule="auto"/>
            </w:pPr>
            <w:r/>
            <w:r>
              <w:rPr>
                <w:rFonts w:ascii="Liberation Serif" w:hAnsi="Liberation Serif" w:eastAsia="Liberation Serif"/>
                <w:b/>
                <w:sz w:val="16"/>
              </w:rPr>
              <w:t>Expense up to previous year (Rs.)</w:t>
            </w:r>
          </w:p>
        </w:tc>
        <w:tc>
          <w:tcPr>
            <w:tcW w:type="dxa" w:w="2438"/>
            <w:vAlign w:val="top"/>
            <w:shd w:fill="D9EAF7"/>
          </w:tcPr>
          <w:p>
            <w:pPr>
              <w:spacing w:after="0" w:line="240" w:lineRule="auto"/>
            </w:pPr>
            <w:r/>
            <w:r>
              <w:rPr>
                <w:rFonts w:ascii="Liberation Serif" w:hAnsi="Liberation Serif" w:eastAsia="Liberation Serif"/>
                <w:b/>
                <w:sz w:val="16"/>
              </w:rPr>
              <w:t>Cumulative deductible expense (Rs.)</w:t>
            </w:r>
          </w:p>
        </w:tc>
      </w:tr>
      <w:tr>
        <w:tc>
          <w:tcPr>
            <w:tcW w:type="dxa" w:w="1814"/>
            <w:vAlign w:val="top"/>
          </w:tcPr>
          <w:p>
            <w:pPr>
              <w:spacing w:after="0" w:line="240" w:lineRule="auto"/>
            </w:pPr>
            <w:r/>
            <w:r>
              <w:rPr>
                <w:rFonts w:ascii="Liberation Serif" w:hAnsi="Liberation Serif" w:eastAsia="Liberation Serif"/>
                <w:b w:val="0"/>
                <w:sz w:val="16"/>
              </w:rPr>
              <w:t>2076/77</w:t>
            </w:r>
          </w:p>
        </w:tc>
        <w:tc>
          <w:tcPr>
            <w:tcW w:type="dxa" w:w="2438"/>
            <w:vAlign w:val="top"/>
          </w:tcPr>
          <w:p>
            <w:pPr>
              <w:spacing w:after="0" w:line="240" w:lineRule="auto"/>
            </w:pPr>
            <w:r/>
            <w:r>
              <w:rPr>
                <w:rFonts w:ascii="Liberation Serif" w:hAnsi="Liberation Serif" w:eastAsia="Liberation Serif"/>
                <w:b w:val="0"/>
                <w:sz w:val="16"/>
              </w:rPr>
              <w:t>19,800,000</w:t>
            </w:r>
          </w:p>
        </w:tc>
        <w:tc>
          <w:tcPr>
            <w:tcW w:type="dxa" w:w="2438"/>
            <w:vAlign w:val="top"/>
          </w:tcPr>
          <w:p>
            <w:pPr>
              <w:spacing w:after="0" w:line="240" w:lineRule="auto"/>
            </w:pPr>
            <w:r/>
            <w:r>
              <w:rPr>
                <w:rFonts w:ascii="Liberation Serif" w:hAnsi="Liberation Serif" w:eastAsia="Liberation Serif"/>
                <w:b w:val="0"/>
                <w:sz w:val="16"/>
              </w:rPr>
              <w:t>0</w:t>
            </w:r>
          </w:p>
        </w:tc>
        <w:tc>
          <w:tcPr>
            <w:tcW w:type="dxa" w:w="2438"/>
            <w:vAlign w:val="top"/>
          </w:tcPr>
          <w:p>
            <w:pPr>
              <w:spacing w:after="0" w:line="240" w:lineRule="auto"/>
            </w:pPr>
            <w:r/>
            <w:r>
              <w:rPr>
                <w:rFonts w:ascii="Liberation Serif" w:hAnsi="Liberation Serif" w:eastAsia="Liberation Serif"/>
                <w:b w:val="0"/>
                <w:sz w:val="16"/>
              </w:rPr>
              <w:t>19,800,000</w:t>
            </w:r>
          </w:p>
        </w:tc>
      </w:tr>
      <w:tr>
        <w:tc>
          <w:tcPr>
            <w:tcW w:type="dxa" w:w="1814"/>
            <w:vAlign w:val="top"/>
          </w:tcPr>
          <w:p>
            <w:pPr>
              <w:spacing w:after="0" w:line="240" w:lineRule="auto"/>
            </w:pPr>
            <w:r/>
            <w:r>
              <w:rPr>
                <w:rFonts w:ascii="Liberation Serif" w:hAnsi="Liberation Serif" w:eastAsia="Liberation Serif"/>
                <w:b w:val="0"/>
                <w:sz w:val="16"/>
              </w:rPr>
              <w:t>2077/78</w:t>
            </w:r>
          </w:p>
        </w:tc>
        <w:tc>
          <w:tcPr>
            <w:tcW w:type="dxa" w:w="2438"/>
            <w:vAlign w:val="top"/>
          </w:tcPr>
          <w:p>
            <w:pPr>
              <w:spacing w:after="0" w:line="240" w:lineRule="auto"/>
            </w:pPr>
            <w:r/>
            <w:r>
              <w:rPr>
                <w:rFonts w:ascii="Liberation Serif" w:hAnsi="Liberation Serif" w:eastAsia="Liberation Serif"/>
                <w:b w:val="0"/>
                <w:sz w:val="16"/>
              </w:rPr>
              <w:t>29,500,000</w:t>
            </w:r>
          </w:p>
        </w:tc>
        <w:tc>
          <w:tcPr>
            <w:tcW w:type="dxa" w:w="2438"/>
            <w:vAlign w:val="top"/>
          </w:tcPr>
          <w:p>
            <w:pPr>
              <w:spacing w:after="0" w:line="240" w:lineRule="auto"/>
            </w:pPr>
            <w:r/>
            <w:r>
              <w:rPr>
                <w:rFonts w:ascii="Liberation Serif" w:hAnsi="Liberation Serif" w:eastAsia="Liberation Serif"/>
                <w:b w:val="0"/>
                <w:sz w:val="16"/>
              </w:rPr>
              <w:t>19,800,000</w:t>
            </w:r>
          </w:p>
        </w:tc>
        <w:tc>
          <w:tcPr>
            <w:tcW w:type="dxa" w:w="2438"/>
            <w:vAlign w:val="top"/>
          </w:tcPr>
          <w:p>
            <w:pPr>
              <w:spacing w:after="0" w:line="240" w:lineRule="auto"/>
            </w:pPr>
            <w:r/>
            <w:r>
              <w:rPr>
                <w:rFonts w:ascii="Liberation Serif" w:hAnsi="Liberation Serif" w:eastAsia="Liberation Serif"/>
                <w:b w:val="0"/>
                <w:sz w:val="16"/>
              </w:rPr>
              <w:t>49,300,000</w:t>
            </w:r>
          </w:p>
        </w:tc>
      </w:tr>
      <w:tr>
        <w:tc>
          <w:tcPr>
            <w:tcW w:type="dxa" w:w="1814"/>
            <w:vAlign w:val="top"/>
          </w:tcPr>
          <w:p>
            <w:pPr>
              <w:spacing w:after="0" w:line="240" w:lineRule="auto"/>
            </w:pPr>
            <w:r/>
            <w:r>
              <w:rPr>
                <w:rFonts w:ascii="Liberation Serif" w:hAnsi="Liberation Serif" w:eastAsia="Liberation Serif"/>
                <w:b w:val="0"/>
                <w:sz w:val="16"/>
              </w:rPr>
              <w:t>2078/79</w:t>
            </w:r>
          </w:p>
        </w:tc>
        <w:tc>
          <w:tcPr>
            <w:tcW w:type="dxa" w:w="2438"/>
            <w:vAlign w:val="top"/>
          </w:tcPr>
          <w:p>
            <w:pPr>
              <w:spacing w:after="0" w:line="240" w:lineRule="auto"/>
            </w:pPr>
            <w:r/>
            <w:r>
              <w:rPr>
                <w:rFonts w:ascii="Liberation Serif" w:hAnsi="Liberation Serif" w:eastAsia="Liberation Serif"/>
                <w:b w:val="0"/>
                <w:sz w:val="16"/>
              </w:rPr>
              <w:t>29,000,000</w:t>
            </w:r>
          </w:p>
        </w:tc>
        <w:tc>
          <w:tcPr>
            <w:tcW w:type="dxa" w:w="2438"/>
            <w:vAlign w:val="top"/>
          </w:tcPr>
          <w:p>
            <w:pPr>
              <w:spacing w:after="0" w:line="240" w:lineRule="auto"/>
            </w:pPr>
            <w:r/>
            <w:r>
              <w:rPr>
                <w:rFonts w:ascii="Liberation Serif" w:hAnsi="Liberation Serif" w:eastAsia="Liberation Serif"/>
                <w:b w:val="0"/>
                <w:sz w:val="16"/>
              </w:rPr>
              <w:t>49,300,000</w:t>
            </w:r>
          </w:p>
        </w:tc>
        <w:tc>
          <w:tcPr>
            <w:tcW w:type="dxa" w:w="2438"/>
            <w:vAlign w:val="top"/>
          </w:tcPr>
          <w:p>
            <w:pPr>
              <w:spacing w:after="0" w:line="240" w:lineRule="auto"/>
            </w:pPr>
            <w:r/>
            <w:r>
              <w:rPr>
                <w:rFonts w:ascii="Liberation Serif" w:hAnsi="Liberation Serif" w:eastAsia="Liberation Serif"/>
                <w:b w:val="0"/>
                <w:sz w:val="16"/>
              </w:rPr>
              <w:t>78,300,000</w:t>
            </w:r>
          </w:p>
        </w:tc>
      </w:tr>
    </w:tbl>
    <w:p/>
    <w:p>
      <w:pPr>
        <w:spacing w:after="80" w:line="252" w:lineRule="auto"/>
      </w:pPr>
      <w:r>
        <w:rPr>
          <w:rFonts w:ascii="Liberation Serif" w:hAnsi="Liberation Serif" w:eastAsia="Liberation Serif"/>
          <w:b w:val="0"/>
          <w:i w:val="0"/>
          <w:sz w:val="21"/>
        </w:rPr>
        <w:t>Example 20.14.1: New Nepal Construction Company Pvt. Ltd. incurred contract costs of Rs. 20 million, Rs. 30 million and Rs. 30 million in income years 2076/77, 2077/78 and 2078/79. Of these, Rs. 200,000, Rs. 500,000 and Rs. 1,000,000 respectively were not deductible for income tax purposes. The cumulative deductible amounts for tax purposes are shown above.</w:t>
      </w:r>
    </w:p>
    <w:p>
      <w:pPr>
        <w:pStyle w:val="Heading3"/>
      </w:pPr>
      <w:r>
        <w:t>20.14.3 Deductible expenses of each long-term contract to be computed separately</w:t>
      </w:r>
    </w:p>
    <w:p>
      <w:pPr>
        <w:spacing w:after="80" w:line="252" w:lineRule="auto"/>
      </w:pPr>
      <w:r>
        <w:rPr>
          <w:rFonts w:ascii="Liberation Serif" w:hAnsi="Liberation Serif" w:eastAsia="Liberation Serif"/>
          <w:b w:val="0"/>
          <w:i w:val="0"/>
          <w:sz w:val="21"/>
        </w:rPr>
        <w:t>Because the Act treats long-term contracts as separate from other businesses, each contract must be treated as a separate business and deductible expenses for each contract must be computed separately for every year.</w:t>
      </w:r>
    </w:p>
    <w:p>
      <w:pPr>
        <w:pStyle w:val="Heading3"/>
      </w:pPr>
      <w:r>
        <w:t>20.14.4 Special provision for carrying back loss</w:t>
      </w:r>
    </w:p>
    <w:p>
      <w:pPr>
        <w:spacing w:after="80" w:line="252" w:lineRule="auto"/>
      </w:pPr>
      <w:r>
        <w:rPr>
          <w:rFonts w:ascii="Liberation Serif" w:hAnsi="Liberation Serif" w:eastAsia="Liberation Serif"/>
          <w:b w:val="0"/>
          <w:i w:val="0"/>
          <w:sz w:val="21"/>
        </w:rPr>
        <w:t>Since income included from a long-term contract is computed on the basis of estimated cost, taxable income may arise in earlier years and loss may arise in later years. In global contracts obtained through international competition, merely carrying forward such loss may not allow effective set-off. Therefore, Section 20(4) and (5) allow the Department, by written notice, to permit a loss connected with a long-term contract obtained through international competition to be carried back to previous income years when the contract is completed or otherwise disposed of.</w:t>
      </w:r>
    </w:p>
    <w:p>
      <w:pPr>
        <w:spacing w:before="40" w:after="80" w:line="240" w:lineRule="auto"/>
        <w:ind w:left="255"/>
      </w:pPr>
      <w:r>
        <w:rPr>
          <w:rFonts w:ascii="Liberation Serif" w:hAnsi="Liberation Serif" w:eastAsia="Liberation Serif"/>
          <w:i/>
          <w:sz w:val="19"/>
        </w:rPr>
        <w:t>Section 20(4): Subject to subsections (1) and (2), if a person incurs a loss in an income year in which a long-term contract obtained by competing at international level is completed or otherwise disposed of, or if any unrelieved loss brought forward under subsection (1)(b) relates to such long-term contract, the Department may, by written notice, permit the loss to be carried back to a previous income year or years, and treated as unrelieved loss only to the extent the amounts included in computing income from the business related to the long-term contract for those years exceeded the amounts deducted.</w:t>
      </w:r>
    </w:p>
    <w:p>
      <w:pPr>
        <w:spacing w:before="40" w:after="80" w:line="240" w:lineRule="auto"/>
        <w:ind w:left="255"/>
      </w:pPr>
      <w:r>
        <w:rPr>
          <w:rFonts w:ascii="Liberation Serif" w:hAnsi="Liberation Serif" w:eastAsia="Liberation Serif"/>
          <w:i/>
          <w:sz w:val="19"/>
        </w:rPr>
        <w:t>Section 20(5): Any loss incurred by a person in an income year from a business-related long-term contract or contracts, and any excess of deductions over inclusions in computing income from that business for each such contract-related year, shall be allocated as relating to the long-term contract or contracts.</w:t>
      </w:r>
    </w:p>
    <w:p>
      <w:pPr>
        <w:spacing w:after="80" w:line="252" w:lineRule="auto"/>
      </w:pPr>
      <w:r>
        <w:rPr>
          <w:rFonts w:ascii="Liberation Serif" w:hAnsi="Liberation Serif" w:eastAsia="Liberation Serif"/>
          <w:b w:val="0"/>
          <w:i w:val="0"/>
          <w:sz w:val="21"/>
        </w:rPr>
        <w:t>If deductible expenses exceed income inclusions under Section 26, the person may claim the excess against income from other business or investment under Section 20(1)(a). If there is no such income, the loss may be carried forward for seven income years under Section 20(1)(b). Where the carried-forward loss relates to a global long-term contract, the Department may permit it to be carried back against income of previous years.</w:t>
      </w:r>
    </w:p>
    <w:tbl>
      <w:tblPr>
        <w:tblStyle w:val="TableGrid"/>
        <w:tblW w:type="auto" w:w="0"/>
        <w:jc w:val="center"/>
        <w:tblLook w:firstColumn="1" w:firstRow="1" w:lastColumn="0" w:lastRow="0" w:noHBand="0" w:noVBand="1" w:val="04A0"/>
      </w:tblPr>
      <w:tblGrid>
        <w:gridCol w:w="2606"/>
        <w:gridCol w:w="2606"/>
        <w:gridCol w:w="2606"/>
        <w:gridCol w:w="2606"/>
      </w:tblGrid>
      <w:tr>
        <w:trPr>
          <w:tblHeader w:val="true"/>
        </w:trPr>
        <w:tc>
          <w:tcPr>
            <w:tcW w:type="dxa" w:w="4762"/>
            <w:vAlign w:val="top"/>
            <w:shd w:fill="D9EAF7"/>
          </w:tcPr>
          <w:p>
            <w:pPr>
              <w:spacing w:after="0" w:line="240" w:lineRule="auto"/>
            </w:pPr>
            <w:r/>
            <w:r>
              <w:rPr>
                <w:rFonts w:ascii="Liberation Serif" w:hAnsi="Liberation Serif" w:eastAsia="Liberation Serif"/>
                <w:b/>
                <w:sz w:val="14"/>
              </w:rPr>
              <w:t>Particulars (amounts in Rs. lakh)</w:t>
            </w:r>
          </w:p>
        </w:tc>
        <w:tc>
          <w:tcPr>
            <w:tcW w:type="dxa" w:w="1446"/>
            <w:vAlign w:val="top"/>
            <w:shd w:fill="D9EAF7"/>
          </w:tcPr>
          <w:p>
            <w:pPr>
              <w:spacing w:after="0" w:line="240" w:lineRule="auto"/>
            </w:pPr>
            <w:r/>
            <w:r>
              <w:rPr>
                <w:rFonts w:ascii="Liberation Serif" w:hAnsi="Liberation Serif" w:eastAsia="Liberation Serif"/>
                <w:b/>
                <w:sz w:val="14"/>
              </w:rPr>
              <w:t>2078/79</w:t>
            </w:r>
          </w:p>
        </w:tc>
        <w:tc>
          <w:tcPr>
            <w:tcW w:type="dxa" w:w="1446"/>
            <w:vAlign w:val="top"/>
            <w:shd w:fill="D9EAF7"/>
          </w:tcPr>
          <w:p>
            <w:pPr>
              <w:spacing w:after="0" w:line="240" w:lineRule="auto"/>
            </w:pPr>
            <w:r/>
            <w:r>
              <w:rPr>
                <w:rFonts w:ascii="Liberation Serif" w:hAnsi="Liberation Serif" w:eastAsia="Liberation Serif"/>
                <w:b/>
                <w:sz w:val="14"/>
              </w:rPr>
              <w:t>2079/80</w:t>
            </w:r>
          </w:p>
        </w:tc>
        <w:tc>
          <w:tcPr>
            <w:tcW w:type="dxa" w:w="1446"/>
            <w:vAlign w:val="top"/>
            <w:shd w:fill="D9EAF7"/>
          </w:tcPr>
          <w:p>
            <w:pPr>
              <w:spacing w:after="0" w:line="240" w:lineRule="auto"/>
            </w:pPr>
            <w:r/>
            <w:r>
              <w:rPr>
                <w:rFonts w:ascii="Liberation Serif" w:hAnsi="Liberation Serif" w:eastAsia="Liberation Serif"/>
                <w:b/>
                <w:sz w:val="14"/>
              </w:rPr>
              <w:t>2080/81</w:t>
            </w:r>
          </w:p>
        </w:tc>
      </w:tr>
      <w:tr>
        <w:tc>
          <w:tcPr>
            <w:tcW w:type="dxa" w:w="4762"/>
            <w:vAlign w:val="top"/>
          </w:tcPr>
          <w:p>
            <w:pPr>
              <w:spacing w:after="0" w:line="240" w:lineRule="auto"/>
            </w:pPr>
            <w:r/>
            <w:r>
              <w:rPr>
                <w:rFonts w:ascii="Liberation Serif" w:hAnsi="Liberation Serif" w:eastAsia="Liberation Serif"/>
                <w:b w:val="0"/>
                <w:sz w:val="14"/>
              </w:rPr>
              <w:t>Initial contract price</w:t>
            </w:r>
          </w:p>
        </w:tc>
        <w:tc>
          <w:tcPr>
            <w:tcW w:type="dxa" w:w="1446"/>
            <w:vAlign w:val="top"/>
          </w:tcPr>
          <w:p>
            <w:pPr>
              <w:spacing w:after="0" w:line="240" w:lineRule="auto"/>
            </w:pPr>
            <w:r/>
            <w:r>
              <w:rPr>
                <w:rFonts w:ascii="Liberation Serif" w:hAnsi="Liberation Serif" w:eastAsia="Liberation Serif"/>
                <w:b w:val="0"/>
                <w:sz w:val="14"/>
              </w:rPr>
              <w:t>20,000</w:t>
            </w:r>
          </w:p>
        </w:tc>
        <w:tc>
          <w:tcPr>
            <w:tcW w:type="dxa" w:w="1446"/>
            <w:vAlign w:val="top"/>
          </w:tcPr>
          <w:p>
            <w:pPr>
              <w:spacing w:after="0" w:line="240" w:lineRule="auto"/>
            </w:pPr>
            <w:r/>
            <w:r>
              <w:rPr>
                <w:rFonts w:ascii="Liberation Serif" w:hAnsi="Liberation Serif" w:eastAsia="Liberation Serif"/>
                <w:b w:val="0"/>
                <w:sz w:val="14"/>
              </w:rPr>
              <w:t>20,000</w:t>
            </w:r>
          </w:p>
        </w:tc>
        <w:tc>
          <w:tcPr>
            <w:tcW w:type="dxa" w:w="1446"/>
            <w:vAlign w:val="top"/>
          </w:tcPr>
          <w:p>
            <w:pPr>
              <w:spacing w:after="0" w:line="240" w:lineRule="auto"/>
            </w:pPr>
            <w:r/>
            <w:r>
              <w:rPr>
                <w:rFonts w:ascii="Liberation Serif" w:hAnsi="Liberation Serif" w:eastAsia="Liberation Serif"/>
                <w:b w:val="0"/>
                <w:sz w:val="14"/>
              </w:rPr>
              <w:t>20,000</w:t>
            </w:r>
          </w:p>
        </w:tc>
      </w:tr>
      <w:tr>
        <w:tc>
          <w:tcPr>
            <w:tcW w:type="dxa" w:w="4762"/>
            <w:vAlign w:val="top"/>
          </w:tcPr>
          <w:p>
            <w:pPr>
              <w:spacing w:after="0" w:line="240" w:lineRule="auto"/>
            </w:pPr>
            <w:r/>
            <w:r>
              <w:rPr>
                <w:rFonts w:ascii="Liberation Serif" w:hAnsi="Liberation Serif" w:eastAsia="Liberation Serif"/>
                <w:b w:val="0"/>
                <w:sz w:val="14"/>
              </w:rPr>
              <w:t>Variation and additional price</w:t>
            </w:r>
          </w:p>
        </w:tc>
        <w:tc>
          <w:tcPr>
            <w:tcW w:type="dxa" w:w="1446"/>
            <w:vAlign w:val="top"/>
          </w:tcPr>
          <w:p>
            <w:pPr>
              <w:spacing w:after="0" w:line="240" w:lineRule="auto"/>
            </w:pPr>
            <w:r/>
            <w:r>
              <w:rPr>
                <w:rFonts w:ascii="Liberation Serif" w:hAnsi="Liberation Serif" w:eastAsia="Liberation Serif"/>
                <w:b w:val="0"/>
                <w:sz w:val="14"/>
              </w:rPr>
              <w:t>-</w:t>
            </w:r>
          </w:p>
        </w:tc>
        <w:tc>
          <w:tcPr>
            <w:tcW w:type="dxa" w:w="1446"/>
            <w:vAlign w:val="top"/>
          </w:tcPr>
          <w:p>
            <w:pPr>
              <w:spacing w:after="0" w:line="240" w:lineRule="auto"/>
            </w:pPr>
            <w:r/>
            <w:r>
              <w:rPr>
                <w:rFonts w:ascii="Liberation Serif" w:hAnsi="Liberation Serif" w:eastAsia="Liberation Serif"/>
                <w:b w:val="0"/>
                <w:sz w:val="14"/>
              </w:rPr>
              <w:t>350</w:t>
            </w:r>
          </w:p>
        </w:tc>
        <w:tc>
          <w:tcPr>
            <w:tcW w:type="dxa" w:w="1446"/>
            <w:vAlign w:val="top"/>
          </w:tcPr>
          <w:p>
            <w:pPr>
              <w:spacing w:after="0" w:line="240" w:lineRule="auto"/>
            </w:pPr>
            <w:r/>
            <w:r>
              <w:rPr>
                <w:rFonts w:ascii="Liberation Serif" w:hAnsi="Liberation Serif" w:eastAsia="Liberation Serif"/>
                <w:b w:val="0"/>
                <w:sz w:val="14"/>
              </w:rPr>
              <w:t>1,100</w:t>
            </w:r>
          </w:p>
        </w:tc>
      </w:tr>
      <w:tr>
        <w:tc>
          <w:tcPr>
            <w:tcW w:type="dxa" w:w="4762"/>
            <w:vAlign w:val="top"/>
          </w:tcPr>
          <w:p>
            <w:pPr>
              <w:spacing w:after="0" w:line="240" w:lineRule="auto"/>
            </w:pPr>
            <w:r/>
            <w:r>
              <w:rPr>
                <w:rFonts w:ascii="Liberation Serif" w:hAnsi="Liberation Serif" w:eastAsia="Liberation Serif"/>
                <w:b w:val="0"/>
                <w:sz w:val="14"/>
              </w:rPr>
              <w:t>Total contract price</w:t>
            </w:r>
          </w:p>
        </w:tc>
        <w:tc>
          <w:tcPr>
            <w:tcW w:type="dxa" w:w="1446"/>
            <w:vAlign w:val="top"/>
          </w:tcPr>
          <w:p>
            <w:pPr>
              <w:spacing w:after="0" w:line="240" w:lineRule="auto"/>
            </w:pPr>
            <w:r/>
            <w:r>
              <w:rPr>
                <w:rFonts w:ascii="Liberation Serif" w:hAnsi="Liberation Serif" w:eastAsia="Liberation Serif"/>
                <w:b w:val="0"/>
                <w:sz w:val="14"/>
              </w:rPr>
              <w:t>20,000</w:t>
            </w:r>
          </w:p>
        </w:tc>
        <w:tc>
          <w:tcPr>
            <w:tcW w:type="dxa" w:w="1446"/>
            <w:vAlign w:val="top"/>
          </w:tcPr>
          <w:p>
            <w:pPr>
              <w:spacing w:after="0" w:line="240" w:lineRule="auto"/>
            </w:pPr>
            <w:r/>
            <w:r>
              <w:rPr>
                <w:rFonts w:ascii="Liberation Serif" w:hAnsi="Liberation Serif" w:eastAsia="Liberation Serif"/>
                <w:b w:val="0"/>
                <w:sz w:val="14"/>
              </w:rPr>
              <w:t>20,350</w:t>
            </w:r>
          </w:p>
        </w:tc>
        <w:tc>
          <w:tcPr>
            <w:tcW w:type="dxa" w:w="1446"/>
            <w:vAlign w:val="top"/>
          </w:tcPr>
          <w:p>
            <w:pPr>
              <w:spacing w:after="0" w:line="240" w:lineRule="auto"/>
            </w:pPr>
            <w:r/>
            <w:r>
              <w:rPr>
                <w:rFonts w:ascii="Liberation Serif" w:hAnsi="Liberation Serif" w:eastAsia="Liberation Serif"/>
                <w:b w:val="0"/>
                <w:sz w:val="14"/>
              </w:rPr>
              <w:t>21,100</w:t>
            </w:r>
          </w:p>
        </w:tc>
      </w:tr>
      <w:tr>
        <w:tc>
          <w:tcPr>
            <w:tcW w:type="dxa" w:w="4762"/>
            <w:vAlign w:val="top"/>
          </w:tcPr>
          <w:p>
            <w:pPr>
              <w:spacing w:after="0" w:line="240" w:lineRule="auto"/>
            </w:pPr>
            <w:r/>
            <w:r>
              <w:rPr>
                <w:rFonts w:ascii="Liberation Serif" w:hAnsi="Liberation Serif" w:eastAsia="Liberation Serif"/>
                <w:b w:val="0"/>
                <w:sz w:val="14"/>
              </w:rPr>
              <w:t>Initial estimated contract cost</w:t>
            </w:r>
          </w:p>
        </w:tc>
        <w:tc>
          <w:tcPr>
            <w:tcW w:type="dxa" w:w="1446"/>
            <w:vAlign w:val="top"/>
          </w:tcPr>
          <w:p>
            <w:pPr>
              <w:spacing w:after="0" w:line="240" w:lineRule="auto"/>
            </w:pPr>
            <w:r/>
            <w:r>
              <w:rPr>
                <w:rFonts w:ascii="Liberation Serif" w:hAnsi="Liberation Serif" w:eastAsia="Liberation Serif"/>
                <w:b w:val="0"/>
                <w:sz w:val="14"/>
              </w:rPr>
              <w:t>18,000</w:t>
            </w:r>
          </w:p>
        </w:tc>
        <w:tc>
          <w:tcPr>
            <w:tcW w:type="dxa" w:w="1446"/>
            <w:vAlign w:val="top"/>
          </w:tcPr>
          <w:p>
            <w:pPr>
              <w:spacing w:after="0" w:line="240" w:lineRule="auto"/>
            </w:pPr>
            <w:r/>
            <w:r>
              <w:rPr>
                <w:rFonts w:ascii="Liberation Serif" w:hAnsi="Liberation Serif" w:eastAsia="Liberation Serif"/>
                <w:b w:val="0"/>
                <w:sz w:val="14"/>
              </w:rPr>
              <w:t>18,000</w:t>
            </w:r>
          </w:p>
        </w:tc>
        <w:tc>
          <w:tcPr>
            <w:tcW w:type="dxa" w:w="1446"/>
            <w:vAlign w:val="top"/>
          </w:tcPr>
          <w:p>
            <w:pPr>
              <w:spacing w:after="0" w:line="240" w:lineRule="auto"/>
            </w:pPr>
            <w:r/>
            <w:r>
              <w:rPr>
                <w:rFonts w:ascii="Liberation Serif" w:hAnsi="Liberation Serif" w:eastAsia="Liberation Serif"/>
                <w:b w:val="0"/>
                <w:sz w:val="14"/>
              </w:rPr>
              <w:t>18,000</w:t>
            </w:r>
          </w:p>
        </w:tc>
      </w:tr>
      <w:tr>
        <w:tc>
          <w:tcPr>
            <w:tcW w:type="dxa" w:w="4762"/>
            <w:vAlign w:val="top"/>
          </w:tcPr>
          <w:p>
            <w:pPr>
              <w:spacing w:after="0" w:line="240" w:lineRule="auto"/>
            </w:pPr>
            <w:r/>
            <w:r>
              <w:rPr>
                <w:rFonts w:ascii="Liberation Serif" w:hAnsi="Liberation Serif" w:eastAsia="Liberation Serif"/>
                <w:b w:val="0"/>
                <w:sz w:val="14"/>
              </w:rPr>
              <w:t>Additional estimated cost</w:t>
            </w:r>
          </w:p>
        </w:tc>
        <w:tc>
          <w:tcPr>
            <w:tcW w:type="dxa" w:w="1446"/>
            <w:vAlign w:val="top"/>
          </w:tcPr>
          <w:p>
            <w:pPr>
              <w:spacing w:after="0" w:line="240" w:lineRule="auto"/>
            </w:pPr>
            <w:r/>
            <w:r>
              <w:rPr>
                <w:rFonts w:ascii="Liberation Serif" w:hAnsi="Liberation Serif" w:eastAsia="Liberation Serif"/>
                <w:b w:val="0"/>
                <w:sz w:val="14"/>
              </w:rPr>
              <w:t>-</w:t>
            </w:r>
          </w:p>
        </w:tc>
        <w:tc>
          <w:tcPr>
            <w:tcW w:type="dxa" w:w="1446"/>
            <w:vAlign w:val="top"/>
          </w:tcPr>
          <w:p>
            <w:pPr>
              <w:spacing w:after="0" w:line="240" w:lineRule="auto"/>
            </w:pPr>
            <w:r/>
            <w:r>
              <w:rPr>
                <w:rFonts w:ascii="Liberation Serif" w:hAnsi="Liberation Serif" w:eastAsia="Liberation Serif"/>
                <w:b w:val="0"/>
                <w:sz w:val="14"/>
              </w:rPr>
              <w:t>3,000</w:t>
            </w:r>
          </w:p>
        </w:tc>
        <w:tc>
          <w:tcPr>
            <w:tcW w:type="dxa" w:w="1446"/>
            <w:vAlign w:val="top"/>
          </w:tcPr>
          <w:p>
            <w:pPr>
              <w:spacing w:after="0" w:line="240" w:lineRule="auto"/>
            </w:pPr>
            <w:r/>
            <w:r>
              <w:rPr>
                <w:rFonts w:ascii="Liberation Serif" w:hAnsi="Liberation Serif" w:eastAsia="Liberation Serif"/>
                <w:b w:val="0"/>
                <w:sz w:val="14"/>
              </w:rPr>
              <w:t>3,050</w:t>
            </w:r>
          </w:p>
        </w:tc>
      </w:tr>
      <w:tr>
        <w:tc>
          <w:tcPr>
            <w:tcW w:type="dxa" w:w="4762"/>
            <w:vAlign w:val="top"/>
          </w:tcPr>
          <w:p>
            <w:pPr>
              <w:spacing w:after="0" w:line="240" w:lineRule="auto"/>
            </w:pPr>
            <w:r/>
            <w:r>
              <w:rPr>
                <w:rFonts w:ascii="Liberation Serif" w:hAnsi="Liberation Serif" w:eastAsia="Liberation Serif"/>
                <w:b w:val="0"/>
                <w:sz w:val="14"/>
              </w:rPr>
              <w:t>Total estimated cost</w:t>
            </w:r>
          </w:p>
        </w:tc>
        <w:tc>
          <w:tcPr>
            <w:tcW w:type="dxa" w:w="1446"/>
            <w:vAlign w:val="top"/>
          </w:tcPr>
          <w:p>
            <w:pPr>
              <w:spacing w:after="0" w:line="240" w:lineRule="auto"/>
            </w:pPr>
            <w:r/>
            <w:r>
              <w:rPr>
                <w:rFonts w:ascii="Liberation Serif" w:hAnsi="Liberation Serif" w:eastAsia="Liberation Serif"/>
                <w:b w:val="0"/>
                <w:sz w:val="14"/>
              </w:rPr>
              <w:t>18,000</w:t>
            </w:r>
          </w:p>
        </w:tc>
        <w:tc>
          <w:tcPr>
            <w:tcW w:type="dxa" w:w="1446"/>
            <w:vAlign w:val="top"/>
          </w:tcPr>
          <w:p>
            <w:pPr>
              <w:spacing w:after="0" w:line="240" w:lineRule="auto"/>
            </w:pPr>
            <w:r/>
            <w:r>
              <w:rPr>
                <w:rFonts w:ascii="Liberation Serif" w:hAnsi="Liberation Serif" w:eastAsia="Liberation Serif"/>
                <w:b w:val="0"/>
                <w:sz w:val="14"/>
              </w:rPr>
              <w:t>21,000</w:t>
            </w:r>
          </w:p>
        </w:tc>
        <w:tc>
          <w:tcPr>
            <w:tcW w:type="dxa" w:w="1446"/>
            <w:vAlign w:val="top"/>
          </w:tcPr>
          <w:p>
            <w:pPr>
              <w:spacing w:after="0" w:line="240" w:lineRule="auto"/>
            </w:pPr>
            <w:r/>
            <w:r>
              <w:rPr>
                <w:rFonts w:ascii="Liberation Serif" w:hAnsi="Liberation Serif" w:eastAsia="Liberation Serif"/>
                <w:b w:val="0"/>
                <w:sz w:val="14"/>
              </w:rPr>
              <w:t>21,050</w:t>
            </w:r>
          </w:p>
        </w:tc>
      </w:tr>
      <w:tr>
        <w:tc>
          <w:tcPr>
            <w:tcW w:type="dxa" w:w="4762"/>
            <w:vAlign w:val="top"/>
          </w:tcPr>
          <w:p>
            <w:pPr>
              <w:spacing w:after="0" w:line="240" w:lineRule="auto"/>
            </w:pPr>
            <w:r/>
            <w:r>
              <w:rPr>
                <w:rFonts w:ascii="Liberation Serif" w:hAnsi="Liberation Serif" w:eastAsia="Liberation Serif"/>
                <w:b w:val="0"/>
                <w:sz w:val="14"/>
              </w:rPr>
              <w:t>Cost of this year</w:t>
            </w:r>
          </w:p>
        </w:tc>
        <w:tc>
          <w:tcPr>
            <w:tcW w:type="dxa" w:w="1446"/>
            <w:vAlign w:val="top"/>
          </w:tcPr>
          <w:p>
            <w:pPr>
              <w:spacing w:after="0" w:line="240" w:lineRule="auto"/>
            </w:pPr>
            <w:r/>
            <w:r>
              <w:rPr>
                <w:rFonts w:ascii="Liberation Serif" w:hAnsi="Liberation Serif" w:eastAsia="Liberation Serif"/>
                <w:b w:val="0"/>
                <w:sz w:val="14"/>
              </w:rPr>
              <w:t>9,000</w:t>
            </w:r>
          </w:p>
        </w:tc>
        <w:tc>
          <w:tcPr>
            <w:tcW w:type="dxa" w:w="1446"/>
            <w:vAlign w:val="top"/>
          </w:tcPr>
          <w:p>
            <w:pPr>
              <w:spacing w:after="0" w:line="240" w:lineRule="auto"/>
            </w:pPr>
            <w:r/>
            <w:r>
              <w:rPr>
                <w:rFonts w:ascii="Liberation Serif" w:hAnsi="Liberation Serif" w:eastAsia="Liberation Serif"/>
                <w:b w:val="0"/>
                <w:sz w:val="14"/>
              </w:rPr>
              <w:t>4,620</w:t>
            </w:r>
          </w:p>
        </w:tc>
        <w:tc>
          <w:tcPr>
            <w:tcW w:type="dxa" w:w="1446"/>
            <w:vAlign w:val="top"/>
          </w:tcPr>
          <w:p>
            <w:pPr>
              <w:spacing w:after="0" w:line="240" w:lineRule="auto"/>
            </w:pPr>
            <w:r/>
            <w:r>
              <w:rPr>
                <w:rFonts w:ascii="Liberation Serif" w:hAnsi="Liberation Serif" w:eastAsia="Liberation Serif"/>
                <w:b w:val="0"/>
                <w:sz w:val="14"/>
              </w:rPr>
              <w:t>7,430</w:t>
            </w:r>
          </w:p>
        </w:tc>
      </w:tr>
      <w:tr>
        <w:tc>
          <w:tcPr>
            <w:tcW w:type="dxa" w:w="4762"/>
            <w:vAlign w:val="top"/>
          </w:tcPr>
          <w:p>
            <w:pPr>
              <w:spacing w:after="0" w:line="240" w:lineRule="auto"/>
            </w:pPr>
            <w:r/>
            <w:r>
              <w:rPr>
                <w:rFonts w:ascii="Liberation Serif" w:hAnsi="Liberation Serif" w:eastAsia="Liberation Serif"/>
                <w:b w:val="0"/>
                <w:sz w:val="14"/>
              </w:rPr>
              <w:t>Cost to date</w:t>
            </w:r>
          </w:p>
        </w:tc>
        <w:tc>
          <w:tcPr>
            <w:tcW w:type="dxa" w:w="1446"/>
            <w:vAlign w:val="top"/>
          </w:tcPr>
          <w:p>
            <w:pPr>
              <w:spacing w:after="0" w:line="240" w:lineRule="auto"/>
            </w:pPr>
            <w:r/>
            <w:r>
              <w:rPr>
                <w:rFonts w:ascii="Liberation Serif" w:hAnsi="Liberation Serif" w:eastAsia="Liberation Serif"/>
                <w:b w:val="0"/>
                <w:sz w:val="14"/>
              </w:rPr>
              <w:t>9,000</w:t>
            </w:r>
          </w:p>
        </w:tc>
        <w:tc>
          <w:tcPr>
            <w:tcW w:type="dxa" w:w="1446"/>
            <w:vAlign w:val="top"/>
          </w:tcPr>
          <w:p>
            <w:pPr>
              <w:spacing w:after="0" w:line="240" w:lineRule="auto"/>
            </w:pPr>
            <w:r/>
            <w:r>
              <w:rPr>
                <w:rFonts w:ascii="Liberation Serif" w:hAnsi="Liberation Serif" w:eastAsia="Liberation Serif"/>
                <w:b w:val="0"/>
                <w:sz w:val="14"/>
              </w:rPr>
              <w:t>13,620</w:t>
            </w:r>
          </w:p>
        </w:tc>
        <w:tc>
          <w:tcPr>
            <w:tcW w:type="dxa" w:w="1446"/>
            <w:vAlign w:val="top"/>
          </w:tcPr>
          <w:p>
            <w:pPr>
              <w:spacing w:after="0" w:line="240" w:lineRule="auto"/>
            </w:pPr>
            <w:r/>
            <w:r>
              <w:rPr>
                <w:rFonts w:ascii="Liberation Serif" w:hAnsi="Liberation Serif" w:eastAsia="Liberation Serif"/>
                <w:b w:val="0"/>
                <w:sz w:val="14"/>
              </w:rPr>
              <w:t>21,050</w:t>
            </w:r>
          </w:p>
        </w:tc>
      </w:tr>
      <w:tr>
        <w:tc>
          <w:tcPr>
            <w:tcW w:type="dxa" w:w="4762"/>
            <w:vAlign w:val="top"/>
          </w:tcPr>
          <w:p>
            <w:pPr>
              <w:spacing w:after="0" w:line="240" w:lineRule="auto"/>
            </w:pPr>
            <w:r/>
            <w:r>
              <w:rPr>
                <w:rFonts w:ascii="Liberation Serif" w:hAnsi="Liberation Serif" w:eastAsia="Liberation Serif"/>
                <w:b w:val="0"/>
                <w:sz w:val="14"/>
              </w:rPr>
              <w:t>Further estimated cost to complete</w:t>
            </w:r>
          </w:p>
        </w:tc>
        <w:tc>
          <w:tcPr>
            <w:tcW w:type="dxa" w:w="1446"/>
            <w:vAlign w:val="top"/>
          </w:tcPr>
          <w:p>
            <w:pPr>
              <w:spacing w:after="0" w:line="240" w:lineRule="auto"/>
            </w:pPr>
            <w:r/>
            <w:r>
              <w:rPr>
                <w:rFonts w:ascii="Liberation Serif" w:hAnsi="Liberation Serif" w:eastAsia="Liberation Serif"/>
                <w:b w:val="0"/>
                <w:sz w:val="14"/>
              </w:rPr>
              <w:t>9,000</w:t>
            </w:r>
          </w:p>
        </w:tc>
        <w:tc>
          <w:tcPr>
            <w:tcW w:type="dxa" w:w="1446"/>
            <w:vAlign w:val="top"/>
          </w:tcPr>
          <w:p>
            <w:pPr>
              <w:spacing w:after="0" w:line="240" w:lineRule="auto"/>
            </w:pPr>
            <w:r/>
            <w:r>
              <w:rPr>
                <w:rFonts w:ascii="Liberation Serif" w:hAnsi="Liberation Serif" w:eastAsia="Liberation Serif"/>
                <w:b w:val="0"/>
                <w:sz w:val="14"/>
              </w:rPr>
              <w:t>7,380</w:t>
            </w:r>
          </w:p>
        </w:tc>
        <w:tc>
          <w:tcPr>
            <w:tcW w:type="dxa" w:w="1446"/>
            <w:vAlign w:val="top"/>
          </w:tcPr>
          <w:p>
            <w:pPr>
              <w:spacing w:after="0" w:line="240" w:lineRule="auto"/>
            </w:pPr>
            <w:r/>
            <w:r>
              <w:rPr>
                <w:rFonts w:ascii="Liberation Serif" w:hAnsi="Liberation Serif" w:eastAsia="Liberation Serif"/>
                <w:b w:val="0"/>
                <w:sz w:val="14"/>
              </w:rPr>
              <w:t>-</w:t>
            </w:r>
          </w:p>
        </w:tc>
      </w:tr>
      <w:tr>
        <w:tc>
          <w:tcPr>
            <w:tcW w:type="dxa" w:w="4762"/>
            <w:vAlign w:val="top"/>
          </w:tcPr>
          <w:p>
            <w:pPr>
              <w:spacing w:after="0" w:line="240" w:lineRule="auto"/>
            </w:pPr>
            <w:r/>
            <w:r>
              <w:rPr>
                <w:rFonts w:ascii="Liberation Serif" w:hAnsi="Liberation Serif" w:eastAsia="Liberation Serif"/>
                <w:b w:val="0"/>
                <w:sz w:val="14"/>
              </w:rPr>
              <w:t>Estimated profit / (loss)</w:t>
            </w:r>
          </w:p>
        </w:tc>
        <w:tc>
          <w:tcPr>
            <w:tcW w:type="dxa" w:w="1446"/>
            <w:vAlign w:val="top"/>
          </w:tcPr>
          <w:p>
            <w:pPr>
              <w:spacing w:after="0" w:line="240" w:lineRule="auto"/>
            </w:pPr>
            <w:r/>
            <w:r>
              <w:rPr>
                <w:rFonts w:ascii="Liberation Serif" w:hAnsi="Liberation Serif" w:eastAsia="Liberation Serif"/>
                <w:b w:val="0"/>
                <w:sz w:val="14"/>
              </w:rPr>
              <w:t>2,000</w:t>
            </w:r>
          </w:p>
        </w:tc>
        <w:tc>
          <w:tcPr>
            <w:tcW w:type="dxa" w:w="1446"/>
            <w:vAlign w:val="top"/>
          </w:tcPr>
          <w:p>
            <w:pPr>
              <w:spacing w:after="0" w:line="240" w:lineRule="auto"/>
            </w:pPr>
            <w:r/>
            <w:r>
              <w:rPr>
                <w:rFonts w:ascii="Liberation Serif" w:hAnsi="Liberation Serif" w:eastAsia="Liberation Serif"/>
                <w:b w:val="0"/>
                <w:sz w:val="14"/>
              </w:rPr>
              <w:t>(650)</w:t>
            </w:r>
          </w:p>
        </w:tc>
        <w:tc>
          <w:tcPr>
            <w:tcW w:type="dxa" w:w="1446"/>
            <w:vAlign w:val="top"/>
          </w:tcPr>
          <w:p>
            <w:pPr>
              <w:spacing w:after="0" w:line="240" w:lineRule="auto"/>
            </w:pPr>
            <w:r/>
            <w:r>
              <w:rPr>
                <w:rFonts w:ascii="Liberation Serif" w:hAnsi="Liberation Serif" w:eastAsia="Liberation Serif"/>
                <w:b w:val="0"/>
                <w:sz w:val="14"/>
              </w:rPr>
              <w:t>50</w:t>
            </w:r>
          </w:p>
        </w:tc>
      </w:tr>
      <w:tr>
        <w:tc>
          <w:tcPr>
            <w:tcW w:type="dxa" w:w="4762"/>
            <w:vAlign w:val="top"/>
          </w:tcPr>
          <w:p>
            <w:pPr>
              <w:spacing w:after="0" w:line="240" w:lineRule="auto"/>
            </w:pPr>
            <w:r/>
            <w:r>
              <w:rPr>
                <w:rFonts w:ascii="Liberation Serif" w:hAnsi="Liberation Serif" w:eastAsia="Liberation Serif"/>
                <w:b w:val="0"/>
                <w:sz w:val="14"/>
              </w:rPr>
              <w:t>Total completion percentage</w:t>
            </w:r>
          </w:p>
        </w:tc>
        <w:tc>
          <w:tcPr>
            <w:tcW w:type="dxa" w:w="1446"/>
            <w:vAlign w:val="top"/>
          </w:tcPr>
          <w:p>
            <w:pPr>
              <w:spacing w:after="0" w:line="240" w:lineRule="auto"/>
            </w:pPr>
            <w:r/>
            <w:r>
              <w:rPr>
                <w:rFonts w:ascii="Liberation Serif" w:hAnsi="Liberation Serif" w:eastAsia="Liberation Serif"/>
                <w:b w:val="0"/>
                <w:sz w:val="14"/>
              </w:rPr>
              <w:t>50%</w:t>
            </w:r>
          </w:p>
        </w:tc>
        <w:tc>
          <w:tcPr>
            <w:tcW w:type="dxa" w:w="1446"/>
            <w:vAlign w:val="top"/>
          </w:tcPr>
          <w:p>
            <w:pPr>
              <w:spacing w:after="0" w:line="240" w:lineRule="auto"/>
            </w:pPr>
            <w:r/>
            <w:r>
              <w:rPr>
                <w:rFonts w:ascii="Liberation Serif" w:hAnsi="Liberation Serif" w:eastAsia="Liberation Serif"/>
                <w:b w:val="0"/>
                <w:sz w:val="14"/>
              </w:rPr>
              <w:t>64.86%</w:t>
            </w:r>
          </w:p>
        </w:tc>
        <w:tc>
          <w:tcPr>
            <w:tcW w:type="dxa" w:w="1446"/>
            <w:vAlign w:val="top"/>
          </w:tcPr>
          <w:p>
            <w:pPr>
              <w:spacing w:after="0" w:line="240" w:lineRule="auto"/>
            </w:pPr>
            <w:r/>
            <w:r>
              <w:rPr>
                <w:rFonts w:ascii="Liberation Serif" w:hAnsi="Liberation Serif" w:eastAsia="Liberation Serif"/>
                <w:b w:val="0"/>
                <w:sz w:val="14"/>
              </w:rPr>
              <w:t>100%</w:t>
            </w:r>
          </w:p>
        </w:tc>
      </w:tr>
      <w:tr>
        <w:tc>
          <w:tcPr>
            <w:tcW w:type="dxa" w:w="4762"/>
            <w:vAlign w:val="top"/>
          </w:tcPr>
          <w:p>
            <w:pPr>
              <w:spacing w:after="0" w:line="240" w:lineRule="auto"/>
            </w:pPr>
            <w:r/>
            <w:r>
              <w:rPr>
                <w:rFonts w:ascii="Liberation Serif" w:hAnsi="Liberation Serif" w:eastAsia="Liberation Serif"/>
                <w:b w:val="0"/>
                <w:sz w:val="14"/>
              </w:rPr>
              <w:t>Income inclusion: completion % × contract price</w:t>
            </w:r>
          </w:p>
        </w:tc>
        <w:tc>
          <w:tcPr>
            <w:tcW w:type="dxa" w:w="1446"/>
            <w:vAlign w:val="top"/>
          </w:tcPr>
          <w:p>
            <w:pPr>
              <w:spacing w:after="0" w:line="240" w:lineRule="auto"/>
            </w:pPr>
            <w:r/>
            <w:r>
              <w:rPr>
                <w:rFonts w:ascii="Liberation Serif" w:hAnsi="Liberation Serif" w:eastAsia="Liberation Serif"/>
                <w:b w:val="0"/>
                <w:sz w:val="14"/>
              </w:rPr>
              <w:t>10,000</w:t>
            </w:r>
          </w:p>
        </w:tc>
        <w:tc>
          <w:tcPr>
            <w:tcW w:type="dxa" w:w="1446"/>
            <w:vAlign w:val="top"/>
          </w:tcPr>
          <w:p>
            <w:pPr>
              <w:spacing w:after="0" w:line="240" w:lineRule="auto"/>
            </w:pPr>
            <w:r/>
            <w:r>
              <w:rPr>
                <w:rFonts w:ascii="Liberation Serif" w:hAnsi="Liberation Serif" w:eastAsia="Liberation Serif"/>
                <w:b w:val="0"/>
                <w:sz w:val="14"/>
              </w:rPr>
              <w:t>13,199</w:t>
            </w:r>
          </w:p>
        </w:tc>
        <w:tc>
          <w:tcPr>
            <w:tcW w:type="dxa" w:w="1446"/>
            <w:vAlign w:val="top"/>
          </w:tcPr>
          <w:p>
            <w:pPr>
              <w:spacing w:after="0" w:line="240" w:lineRule="auto"/>
            </w:pPr>
            <w:r/>
            <w:r>
              <w:rPr>
                <w:rFonts w:ascii="Liberation Serif" w:hAnsi="Liberation Serif" w:eastAsia="Liberation Serif"/>
                <w:b w:val="0"/>
                <w:sz w:val="14"/>
              </w:rPr>
              <w:t>21,100</w:t>
            </w:r>
          </w:p>
        </w:tc>
      </w:tr>
      <w:tr>
        <w:tc>
          <w:tcPr>
            <w:tcW w:type="dxa" w:w="4762"/>
            <w:vAlign w:val="top"/>
          </w:tcPr>
          <w:p>
            <w:pPr>
              <w:spacing w:after="0" w:line="240" w:lineRule="auto"/>
            </w:pPr>
            <w:r/>
            <w:r>
              <w:rPr>
                <w:rFonts w:ascii="Liberation Serif" w:hAnsi="Liberation Serif" w:eastAsia="Liberation Serif"/>
                <w:b w:val="0"/>
                <w:sz w:val="14"/>
              </w:rPr>
              <w:t>Less: amount included up to previous year</w:t>
            </w:r>
          </w:p>
        </w:tc>
        <w:tc>
          <w:tcPr>
            <w:tcW w:type="dxa" w:w="1446"/>
            <w:vAlign w:val="top"/>
          </w:tcPr>
          <w:p>
            <w:pPr>
              <w:spacing w:after="0" w:line="240" w:lineRule="auto"/>
            </w:pPr>
            <w:r/>
            <w:r>
              <w:rPr>
                <w:rFonts w:ascii="Liberation Serif" w:hAnsi="Liberation Serif" w:eastAsia="Liberation Serif"/>
                <w:b w:val="0"/>
                <w:sz w:val="14"/>
              </w:rPr>
              <w:t>-</w:t>
            </w:r>
          </w:p>
        </w:tc>
        <w:tc>
          <w:tcPr>
            <w:tcW w:type="dxa" w:w="1446"/>
            <w:vAlign w:val="top"/>
          </w:tcPr>
          <w:p>
            <w:pPr>
              <w:spacing w:after="0" w:line="240" w:lineRule="auto"/>
            </w:pPr>
            <w:r/>
            <w:r>
              <w:rPr>
                <w:rFonts w:ascii="Liberation Serif" w:hAnsi="Liberation Serif" w:eastAsia="Liberation Serif"/>
                <w:b w:val="0"/>
                <w:sz w:val="14"/>
              </w:rPr>
              <w:t>(10,000)</w:t>
            </w:r>
          </w:p>
        </w:tc>
        <w:tc>
          <w:tcPr>
            <w:tcW w:type="dxa" w:w="1446"/>
            <w:vAlign w:val="top"/>
          </w:tcPr>
          <w:p>
            <w:pPr>
              <w:spacing w:after="0" w:line="240" w:lineRule="auto"/>
            </w:pPr>
            <w:r/>
            <w:r>
              <w:rPr>
                <w:rFonts w:ascii="Liberation Serif" w:hAnsi="Liberation Serif" w:eastAsia="Liberation Serif"/>
                <w:b w:val="0"/>
                <w:sz w:val="14"/>
              </w:rPr>
              <w:t>(13,199)</w:t>
            </w:r>
          </w:p>
        </w:tc>
      </w:tr>
      <w:tr>
        <w:tc>
          <w:tcPr>
            <w:tcW w:type="dxa" w:w="4762"/>
            <w:vAlign w:val="top"/>
          </w:tcPr>
          <w:p>
            <w:pPr>
              <w:spacing w:after="0" w:line="240" w:lineRule="auto"/>
            </w:pPr>
            <w:r/>
            <w:r>
              <w:rPr>
                <w:rFonts w:ascii="Liberation Serif" w:hAnsi="Liberation Serif" w:eastAsia="Liberation Serif"/>
                <w:b w:val="0"/>
                <w:sz w:val="14"/>
              </w:rPr>
              <w:t>Income inclusion of this year</w:t>
            </w:r>
          </w:p>
        </w:tc>
        <w:tc>
          <w:tcPr>
            <w:tcW w:type="dxa" w:w="1446"/>
            <w:vAlign w:val="top"/>
          </w:tcPr>
          <w:p>
            <w:pPr>
              <w:spacing w:after="0" w:line="240" w:lineRule="auto"/>
            </w:pPr>
            <w:r/>
            <w:r>
              <w:rPr>
                <w:rFonts w:ascii="Liberation Serif" w:hAnsi="Liberation Serif" w:eastAsia="Liberation Serif"/>
                <w:b w:val="0"/>
                <w:sz w:val="14"/>
              </w:rPr>
              <w:t>10,000</w:t>
            </w:r>
          </w:p>
        </w:tc>
        <w:tc>
          <w:tcPr>
            <w:tcW w:type="dxa" w:w="1446"/>
            <w:vAlign w:val="top"/>
          </w:tcPr>
          <w:p>
            <w:pPr>
              <w:spacing w:after="0" w:line="240" w:lineRule="auto"/>
            </w:pPr>
            <w:r/>
            <w:r>
              <w:rPr>
                <w:rFonts w:ascii="Liberation Serif" w:hAnsi="Liberation Serif" w:eastAsia="Liberation Serif"/>
                <w:b w:val="0"/>
                <w:sz w:val="14"/>
              </w:rPr>
              <w:t>3,199</w:t>
            </w:r>
          </w:p>
        </w:tc>
        <w:tc>
          <w:tcPr>
            <w:tcW w:type="dxa" w:w="1446"/>
            <w:vAlign w:val="top"/>
          </w:tcPr>
          <w:p>
            <w:pPr>
              <w:spacing w:after="0" w:line="240" w:lineRule="auto"/>
            </w:pPr>
            <w:r/>
            <w:r>
              <w:rPr>
                <w:rFonts w:ascii="Liberation Serif" w:hAnsi="Liberation Serif" w:eastAsia="Liberation Serif"/>
                <w:b w:val="0"/>
                <w:sz w:val="14"/>
              </w:rPr>
              <w:t>7,901</w:t>
            </w:r>
          </w:p>
        </w:tc>
      </w:tr>
      <w:tr>
        <w:tc>
          <w:tcPr>
            <w:tcW w:type="dxa" w:w="4762"/>
            <w:vAlign w:val="top"/>
          </w:tcPr>
          <w:p>
            <w:pPr>
              <w:spacing w:after="0" w:line="240" w:lineRule="auto"/>
            </w:pPr>
            <w:r/>
            <w:r>
              <w:rPr>
                <w:rFonts w:ascii="Liberation Serif" w:hAnsi="Liberation Serif" w:eastAsia="Liberation Serif"/>
                <w:b w:val="0"/>
                <w:sz w:val="14"/>
              </w:rPr>
              <w:t>Cumulative deduction claim</w:t>
            </w:r>
          </w:p>
        </w:tc>
        <w:tc>
          <w:tcPr>
            <w:tcW w:type="dxa" w:w="1446"/>
            <w:vAlign w:val="top"/>
          </w:tcPr>
          <w:p>
            <w:pPr>
              <w:spacing w:after="0" w:line="240" w:lineRule="auto"/>
            </w:pPr>
            <w:r/>
            <w:r>
              <w:rPr>
                <w:rFonts w:ascii="Liberation Serif" w:hAnsi="Liberation Serif" w:eastAsia="Liberation Serif"/>
                <w:b w:val="0"/>
                <w:sz w:val="14"/>
              </w:rPr>
              <w:t>9,000</w:t>
            </w:r>
          </w:p>
        </w:tc>
        <w:tc>
          <w:tcPr>
            <w:tcW w:type="dxa" w:w="1446"/>
            <w:vAlign w:val="top"/>
          </w:tcPr>
          <w:p>
            <w:pPr>
              <w:spacing w:after="0" w:line="240" w:lineRule="auto"/>
            </w:pPr>
            <w:r/>
            <w:r>
              <w:rPr>
                <w:rFonts w:ascii="Liberation Serif" w:hAnsi="Liberation Serif" w:eastAsia="Liberation Serif"/>
                <w:b w:val="0"/>
                <w:sz w:val="14"/>
              </w:rPr>
              <w:t>13,620</w:t>
            </w:r>
          </w:p>
        </w:tc>
        <w:tc>
          <w:tcPr>
            <w:tcW w:type="dxa" w:w="1446"/>
            <w:vAlign w:val="top"/>
          </w:tcPr>
          <w:p>
            <w:pPr>
              <w:spacing w:after="0" w:line="240" w:lineRule="auto"/>
            </w:pPr>
            <w:r/>
            <w:r>
              <w:rPr>
                <w:rFonts w:ascii="Liberation Serif" w:hAnsi="Liberation Serif" w:eastAsia="Liberation Serif"/>
                <w:b w:val="0"/>
                <w:sz w:val="14"/>
              </w:rPr>
              <w:t>21,050</w:t>
            </w:r>
          </w:p>
        </w:tc>
      </w:tr>
      <w:tr>
        <w:tc>
          <w:tcPr>
            <w:tcW w:type="dxa" w:w="4762"/>
            <w:vAlign w:val="top"/>
          </w:tcPr>
          <w:p>
            <w:pPr>
              <w:spacing w:after="0" w:line="240" w:lineRule="auto"/>
            </w:pPr>
            <w:r/>
            <w:r>
              <w:rPr>
                <w:rFonts w:ascii="Liberation Serif" w:hAnsi="Liberation Serif" w:eastAsia="Liberation Serif"/>
                <w:b w:val="0"/>
                <w:sz w:val="14"/>
              </w:rPr>
              <w:t>Less: deduction claimed up to previous year</w:t>
            </w:r>
          </w:p>
        </w:tc>
        <w:tc>
          <w:tcPr>
            <w:tcW w:type="dxa" w:w="1446"/>
            <w:vAlign w:val="top"/>
          </w:tcPr>
          <w:p>
            <w:pPr>
              <w:spacing w:after="0" w:line="240" w:lineRule="auto"/>
            </w:pPr>
            <w:r/>
            <w:r>
              <w:rPr>
                <w:rFonts w:ascii="Liberation Serif" w:hAnsi="Liberation Serif" w:eastAsia="Liberation Serif"/>
                <w:b w:val="0"/>
                <w:sz w:val="14"/>
              </w:rPr>
              <w:t>-</w:t>
            </w:r>
          </w:p>
        </w:tc>
        <w:tc>
          <w:tcPr>
            <w:tcW w:type="dxa" w:w="1446"/>
            <w:vAlign w:val="top"/>
          </w:tcPr>
          <w:p>
            <w:pPr>
              <w:spacing w:after="0" w:line="240" w:lineRule="auto"/>
            </w:pPr>
            <w:r/>
            <w:r>
              <w:rPr>
                <w:rFonts w:ascii="Liberation Serif" w:hAnsi="Liberation Serif" w:eastAsia="Liberation Serif"/>
                <w:b w:val="0"/>
                <w:sz w:val="14"/>
              </w:rPr>
              <w:t>(9,000)</w:t>
            </w:r>
          </w:p>
        </w:tc>
        <w:tc>
          <w:tcPr>
            <w:tcW w:type="dxa" w:w="1446"/>
            <w:vAlign w:val="top"/>
          </w:tcPr>
          <w:p>
            <w:pPr>
              <w:spacing w:after="0" w:line="240" w:lineRule="auto"/>
            </w:pPr>
            <w:r/>
            <w:r>
              <w:rPr>
                <w:rFonts w:ascii="Liberation Serif" w:hAnsi="Liberation Serif" w:eastAsia="Liberation Serif"/>
                <w:b w:val="0"/>
                <w:sz w:val="14"/>
              </w:rPr>
              <w:t>(13,620)</w:t>
            </w:r>
          </w:p>
        </w:tc>
      </w:tr>
      <w:tr>
        <w:tc>
          <w:tcPr>
            <w:tcW w:type="dxa" w:w="4762"/>
            <w:vAlign w:val="top"/>
          </w:tcPr>
          <w:p>
            <w:pPr>
              <w:spacing w:after="0" w:line="240" w:lineRule="auto"/>
            </w:pPr>
            <w:r/>
            <w:r>
              <w:rPr>
                <w:rFonts w:ascii="Liberation Serif" w:hAnsi="Liberation Serif" w:eastAsia="Liberation Serif"/>
                <w:b w:val="0"/>
                <w:sz w:val="14"/>
              </w:rPr>
              <w:t>Previous year loss under Section 20(1)(b)</w:t>
            </w:r>
          </w:p>
        </w:tc>
        <w:tc>
          <w:tcPr>
            <w:tcW w:type="dxa" w:w="1446"/>
            <w:vAlign w:val="top"/>
          </w:tcPr>
          <w:p>
            <w:pPr>
              <w:spacing w:after="0" w:line="240" w:lineRule="auto"/>
            </w:pPr>
            <w:r/>
            <w:r>
              <w:rPr>
                <w:rFonts w:ascii="Liberation Serif" w:hAnsi="Liberation Serif" w:eastAsia="Liberation Serif"/>
                <w:b w:val="0"/>
                <w:sz w:val="14"/>
              </w:rPr>
              <w:t>-</w:t>
            </w:r>
          </w:p>
        </w:tc>
        <w:tc>
          <w:tcPr>
            <w:tcW w:type="dxa" w:w="1446"/>
            <w:vAlign w:val="top"/>
          </w:tcPr>
          <w:p>
            <w:pPr>
              <w:spacing w:after="0" w:line="240" w:lineRule="auto"/>
            </w:pPr>
            <w:r/>
            <w:r>
              <w:rPr>
                <w:rFonts w:ascii="Liberation Serif" w:hAnsi="Liberation Serif" w:eastAsia="Liberation Serif"/>
                <w:b w:val="0"/>
                <w:sz w:val="14"/>
              </w:rPr>
              <w:t>-</w:t>
            </w:r>
          </w:p>
        </w:tc>
        <w:tc>
          <w:tcPr>
            <w:tcW w:type="dxa" w:w="1446"/>
            <w:vAlign w:val="top"/>
          </w:tcPr>
          <w:p>
            <w:pPr>
              <w:spacing w:after="0" w:line="240" w:lineRule="auto"/>
            </w:pPr>
            <w:r/>
            <w:r>
              <w:rPr>
                <w:rFonts w:ascii="Liberation Serif" w:hAnsi="Liberation Serif" w:eastAsia="Liberation Serif"/>
                <w:b w:val="0"/>
                <w:sz w:val="14"/>
              </w:rPr>
              <w:t>1,421</w:t>
            </w:r>
          </w:p>
        </w:tc>
      </w:tr>
      <w:tr>
        <w:tc>
          <w:tcPr>
            <w:tcW w:type="dxa" w:w="4762"/>
            <w:vAlign w:val="top"/>
          </w:tcPr>
          <w:p>
            <w:pPr>
              <w:spacing w:after="0" w:line="240" w:lineRule="auto"/>
            </w:pPr>
            <w:r/>
            <w:r>
              <w:rPr>
                <w:rFonts w:ascii="Liberation Serif" w:hAnsi="Liberation Serif" w:eastAsia="Liberation Serif"/>
                <w:b w:val="0"/>
                <w:sz w:val="14"/>
              </w:rPr>
              <w:t>Deduction claim of this year</w:t>
            </w:r>
          </w:p>
        </w:tc>
        <w:tc>
          <w:tcPr>
            <w:tcW w:type="dxa" w:w="1446"/>
            <w:vAlign w:val="top"/>
          </w:tcPr>
          <w:p>
            <w:pPr>
              <w:spacing w:after="0" w:line="240" w:lineRule="auto"/>
            </w:pPr>
            <w:r/>
            <w:r>
              <w:rPr>
                <w:rFonts w:ascii="Liberation Serif" w:hAnsi="Liberation Serif" w:eastAsia="Liberation Serif"/>
                <w:b w:val="0"/>
                <w:sz w:val="14"/>
              </w:rPr>
              <w:t>9,000</w:t>
            </w:r>
          </w:p>
        </w:tc>
        <w:tc>
          <w:tcPr>
            <w:tcW w:type="dxa" w:w="1446"/>
            <w:vAlign w:val="top"/>
          </w:tcPr>
          <w:p>
            <w:pPr>
              <w:spacing w:after="0" w:line="240" w:lineRule="auto"/>
            </w:pPr>
            <w:r/>
            <w:r>
              <w:rPr>
                <w:rFonts w:ascii="Liberation Serif" w:hAnsi="Liberation Serif" w:eastAsia="Liberation Serif"/>
                <w:b w:val="0"/>
                <w:sz w:val="14"/>
              </w:rPr>
              <w:t>4,620</w:t>
            </w:r>
          </w:p>
        </w:tc>
        <w:tc>
          <w:tcPr>
            <w:tcW w:type="dxa" w:w="1446"/>
            <w:vAlign w:val="top"/>
          </w:tcPr>
          <w:p>
            <w:pPr>
              <w:spacing w:after="0" w:line="240" w:lineRule="auto"/>
            </w:pPr>
            <w:r/>
            <w:r>
              <w:rPr>
                <w:rFonts w:ascii="Liberation Serif" w:hAnsi="Liberation Serif" w:eastAsia="Liberation Serif"/>
                <w:b w:val="0"/>
                <w:sz w:val="14"/>
              </w:rPr>
              <w:t>8,851</w:t>
            </w:r>
          </w:p>
        </w:tc>
      </w:tr>
      <w:tr>
        <w:tc>
          <w:tcPr>
            <w:tcW w:type="dxa" w:w="4762"/>
            <w:vAlign w:val="top"/>
          </w:tcPr>
          <w:p>
            <w:pPr>
              <w:spacing w:after="0" w:line="240" w:lineRule="auto"/>
            </w:pPr>
            <w:r/>
            <w:r>
              <w:rPr>
                <w:rFonts w:ascii="Liberation Serif" w:hAnsi="Liberation Serif" w:eastAsia="Liberation Serif"/>
                <w:b w:val="0"/>
                <w:sz w:val="14"/>
              </w:rPr>
              <w:t>Income / (loss)</w:t>
            </w:r>
          </w:p>
        </w:tc>
        <w:tc>
          <w:tcPr>
            <w:tcW w:type="dxa" w:w="1446"/>
            <w:vAlign w:val="top"/>
          </w:tcPr>
          <w:p>
            <w:pPr>
              <w:spacing w:after="0" w:line="240" w:lineRule="auto"/>
            </w:pPr>
            <w:r/>
            <w:r>
              <w:rPr>
                <w:rFonts w:ascii="Liberation Serif" w:hAnsi="Liberation Serif" w:eastAsia="Liberation Serif"/>
                <w:b w:val="0"/>
                <w:sz w:val="14"/>
              </w:rPr>
              <w:t>1,000</w:t>
            </w:r>
          </w:p>
        </w:tc>
        <w:tc>
          <w:tcPr>
            <w:tcW w:type="dxa" w:w="1446"/>
            <w:vAlign w:val="top"/>
          </w:tcPr>
          <w:p>
            <w:pPr>
              <w:spacing w:after="0" w:line="240" w:lineRule="auto"/>
            </w:pPr>
            <w:r/>
            <w:r>
              <w:rPr>
                <w:rFonts w:ascii="Liberation Serif" w:hAnsi="Liberation Serif" w:eastAsia="Liberation Serif"/>
                <w:b w:val="0"/>
                <w:sz w:val="14"/>
              </w:rPr>
              <w:t>(1,421)</w:t>
            </w:r>
          </w:p>
        </w:tc>
        <w:tc>
          <w:tcPr>
            <w:tcW w:type="dxa" w:w="1446"/>
            <w:vAlign w:val="top"/>
          </w:tcPr>
          <w:p>
            <w:pPr>
              <w:spacing w:after="0" w:line="240" w:lineRule="auto"/>
            </w:pPr>
            <w:r/>
            <w:r>
              <w:rPr>
                <w:rFonts w:ascii="Liberation Serif" w:hAnsi="Liberation Serif" w:eastAsia="Liberation Serif"/>
                <w:b w:val="0"/>
                <w:sz w:val="14"/>
              </w:rPr>
              <w:t>(950)</w:t>
            </w:r>
          </w:p>
        </w:tc>
      </w:tr>
      <w:tr>
        <w:tc>
          <w:tcPr>
            <w:tcW w:type="dxa" w:w="4762"/>
            <w:vAlign w:val="top"/>
          </w:tcPr>
          <w:p>
            <w:pPr>
              <w:spacing w:after="0" w:line="240" w:lineRule="auto"/>
            </w:pPr>
            <w:r/>
            <w:r>
              <w:rPr>
                <w:rFonts w:ascii="Liberation Serif" w:hAnsi="Liberation Serif" w:eastAsia="Liberation Serif"/>
                <w:b w:val="0"/>
                <w:sz w:val="14"/>
              </w:rPr>
              <w:t>Loss carried back under Section 20(4)</w:t>
            </w:r>
          </w:p>
        </w:tc>
        <w:tc>
          <w:tcPr>
            <w:tcW w:type="dxa" w:w="1446"/>
            <w:vAlign w:val="top"/>
          </w:tcPr>
          <w:p>
            <w:pPr>
              <w:spacing w:after="0" w:line="240" w:lineRule="auto"/>
            </w:pPr>
            <w:r/>
            <w:r>
              <w:rPr>
                <w:rFonts w:ascii="Liberation Serif" w:hAnsi="Liberation Serif" w:eastAsia="Liberation Serif"/>
                <w:b w:val="0"/>
                <w:sz w:val="14"/>
              </w:rPr>
              <w:t>(950)</w:t>
            </w:r>
          </w:p>
        </w:tc>
        <w:tc>
          <w:tcPr>
            <w:tcW w:type="dxa" w:w="1446"/>
            <w:vAlign w:val="top"/>
          </w:tcPr>
          <w:p>
            <w:pPr>
              <w:spacing w:after="0" w:line="240" w:lineRule="auto"/>
            </w:pPr>
            <w:r/>
            <w:r>
              <w:rPr>
                <w:rFonts w:ascii="Liberation Serif" w:hAnsi="Liberation Serif" w:eastAsia="Liberation Serif"/>
                <w:b w:val="0"/>
                <w:sz w:val="14"/>
              </w:rPr>
              <w:t>-</w:t>
            </w:r>
          </w:p>
        </w:tc>
        <w:tc>
          <w:tcPr>
            <w:tcW w:type="dxa" w:w="1446"/>
            <w:vAlign w:val="top"/>
          </w:tcPr>
          <w:p>
            <w:pPr>
              <w:spacing w:after="0" w:line="240" w:lineRule="auto"/>
            </w:pPr>
            <w:r/>
            <w:r>
              <w:rPr>
                <w:rFonts w:ascii="Liberation Serif" w:hAnsi="Liberation Serif" w:eastAsia="Liberation Serif"/>
                <w:b w:val="0"/>
                <w:sz w:val="14"/>
              </w:rPr>
              <w:t>-</w:t>
            </w:r>
          </w:p>
        </w:tc>
      </w:tr>
    </w:tbl>
    <w:p/>
    <w:p>
      <w:pPr>
        <w:spacing w:after="80" w:line="252" w:lineRule="auto"/>
      </w:pPr>
      <w:r>
        <w:rPr>
          <w:rFonts w:ascii="Liberation Serif" w:hAnsi="Liberation Serif" w:eastAsia="Liberation Serif"/>
          <w:b w:val="0"/>
          <w:i w:val="0"/>
          <w:sz w:val="21"/>
        </w:rPr>
        <w:t>Example 20.14.2: In the example above, suppose that in the second year market prices increased and total contract cost was expected to reach Rs. 2.10 billion. The shopping mall owner refused to compensate the increased amount in that year. At the end of the third year, the parties agreed to a total payment of Rs. 2.11 billion, including variation order. The amounts to be included, deducted and adjusted as loss are shown in the table above.</w:t>
      </w:r>
    </w:p>
    <w:p>
      <w:pPr>
        <w:pStyle w:val="Heading2"/>
      </w:pPr>
      <w:r>
        <w:t>20.15 Miscellaneous</w:t>
      </w:r>
    </w:p>
    <w:p>
      <w:pPr>
        <w:spacing w:after="80" w:line="252" w:lineRule="auto"/>
      </w:pPr>
      <w:r>
        <w:rPr>
          <w:rFonts w:ascii="Liberation Serif" w:hAnsi="Liberation Serif" w:eastAsia="Liberation Serif"/>
          <w:b w:val="0"/>
          <w:i w:val="0"/>
          <w:sz w:val="21"/>
        </w:rPr>
        <w:t>The following matters relate to filing of income returns, documents to be maintained and submitted, and adjustment where income differs.</w:t>
      </w:r>
    </w:p>
    <w:p>
      <w:pPr>
        <w:pStyle w:val="Heading3"/>
      </w:pPr>
      <w:r>
        <w:t>20.15.1 Provision relating to filing of income return</w:t>
      </w:r>
    </w:p>
    <w:p>
      <w:pPr>
        <w:spacing w:after="80" w:line="252" w:lineRule="auto"/>
      </w:pPr>
      <w:r>
        <w:rPr>
          <w:rFonts w:ascii="Liberation Serif" w:hAnsi="Liberation Serif" w:eastAsia="Liberation Serif"/>
          <w:b w:val="0"/>
          <w:i w:val="0"/>
          <w:sz w:val="21"/>
        </w:rPr>
        <w:t>Income from long-term contracts must be computed under Section 26 and Rule 12, and the related income return must be filed under Section 96. Under Section 96(1), every person must file the return with the concerned office within three months after the end of the income year, or within the extended period if an extension is granted. Chapter 25 of this Directive explains filing of income returns in detail.</w:t>
      </w:r>
    </w:p>
    <w:p>
      <w:pPr>
        <w:spacing w:after="80" w:line="252" w:lineRule="auto"/>
      </w:pPr>
      <w:r>
        <w:rPr>
          <w:rFonts w:ascii="Liberation Serif" w:hAnsi="Liberation Serif" w:eastAsia="Liberation Serif"/>
          <w:b w:val="0"/>
          <w:i w:val="0"/>
          <w:sz w:val="21"/>
        </w:rPr>
        <w:t>A taxpayer having income from a long-term contract must also pay tax in instalments. Taxable income is computed on the basis of estimated income determined by the percentage of completion, and instalment tax is deposited as follows: 40 percent of the tax payable by the end of Poush, 70 percent by the end of Chaitra, and the remaining amount by the end of Ashad. Chapter 24 of this Directive explains instalment tax in detail.</w:t>
      </w:r>
    </w:p>
    <w:p>
      <w:pPr>
        <w:pStyle w:val="Heading3"/>
      </w:pPr>
      <w:r>
        <w:t>20.15.2 Documents and details to be submitted with income return of long-term contract</w:t>
      </w:r>
    </w:p>
    <w:p>
      <w:pPr>
        <w:spacing w:after="80" w:line="252" w:lineRule="auto"/>
      </w:pPr>
      <w:r>
        <w:rPr>
          <w:rFonts w:ascii="Liberation Serif" w:hAnsi="Liberation Serif" w:eastAsia="Liberation Serif"/>
          <w:b w:val="0"/>
          <w:i w:val="0"/>
          <w:sz w:val="21"/>
        </w:rPr>
        <w:t>Long-term contracts are a special type of business and the Act provides special rules for their income, expenses and loss deductions. Therefore, along with the documents and statements normally required for other businesses, additional and special statements and documents should be maintained and submitted for such contracts. Every taxpayer deriving income from a long-term contract must prepare and safely keep, for five years, the following documents and details for each long-term contract:</w:t>
      </w:r>
    </w:p>
    <w:p>
      <w:pPr>
        <w:pStyle w:val="ListBullet"/>
        <w:spacing w:after="40" w:line="240" w:lineRule="auto"/>
      </w:pPr>
      <w:r>
        <w:rPr>
          <w:rFonts w:ascii="Liberation Serif" w:hAnsi="Liberation Serif" w:eastAsia="Liberation Serif"/>
          <w:sz w:val="20"/>
        </w:rPr>
        <w:t>evidence supporting the total income to be received under the contract;</w:t>
      </w:r>
    </w:p>
    <w:p>
      <w:pPr>
        <w:pStyle w:val="ListBullet"/>
        <w:spacing w:after="40" w:line="240" w:lineRule="auto"/>
      </w:pPr>
      <w:r>
        <w:rPr>
          <w:rFonts w:ascii="Liberation Serif" w:hAnsi="Liberation Serif" w:eastAsia="Liberation Serif"/>
          <w:sz w:val="20"/>
        </w:rPr>
        <w:t>details of expenses deductible under direct cost and total cost up to the end of the contract;</w:t>
      </w:r>
    </w:p>
    <w:p>
      <w:pPr>
        <w:pStyle w:val="ListBullet"/>
        <w:spacing w:after="40" w:line="240" w:lineRule="auto"/>
      </w:pPr>
      <w:r>
        <w:rPr>
          <w:rFonts w:ascii="Liberation Serif" w:hAnsi="Liberation Serif" w:eastAsia="Liberation Serif"/>
          <w:sz w:val="20"/>
        </w:rPr>
        <w:t>evidence supporting any increase or decrease in total income under the contract at the end of each year;</w:t>
      </w:r>
    </w:p>
    <w:p>
      <w:pPr>
        <w:pStyle w:val="ListBullet"/>
        <w:spacing w:after="40" w:line="240" w:lineRule="auto"/>
      </w:pPr>
      <w:r>
        <w:rPr>
          <w:rFonts w:ascii="Liberation Serif" w:hAnsi="Liberation Serif" w:eastAsia="Liberation Serif"/>
          <w:sz w:val="20"/>
        </w:rPr>
        <w:t>evidence supporting any increase or decrease in estimated direct cost and estimated total cost under the contract compared to the end of the previous year;</w:t>
      </w:r>
    </w:p>
    <w:p>
      <w:pPr>
        <w:pStyle w:val="ListBullet"/>
        <w:spacing w:after="40" w:line="240" w:lineRule="auto"/>
      </w:pPr>
      <w:r>
        <w:rPr>
          <w:rFonts w:ascii="Liberation Serif" w:hAnsi="Liberation Serif" w:eastAsia="Liberation Serif"/>
          <w:sz w:val="20"/>
        </w:rPr>
        <w:t>evidence supporting expenses incurred for the contract during the year and up to the previous year;</w:t>
      </w:r>
    </w:p>
    <w:p>
      <w:pPr>
        <w:pStyle w:val="ListBullet"/>
        <w:spacing w:after="40" w:line="240" w:lineRule="auto"/>
      </w:pPr>
      <w:r>
        <w:rPr>
          <w:rFonts w:ascii="Liberation Serif" w:hAnsi="Liberation Serif" w:eastAsia="Liberation Serif"/>
          <w:sz w:val="20"/>
        </w:rPr>
        <w:t>documents proving compliance with the percentage-of-completion method.</w:t>
      </w:r>
    </w:p>
    <w:p>
      <w:pPr>
        <w:spacing w:after="80" w:line="252" w:lineRule="auto"/>
      </w:pPr>
      <w:r>
        <w:rPr>
          <w:rFonts w:ascii="Liberation Serif" w:hAnsi="Liberation Serif" w:eastAsia="Liberation Serif"/>
          <w:b w:val="0"/>
          <w:i w:val="0"/>
          <w:sz w:val="21"/>
        </w:rPr>
        <w:t>While filing the income return for a long-term contract, the taxpayer must also submit the statement in the format specified in the Schedule to this Directive.</w:t>
      </w:r>
    </w:p>
    <w:p>
      <w:pPr>
        <w:pStyle w:val="Heading3"/>
      </w:pPr>
      <w:r>
        <w:t>20.15.3 Fair adjustment where income differs</w:t>
      </w:r>
    </w:p>
    <w:p>
      <w:pPr>
        <w:spacing w:after="80" w:line="252" w:lineRule="auto"/>
      </w:pPr>
      <w:r>
        <w:rPr>
          <w:rFonts w:ascii="Liberation Serif" w:hAnsi="Liberation Serif" w:eastAsia="Liberation Serif"/>
          <w:b w:val="0"/>
          <w:i w:val="0"/>
          <w:sz w:val="21"/>
        </w:rPr>
        <w:t>If a person engaged in a long-term contract does not submit the income return for that transaction in accordance with Section 26 and Rule 12, the office, while conducting tax audit of the return, must include in the income of that person, according to the percentage of completion of the long-term contract, the estimated amount that should be included according to the total of cumulative inclusions up to that income year. Similarly, the expenses relating to that contract that are deductible under the Act and Rules and that arise according to the total of cumulative deductions up to that income year must be allowed as deduction.</w:t>
      </w:r>
    </w:p>
    <w:p>
      <w:r>
        <w:br w:type="page"/>
      </w:r>
    </w:p>
    <w:p>
      <w:pPr>
        <w:spacing w:after="80" w:line="252" w:lineRule="auto"/>
        <w:jc w:val="center"/>
      </w:pPr>
      <w:r>
        <w:rPr>
          <w:rFonts w:ascii="Arial" w:hAnsi="Arial" w:eastAsia="Arial"/>
          <w:b/>
          <w:i w:val="0"/>
          <w:sz w:val="28"/>
        </w:rPr>
        <w:t>Income Tax Directive, 2066 (with Fifth Amendment, 2081)</w:t>
      </w:r>
    </w:p>
    <w:p>
      <w:pPr>
        <w:spacing w:after="80" w:line="252" w:lineRule="auto"/>
        <w:jc w:val="center"/>
      </w:pPr>
      <w:r>
        <w:rPr>
          <w:rFonts w:ascii="Arial" w:hAnsi="Arial" w:eastAsia="Arial"/>
          <w:b/>
          <w:i w:val="0"/>
          <w:sz w:val="26"/>
        </w:rPr>
        <w:t>English Translation - Part 21</w:t>
      </w:r>
    </w:p>
    <w:p>
      <w:pPr>
        <w:spacing w:after="80" w:line="252" w:lineRule="auto"/>
        <w:jc w:val="center"/>
      </w:pPr>
      <w:r>
        <w:rPr>
          <w:rFonts w:ascii="Arial" w:hAnsi="Arial" w:eastAsia="Arial"/>
          <w:b/>
          <w:i w:val="0"/>
          <w:sz w:val="24"/>
        </w:rPr>
        <w:t>Chapter 21: Computation of Income from Investment</w:t>
      </w:r>
    </w:p>
    <w:p>
      <w:pPr>
        <w:spacing w:after="80" w:line="252" w:lineRule="auto"/>
        <w:jc w:val="center"/>
      </w:pPr>
      <w:r>
        <w:rPr>
          <w:rFonts w:ascii="Arial" w:hAnsi="Arial" w:eastAsia="Arial"/>
          <w:b w:val="0"/>
          <w:i w:val="0"/>
          <w:sz w:val="20"/>
        </w:rPr>
        <w:t>Source pages: Directive pages 419-444</w:t>
      </w:r>
    </w:p>
    <w:p>
      <w:pPr>
        <w:spacing w:after="80" w:line="252" w:lineRule="auto"/>
      </w:pPr>
      <w:r>
        <w:rPr>
          <w:rFonts w:ascii="Arial" w:hAnsi="Arial" w:eastAsia="Arial"/>
          <w:b w:val="0"/>
          <w:i/>
          <w:sz w:val="20"/>
        </w:rPr>
        <w:t>Note: This translation preserves the meaning, sequence, section numbering, examples and tabular presentation of the Nepali directive as far as practicable. Statutory terminology has been aligned with the official English terminology of the Income Tax Act, 2002 (2058) where applicable.</w:t>
      </w:r>
    </w:p>
    <w:p>
      <w:pPr>
        <w:spacing w:after="80" w:line="252" w:lineRule="auto"/>
      </w:pPr>
      <w:r>
        <w:rPr>
          <w:rFonts w:ascii="Arial" w:hAnsi="Arial" w:eastAsia="Arial"/>
        </w:rPr>
        <w:br w:type="page"/>
      </w:r>
    </w:p>
    <w:p>
      <w:pPr>
        <w:pStyle w:val="Heading1"/>
        <w:spacing w:after="80" w:line="252" w:lineRule="auto"/>
      </w:pPr>
      <w:r>
        <w:rPr>
          <w:rFonts w:ascii="Arial" w:hAnsi="Arial" w:eastAsia="Arial"/>
          <w:b w:val="0"/>
          <w:i w:val="0"/>
          <w:sz w:val="20"/>
        </w:rPr>
        <w:t>Chapter 21</w:t>
      </w:r>
    </w:p>
    <w:p>
      <w:pPr>
        <w:pStyle w:val="Heading2"/>
        <w:spacing w:after="80" w:line="252" w:lineRule="auto"/>
      </w:pPr>
      <w:r>
        <w:rPr>
          <w:rFonts w:ascii="Arial" w:hAnsi="Arial" w:eastAsia="Arial"/>
          <w:b w:val="0"/>
          <w:i w:val="0"/>
          <w:sz w:val="20"/>
        </w:rPr>
        <w:t>Computation of Income from Investment</w:t>
      </w:r>
    </w:p>
    <w:p>
      <w:pPr>
        <w:pStyle w:val="Heading2"/>
        <w:spacing w:after="80" w:line="252" w:lineRule="auto"/>
      </w:pPr>
      <w:r>
        <w:rPr>
          <w:rFonts w:ascii="Arial" w:hAnsi="Arial" w:eastAsia="Arial"/>
          <w:b w:val="0"/>
          <w:i w:val="0"/>
          <w:sz w:val="20"/>
        </w:rPr>
        <w:t>21.1 Introduction</w:t>
      </w:r>
    </w:p>
    <w:p>
      <w:pPr>
        <w:spacing w:after="80" w:line="252" w:lineRule="auto"/>
      </w:pPr>
      <w:r>
        <w:rPr>
          <w:rFonts w:ascii="Arial" w:hAnsi="Arial" w:eastAsia="Arial"/>
          <w:b w:val="0"/>
          <w:i w:val="0"/>
          <w:sz w:val="20"/>
        </w:rPr>
        <w:t>The Income Tax Act, 2058 classifies income under the heads of business, employment, investment and windfall gain. Among these heads, income from investment is one. Generally, investment income is earned by natural persons. In the context of investment, the person making the investment is generally passive, whereas a company is not normally passive in earning income; therefore, a company generally does not have income from investment.</w:t>
      </w:r>
    </w:p>
    <w:p>
      <w:pPr>
        <w:spacing w:after="80" w:line="252" w:lineRule="auto"/>
      </w:pPr>
      <w:r>
        <w:rPr>
          <w:rFonts w:ascii="Arial" w:hAnsi="Arial" w:eastAsia="Arial"/>
          <w:b w:val="0"/>
          <w:i w:val="0"/>
          <w:sz w:val="20"/>
        </w:rPr>
        <w:t>For the purpose of computing income from investment, expenses connected with the activity of earning income may be claimed as deductions, except where the Act expressly provides otherwise. Such deductions are to be claimed subject to the Act and in accordance with generally accepted accounting principles. This chapter explains the computation of income from investment and the related expenses.</w:t>
      </w:r>
    </w:p>
    <w:p>
      <w:pPr>
        <w:pStyle w:val="Heading2"/>
        <w:spacing w:after="80" w:line="252" w:lineRule="auto"/>
      </w:pPr>
      <w:r>
        <w:rPr>
          <w:rFonts w:ascii="Arial" w:hAnsi="Arial" w:eastAsia="Arial"/>
          <w:b w:val="0"/>
          <w:i w:val="0"/>
          <w:sz w:val="20"/>
        </w:rPr>
        <w:t>21.2 Main Definitions</w:t>
      </w:r>
    </w:p>
    <w:p>
      <w:pPr>
        <w:pStyle w:val="Heading3"/>
        <w:spacing w:after="80" w:line="252" w:lineRule="auto"/>
      </w:pPr>
      <w:r>
        <w:rPr>
          <w:rFonts w:ascii="Arial" w:hAnsi="Arial" w:eastAsia="Arial"/>
          <w:b w:val="0"/>
          <w:i w:val="0"/>
          <w:sz w:val="20"/>
        </w:rPr>
        <w:t>21.2.1 Definition of Investment</w:t>
      </w:r>
    </w:p>
    <w:p>
      <w:pPr>
        <w:spacing w:after="80" w:line="252" w:lineRule="auto"/>
      </w:pPr>
      <w:r>
        <w:rPr>
          <w:rFonts w:ascii="Arial" w:hAnsi="Arial" w:eastAsia="Arial"/>
          <w:b w:val="0"/>
          <w:i w:val="0"/>
          <w:sz w:val="20"/>
        </w:rPr>
        <w:t>Section 5 of the Income Tax Act, 2058 classifies income for an income year into the heads of business, employment, investment and windfall gain. Section 2(akha) of the Act defines "investment" as follows:</w:t>
      </w:r>
    </w:p>
    <w:p>
      <w:pPr>
        <w:spacing w:after="80" w:line="252" w:lineRule="auto"/>
      </w:pPr>
      <w:r>
        <w:rPr>
          <w:rFonts w:ascii="Arial" w:hAnsi="Arial" w:eastAsia="Arial"/>
          <w:b w:val="0"/>
          <w:i w:val="0"/>
          <w:sz w:val="20"/>
        </w:rPr>
        <w:t>2(akha) "Investment" means an act of holding one or more assets or investing such assets, except the following:</w:t>
      </w:r>
    </w:p>
    <w:p>
      <w:pPr>
        <w:pStyle w:val="ListNumber"/>
        <w:spacing w:after="80" w:line="252" w:lineRule="auto"/>
      </w:pPr>
      <w:r>
        <w:rPr>
          <w:rFonts w:ascii="Arial" w:hAnsi="Arial" w:eastAsia="Arial"/>
          <w:b w:val="0"/>
          <w:i w:val="0"/>
          <w:sz w:val="20"/>
        </w:rPr>
        <w:t>the holding of an asset that is used for private purposes by the person owning the asset;</w:t>
      </w:r>
    </w:p>
    <w:p>
      <w:pPr>
        <w:pStyle w:val="ListNumber"/>
        <w:spacing w:after="80" w:line="252" w:lineRule="auto"/>
      </w:pPr>
      <w:r>
        <w:rPr>
          <w:rFonts w:ascii="Arial" w:hAnsi="Arial" w:eastAsia="Arial"/>
          <w:b w:val="0"/>
          <w:i w:val="0"/>
          <w:sz w:val="20"/>
        </w:rPr>
        <w:t>employment or business.</w:t>
      </w:r>
    </w:p>
    <w:p>
      <w:pPr>
        <w:spacing w:after="80" w:line="252" w:lineRule="auto"/>
      </w:pPr>
      <w:r>
        <w:rPr>
          <w:rFonts w:ascii="Arial" w:hAnsi="Arial" w:eastAsia="Arial"/>
          <w:b w:val="0"/>
          <w:i w:val="0"/>
          <w:sz w:val="20"/>
        </w:rPr>
        <w:t>Provided that the holding of a non-business taxable asset shall be treated as an investment.</w:t>
      </w:r>
    </w:p>
    <w:p>
      <w:pPr>
        <w:spacing w:after="80" w:line="252" w:lineRule="auto"/>
      </w:pPr>
      <w:r>
        <w:rPr>
          <w:rFonts w:ascii="Arial" w:hAnsi="Arial" w:eastAsia="Arial"/>
          <w:b w:val="0"/>
          <w:i w:val="0"/>
          <w:sz w:val="20"/>
        </w:rPr>
        <w:t>The act of earning income by holding an asset is called investment. Holding assets other than assets used for private purposes by their owner or assets used in employment or business, and holding non-business taxable assets, are treated as investment. Generally, in earning investment income, the income earner does not have continuous active engagement. Income such as dividends, interest, natural resource payments, rent, royalties, gain from investment insurance, gain from an interest in an unapproved retirement fund, retirement payments from an approved retirement fund, and net gain from disposal of a non-business taxable asset are investment income or returns. Continuous participation of the person earning such income is generally not necessary.</w:t>
      </w:r>
    </w:p>
    <w:p>
      <w:pPr>
        <w:spacing w:after="80" w:line="252" w:lineRule="auto"/>
      </w:pPr>
      <w:r>
        <w:rPr>
          <w:rFonts w:ascii="Arial" w:hAnsi="Arial" w:eastAsia="Arial"/>
          <w:b w:val="0"/>
          <w:i w:val="0"/>
          <w:sz w:val="20"/>
        </w:rPr>
        <w:t>In determining whether a transaction is investment, the nature of holding the asset must be considered. Generally, assets held for investment purposes are held for a long period. In investment, income is earned from the same asset, whereas in business, income is earned by buying, selling or otherwise using the asset. Although there are many similarities between investment income and business income, the intention for which the asset is held - investment or business - is important. In the case of an entity, however, investment income generally does not arise.</w:t>
      </w:r>
    </w:p>
    <w:p>
      <w:pPr>
        <w:pStyle w:val="Heading3"/>
        <w:spacing w:after="80" w:line="252" w:lineRule="auto"/>
      </w:pPr>
      <w:r>
        <w:rPr>
          <w:rFonts w:ascii="Arial" w:hAnsi="Arial" w:eastAsia="Arial"/>
          <w:b w:val="0"/>
          <w:i w:val="0"/>
          <w:sz w:val="20"/>
        </w:rPr>
        <w:t>21.2.2 Non-business Taxable Asset</w:t>
      </w:r>
    </w:p>
    <w:p>
      <w:pPr>
        <w:spacing w:after="80" w:line="252" w:lineRule="auto"/>
      </w:pPr>
      <w:r>
        <w:rPr>
          <w:rFonts w:ascii="Arial" w:hAnsi="Arial" w:eastAsia="Arial"/>
          <w:b w:val="0"/>
          <w:i w:val="0"/>
          <w:sz w:val="20"/>
        </w:rPr>
        <w:t>As per section 2(da) of the Act, "non-business taxable asset" means land, building, an interest in an entity or a security, other than the following assets:</w:t>
      </w:r>
    </w:p>
    <w:p>
      <w:pPr>
        <w:spacing w:after="80" w:line="252" w:lineRule="auto"/>
      </w:pPr>
      <w:r>
        <w:rPr>
          <w:rFonts w:ascii="Arial" w:hAnsi="Arial" w:eastAsia="Arial"/>
          <w:b w:val="0"/>
          <w:i w:val="0"/>
          <w:sz w:val="20"/>
        </w:rPr>
        <w:t>2(da)(1) business asset, depreciable property or stock-in-trade.</w:t>
      </w:r>
    </w:p>
    <w:p>
      <w:pPr>
        <w:spacing w:after="80" w:line="252" w:lineRule="auto"/>
      </w:pPr>
      <w:r>
        <w:rPr>
          <w:rFonts w:ascii="Arial" w:hAnsi="Arial" w:eastAsia="Arial"/>
          <w:b w:val="0"/>
          <w:i w:val="0"/>
          <w:sz w:val="20"/>
        </w:rPr>
        <w:t>(a) Business asset: Business asset means all assets other than stock-in-trade, i.e., assets held for sale, and depreciable property, which are used in business. For example, land owned by a business, shares and debentures invested in by a business, and receivables to be recovered by a business are business assets.</w:t>
      </w:r>
    </w:p>
    <w:p>
      <w:pPr>
        <w:spacing w:after="80" w:line="252" w:lineRule="auto"/>
      </w:pPr>
      <w:r>
        <w:rPr>
          <w:rFonts w:ascii="Arial" w:hAnsi="Arial" w:eastAsia="Arial"/>
          <w:b w:val="0"/>
          <w:i w:val="0"/>
          <w:sz w:val="20"/>
        </w:rPr>
        <w:t>(b) Depreciable property: Depreciable property means an asset used to earn income whose value declines because of wear and tear, obsolescence or the passage of time. However, the term does not include stock-in-trade.</w:t>
      </w:r>
    </w:p>
    <w:p>
      <w:pPr>
        <w:spacing w:after="80" w:line="252" w:lineRule="auto"/>
      </w:pPr>
      <w:r>
        <w:rPr>
          <w:rFonts w:ascii="Arial" w:hAnsi="Arial" w:eastAsia="Arial"/>
          <w:b/>
          <w:i w:val="0"/>
          <w:sz w:val="20"/>
        </w:rPr>
        <w:t>Example 21.2.1:</w:t>
      </w:r>
    </w:p>
    <w:p>
      <w:pPr>
        <w:spacing w:after="80" w:line="252" w:lineRule="auto"/>
      </w:pPr>
      <w:r>
        <w:rPr>
          <w:rFonts w:ascii="Arial" w:hAnsi="Arial" w:eastAsia="Arial"/>
          <w:b w:val="0"/>
          <w:i w:val="0"/>
          <w:sz w:val="20"/>
        </w:rPr>
        <w:t>Assume that Haris purchased a house in Pokhara for his private use. Later, with the intention of earning income from that house, Haris opened an investment centre and rented out the house. Depreciation was deducted from the value of the house under the Act, and the written down value after deducting depreciation was shown in the balance sheet. In this situation, the asset used for investment purposes - the house - is a depreciable property, and the value shown after deducting depreciation for wear and tear from use is the book value of that depreciable property.</w:t>
      </w:r>
    </w:p>
    <w:p>
      <w:pPr>
        <w:spacing w:after="80" w:line="252" w:lineRule="auto"/>
      </w:pPr>
      <w:r>
        <w:rPr>
          <w:rFonts w:ascii="Arial" w:hAnsi="Arial" w:eastAsia="Arial"/>
          <w:b w:val="0"/>
          <w:i w:val="0"/>
          <w:sz w:val="20"/>
        </w:rPr>
        <w:t>(c) Stock-in-trade: An asset held for sale or for use in production is called stock-in-trade. Assets owned by a person and sold in the ordinary course of that person’s regular business, assets in work-in-progress, and materials used in such assets, such as packing materials, are understood as stock-in-trade.</w:t>
      </w:r>
    </w:p>
    <w:p>
      <w:pPr>
        <w:spacing w:after="80" w:line="252" w:lineRule="auto"/>
      </w:pPr>
      <w:r>
        <w:rPr>
          <w:rFonts w:ascii="Arial" w:hAnsi="Arial" w:eastAsia="Arial"/>
          <w:b/>
          <w:i w:val="0"/>
          <w:sz w:val="20"/>
        </w:rPr>
        <w:t>Example 21.2.2:</w:t>
      </w:r>
    </w:p>
    <w:p>
      <w:pPr>
        <w:spacing w:after="80" w:line="252" w:lineRule="auto"/>
      </w:pPr>
      <w:r>
        <w:rPr>
          <w:rFonts w:ascii="Arial" w:hAnsi="Arial" w:eastAsia="Arial"/>
          <w:b w:val="0"/>
          <w:i w:val="0"/>
          <w:sz w:val="20"/>
        </w:rPr>
        <w:t>Assume that Hada Furniture Pvt. Ltd. carries on the business of buying and selling furniture. During income year 2080/81 it purchased ten tables for Rs. 100,000 and sold six of them for Rs. 70,000. The ten tables held for sale during that income year are stock-in-trade of the company. Since six tables were sold, the remaining four tables in closing stock are still stock-in-trade.</w:t>
      </w:r>
    </w:p>
    <w:p>
      <w:pPr>
        <w:spacing w:after="80" w:line="252" w:lineRule="auto"/>
      </w:pPr>
      <w:r>
        <w:rPr>
          <w:rFonts w:ascii="Arial" w:hAnsi="Arial" w:eastAsia="Arial"/>
          <w:b w:val="0"/>
          <w:i w:val="0"/>
          <w:sz w:val="20"/>
        </w:rPr>
        <w:t>2(da)(2) the private building of a natural person where:</w:t>
      </w:r>
    </w:p>
    <w:p>
      <w:pPr>
        <w:pStyle w:val="ListBullet"/>
        <w:spacing w:after="80" w:line="252" w:lineRule="auto"/>
      </w:pPr>
      <w:r>
        <w:rPr>
          <w:rFonts w:ascii="Arial" w:hAnsi="Arial" w:eastAsia="Arial"/>
          <w:b w:val="0"/>
          <w:i w:val="0"/>
          <w:sz w:val="20"/>
        </w:rPr>
        <w:t>the building has been owned continuously for ten years or more; and</w:t>
      </w:r>
    </w:p>
    <w:p>
      <w:pPr>
        <w:pStyle w:val="ListBullet"/>
        <w:spacing w:after="80" w:line="252" w:lineRule="auto"/>
      </w:pPr>
      <w:r>
        <w:rPr>
          <w:rFonts w:ascii="Arial" w:hAnsi="Arial" w:eastAsia="Arial"/>
          <w:b w:val="0"/>
          <w:i w:val="0"/>
          <w:sz w:val="20"/>
        </w:rPr>
        <w:t>the person has resided in that building continuously or intermittently for a total period of ten years or more.</w:t>
      </w:r>
    </w:p>
    <w:p>
      <w:pPr>
        <w:spacing w:after="80" w:line="252" w:lineRule="auto"/>
      </w:pPr>
      <w:r>
        <w:rPr>
          <w:rFonts w:ascii="Arial" w:hAnsi="Arial" w:eastAsia="Arial"/>
          <w:b w:val="0"/>
          <w:i w:val="0"/>
          <w:sz w:val="20"/>
        </w:rPr>
        <w:t>Explanation: For this clause, "private building" means the building, the land covered by the building, and either the additional land equal to the area covered by the building or one ropani of land, whichever is less.</w:t>
      </w:r>
    </w:p>
    <w:p>
      <w:pPr>
        <w:spacing w:after="80" w:line="252" w:lineRule="auto"/>
      </w:pPr>
      <w:r>
        <w:rPr>
          <w:rFonts w:ascii="Arial" w:hAnsi="Arial" w:eastAsia="Arial"/>
          <w:b w:val="0"/>
          <w:i w:val="0"/>
          <w:sz w:val="20"/>
        </w:rPr>
        <w:t>Non-business taxable assets include land, buildings, an interest in an entity such as shares and debentures, and securities. Other assets such as gold, silver and motor vehicles are not non-business taxable assets.</w:t>
      </w:r>
    </w:p>
    <w:p>
      <w:pPr>
        <w:pStyle w:val="ListBullet"/>
        <w:spacing w:after="80" w:line="252" w:lineRule="auto"/>
      </w:pPr>
      <w:r>
        <w:rPr>
          <w:rFonts w:ascii="Arial" w:hAnsi="Arial" w:eastAsia="Arial"/>
          <w:b w:val="0"/>
          <w:i w:val="0"/>
          <w:sz w:val="20"/>
        </w:rPr>
        <w:t>Assets used for business purposes include depreciable property such as buildings, machinery and vehicles, and non-depreciable property such as land and shares. However, non-depreciable property such as land and shares that are not used in the income-earning activity of a business, and are merely held by a person, are treated as non-business taxable assets. Stock-in-trade, i.e., assets held for sale, is not treated as a non-business taxable asset.</w:t>
      </w:r>
    </w:p>
    <w:p>
      <w:pPr>
        <w:pStyle w:val="ListBullet"/>
        <w:spacing w:after="80" w:line="252" w:lineRule="auto"/>
      </w:pPr>
      <w:r>
        <w:rPr>
          <w:rFonts w:ascii="Arial" w:hAnsi="Arial" w:eastAsia="Arial"/>
          <w:b w:val="0"/>
          <w:i w:val="0"/>
          <w:sz w:val="20"/>
        </w:rPr>
        <w:t>A private building owned by a natural person for a continuous period of ten years or more and in which that person has resided continuously or intermittently for a total of ten years or more is treated as a personal asset. For a private building not to be treated as a non-business taxable asset, both conditions must be satisfied: continuous ownership for ten years or more, and residence for ten years or more in total.</w:t>
      </w:r>
    </w:p>
    <w:p>
      <w:pPr>
        <w:pStyle w:val="ListBullet"/>
        <w:spacing w:after="80" w:line="252" w:lineRule="auto"/>
      </w:pPr>
      <w:r>
        <w:rPr>
          <w:rFonts w:ascii="Arial" w:hAnsi="Arial" w:eastAsia="Arial"/>
          <w:b w:val="0"/>
          <w:i w:val="0"/>
          <w:sz w:val="20"/>
        </w:rPr>
        <w:t>Land, house and land, or a private building disposed of by a natural person for a value of less than Rs. 1,000,000 is not treated as a non-business taxable asset.</w:t>
      </w:r>
    </w:p>
    <w:p>
      <w:pPr>
        <w:pStyle w:val="ListBullet"/>
        <w:spacing w:after="80" w:line="252" w:lineRule="auto"/>
      </w:pPr>
      <w:r>
        <w:rPr>
          <w:rFonts w:ascii="Arial" w:hAnsi="Arial" w:eastAsia="Arial"/>
          <w:b w:val="0"/>
          <w:i w:val="0"/>
          <w:sz w:val="20"/>
        </w:rPr>
        <w:t>Assets disposed of by transfer, other than sale and purchase, within three generations are outside this treatment. Such transfers generally include partition, succession and gift. If an asset is transferred by gift or a similar process from a person other than within three generations, the asset is treated as a non-business taxable asset.</w:t>
      </w:r>
    </w:p>
    <w:p>
      <w:pPr>
        <w:pStyle w:val="ListBullet"/>
        <w:spacing w:after="80" w:line="252" w:lineRule="auto"/>
      </w:pPr>
      <w:r>
        <w:rPr>
          <w:rFonts w:ascii="Arial" w:hAnsi="Arial" w:eastAsia="Arial"/>
          <w:b w:val="0"/>
          <w:i w:val="0"/>
          <w:sz w:val="20"/>
        </w:rPr>
        <w:t>In the case of land attached to a private building, only the land covered by the building and either the additional land equal to the area covered by the building or one ropani, whichever is less, is included in the valuation of the private building.</w:t>
      </w:r>
    </w:p>
    <w:p>
      <w:pPr>
        <w:spacing w:after="80" w:line="252" w:lineRule="auto"/>
      </w:pPr>
      <w:r>
        <w:rPr>
          <w:rFonts w:ascii="Arial" w:hAnsi="Arial" w:eastAsia="Arial"/>
          <w:b w:val="0"/>
          <w:i w:val="0"/>
          <w:sz w:val="20"/>
        </w:rPr>
        <w:t>A detailed explanation of non-business taxable assets is included in Chapter 2 of this Directive.</w:t>
      </w:r>
    </w:p>
    <w:p>
      <w:pPr>
        <w:spacing w:after="80" w:line="252" w:lineRule="auto"/>
      </w:pPr>
      <w:r>
        <w:rPr>
          <w:rFonts w:ascii="Arial" w:hAnsi="Arial" w:eastAsia="Arial"/>
          <w:b w:val="0"/>
          <w:i w:val="0"/>
          <w:sz w:val="20"/>
        </w:rPr>
        <w:t>2(da)(3) an interest of a beneficiary in a retirement fund.</w:t>
      </w:r>
    </w:p>
    <w:p>
      <w:pPr>
        <w:spacing w:after="80" w:line="252" w:lineRule="auto"/>
      </w:pPr>
      <w:r>
        <w:rPr>
          <w:rFonts w:ascii="Arial" w:hAnsi="Arial" w:eastAsia="Arial"/>
          <w:b w:val="0"/>
          <w:i w:val="0"/>
          <w:sz w:val="20"/>
        </w:rPr>
        <w:t>Every person contributing to a retirement fund is a beneficiary in relation to the investment held in that retirement fund. Therefore, the beneficiary’s interest in the retirement fund is not treated as a non-business taxable asset. However, the person’s investment in an entity other than a retirement fund is treated as a non-business taxable asset.</w:t>
      </w:r>
    </w:p>
    <w:p>
      <w:pPr>
        <w:spacing w:after="80" w:line="252" w:lineRule="auto"/>
      </w:pPr>
      <w:r>
        <w:rPr>
          <w:rFonts w:ascii="Arial" w:hAnsi="Arial" w:eastAsia="Arial"/>
          <w:b/>
          <w:i w:val="0"/>
          <w:sz w:val="20"/>
        </w:rPr>
        <w:t>Example 21.2.3:</w:t>
      </w:r>
    </w:p>
    <w:p>
      <w:pPr>
        <w:spacing w:after="80" w:line="252" w:lineRule="auto"/>
      </w:pPr>
      <w:r>
        <w:rPr>
          <w:rFonts w:ascii="Arial" w:hAnsi="Arial" w:eastAsia="Arial"/>
          <w:b w:val="0"/>
          <w:i w:val="0"/>
          <w:sz w:val="20"/>
        </w:rPr>
        <w:t>Assume that Ram Prasad contributes Rs. 4,000 every month to a retirement fund operated independently from his employer. He has also purchased shares of Rs. 100,000 in a financial institution. The amount accumulated by making contributions to the retirement fund is not treated as a non-business taxable asset. However, his investment in the shares of the financial institution is treated as a non-business taxable asset.</w:t>
      </w:r>
    </w:p>
    <w:p>
      <w:pPr>
        <w:spacing w:after="80" w:line="252" w:lineRule="auto"/>
      </w:pPr>
      <w:r>
        <w:rPr>
          <w:rFonts w:ascii="Arial" w:hAnsi="Arial" w:eastAsia="Arial"/>
          <w:b w:val="0"/>
          <w:i w:val="0"/>
          <w:sz w:val="20"/>
        </w:rPr>
        <w:t>2(da)(4) land, house and land, or a private building disposed of by a natural person for a value of less than Rs. 1,000,000.</w:t>
      </w:r>
    </w:p>
    <w:p>
      <w:pPr>
        <w:spacing w:after="80" w:line="252" w:lineRule="auto"/>
      </w:pPr>
      <w:r>
        <w:rPr>
          <w:rFonts w:ascii="Arial" w:hAnsi="Arial" w:eastAsia="Arial"/>
          <w:b w:val="0"/>
          <w:i w:val="0"/>
          <w:sz w:val="20"/>
        </w:rPr>
        <w:t>Where a natural person disposes of land or a private house for a value of less than Rs. 1,000,000, such property is not treated as a non-business taxable asset. If the disposal value exceeds that amount, the amount received from disposal is treated as non-business chargeable income.</w:t>
      </w:r>
    </w:p>
    <w:p>
      <w:pPr>
        <w:spacing w:after="80" w:line="252" w:lineRule="auto"/>
      </w:pPr>
      <w:r>
        <w:rPr>
          <w:rFonts w:ascii="Arial" w:hAnsi="Arial" w:eastAsia="Arial"/>
          <w:b/>
          <w:i w:val="0"/>
          <w:sz w:val="20"/>
        </w:rPr>
        <w:t>Example 21.2.4:</w:t>
      </w:r>
    </w:p>
    <w:p>
      <w:pPr>
        <w:spacing w:after="80" w:line="252" w:lineRule="auto"/>
      </w:pPr>
      <w:r>
        <w:rPr>
          <w:rFonts w:ascii="Arial" w:hAnsi="Arial" w:eastAsia="Arial"/>
          <w:b w:val="0"/>
          <w:i w:val="0"/>
          <w:sz w:val="20"/>
        </w:rPr>
        <w:t>Assume that Suresh purchased a house on 2066/03/32 for Rs. 2,000,000 and sold that house on 2081/05/10 for Rs. 8,000,000. Since the house was disposed of for more than Rs. 1,000,000, the amount received is treated as arising from disposal of a non-business taxable asset. The gain computed under section 37 of the Act must be treated as non-business chargeable income and included in computing income from investment. If he had sold the house for less than Rs. 1,000,000, the house would not be treated as a non-business taxable asset and would not be included in his investment income.</w:t>
      </w:r>
    </w:p>
    <w:p>
      <w:pPr>
        <w:spacing w:after="80" w:line="252" w:lineRule="auto"/>
      </w:pPr>
      <w:r>
        <w:rPr>
          <w:rFonts w:ascii="Arial" w:hAnsi="Arial" w:eastAsia="Arial"/>
          <w:b w:val="0"/>
          <w:i w:val="0"/>
          <w:sz w:val="20"/>
        </w:rPr>
        <w:t>2(da)(5) assets disposed of by transfer, other than sale and purchase, within three generations.</w:t>
      </w:r>
    </w:p>
    <w:p>
      <w:pPr>
        <w:spacing w:after="80" w:line="252" w:lineRule="auto"/>
      </w:pPr>
      <w:r>
        <w:rPr>
          <w:rFonts w:ascii="Arial" w:hAnsi="Arial" w:eastAsia="Arial"/>
          <w:b w:val="0"/>
          <w:i w:val="0"/>
          <w:sz w:val="20"/>
        </w:rPr>
        <w:t>Generally, within three generations, property is transferred by partition, gift and similar methods rather than by sale and purchase. However, if property is sold within three generations, the sale value is treated as non-business chargeable income. If the value of property sold within three generations is less than Rs. 1,000,000, it is not treated as a business chargeable asset; it is treated as a personal asset.</w:t>
      </w:r>
    </w:p>
    <w:p>
      <w:pPr>
        <w:pStyle w:val="Heading2"/>
        <w:spacing w:after="80" w:line="252" w:lineRule="auto"/>
      </w:pPr>
      <w:r>
        <w:rPr>
          <w:rFonts w:ascii="Arial" w:hAnsi="Arial" w:eastAsia="Arial"/>
          <w:b w:val="0"/>
          <w:i w:val="0"/>
          <w:sz w:val="20"/>
        </w:rPr>
        <w:t>21.3 Accounting for Income from Investment</w:t>
      </w:r>
    </w:p>
    <w:p>
      <w:pPr>
        <w:pStyle w:val="Heading3"/>
        <w:spacing w:after="80" w:line="252" w:lineRule="auto"/>
      </w:pPr>
      <w:r>
        <w:rPr>
          <w:rFonts w:ascii="Arial" w:hAnsi="Arial" w:eastAsia="Arial"/>
          <w:b w:val="0"/>
          <w:i w:val="0"/>
          <w:sz w:val="20"/>
        </w:rPr>
        <w:t>21.3.1 Tax Accounting and Timing</w:t>
      </w:r>
    </w:p>
    <w:p>
      <w:pPr>
        <w:spacing w:after="80" w:line="252" w:lineRule="auto"/>
      </w:pPr>
      <w:r>
        <w:rPr>
          <w:rFonts w:ascii="Arial" w:hAnsi="Arial" w:eastAsia="Arial"/>
          <w:b w:val="0"/>
          <w:i w:val="0"/>
          <w:sz w:val="20"/>
        </w:rPr>
        <w:t>A natural person must account for income from employment and investment on the cash basis. A company must account for income on the accrual basis. Other persons may use cash or accrual basis depending on the prevailing accounting system. The accounting policy used must be followed consistently in accordance with generally accepted accounting principles. Under prevailing accounting standards and section 22(5) of the Act, the accounting method generally may not be changed.</w:t>
      </w:r>
    </w:p>
    <w:p>
      <w:pPr>
        <w:spacing w:after="80" w:line="252" w:lineRule="auto"/>
      </w:pPr>
      <w:r>
        <w:rPr>
          <w:rFonts w:ascii="Arial" w:hAnsi="Arial" w:eastAsia="Arial"/>
          <w:b w:val="0"/>
          <w:i w:val="0"/>
          <w:sz w:val="20"/>
        </w:rPr>
        <w:t>However, if a natural person considers it necessary to change the accounting method on the basis of prevailing industrial practice, the person may apply to the Department. If the Department considers it appropriate, it may approve the change of accounting method for tax purposes. Since a company must use the accrual basis for tax purposes, a company cannot apply to change its accounting method. Where a change in accounting method is approved for tax purposes, income for the year of change must be adjusted so that no amount is omitted or counted twice in amounts included, deducted, to be included or to be deducted.</w:t>
      </w:r>
    </w:p>
    <w:p>
      <w:pPr>
        <w:pStyle w:val="Heading3"/>
        <w:spacing w:after="80" w:line="252" w:lineRule="auto"/>
      </w:pPr>
      <w:r>
        <w:rPr>
          <w:rFonts w:ascii="Arial" w:hAnsi="Arial" w:eastAsia="Arial"/>
          <w:b w:val="0"/>
          <w:i w:val="0"/>
          <w:sz w:val="20"/>
        </w:rPr>
        <w:t>21.3.2 Cash Basis of Accounting</w:t>
      </w:r>
    </w:p>
    <w:p>
      <w:pPr>
        <w:spacing w:after="80" w:line="252" w:lineRule="auto"/>
      </w:pPr>
      <w:r>
        <w:rPr>
          <w:rFonts w:ascii="Arial" w:hAnsi="Arial" w:eastAsia="Arial"/>
          <w:b w:val="0"/>
          <w:i w:val="0"/>
          <w:sz w:val="20"/>
        </w:rPr>
        <w:t>A system in which income is included only after cash is received and expenses are recorded only after cash is paid is cash basis accounting. Section 23 of the Act provides as follows:</w:t>
      </w:r>
    </w:p>
    <w:p>
      <w:pPr>
        <w:spacing w:after="80" w:line="252" w:lineRule="auto"/>
      </w:pPr>
      <w:r>
        <w:rPr>
          <w:rFonts w:ascii="Arial" w:hAnsi="Arial" w:eastAsia="Arial"/>
          <w:b w:val="0"/>
          <w:i w:val="0"/>
          <w:sz w:val="20"/>
        </w:rPr>
        <w:t>23. Where a person accounts for income from employment, business or investment on the cash basis for tax purposes subject to this Act, the person shall do so as follows:</w:t>
      </w:r>
    </w:p>
    <w:p>
      <w:pPr>
        <w:pStyle w:val="ListBullet"/>
        <w:spacing w:after="80" w:line="252" w:lineRule="auto"/>
      </w:pPr>
      <w:r>
        <w:rPr>
          <w:rFonts w:ascii="Arial" w:hAnsi="Arial" w:eastAsia="Arial"/>
          <w:b w:val="0"/>
          <w:i w:val="0"/>
          <w:sz w:val="20"/>
        </w:rPr>
        <w:t>the amount shall be treated as received and included in the computation of income only when the person receives the payment or the payment is made available to the person;</w:t>
      </w:r>
    </w:p>
    <w:p>
      <w:pPr>
        <w:pStyle w:val="ListBullet"/>
        <w:spacing w:after="80" w:line="252" w:lineRule="auto"/>
      </w:pPr>
      <w:r>
        <w:rPr>
          <w:rFonts w:ascii="Arial" w:hAnsi="Arial" w:eastAsia="Arial"/>
          <w:b w:val="0"/>
          <w:i w:val="0"/>
          <w:sz w:val="20"/>
        </w:rPr>
        <w:t>a deduction shall be made only after the person makes the payment.</w:t>
      </w:r>
    </w:p>
    <w:p>
      <w:pPr>
        <w:pStyle w:val="Heading3"/>
        <w:spacing w:after="80" w:line="252" w:lineRule="auto"/>
      </w:pPr>
      <w:r>
        <w:rPr>
          <w:rFonts w:ascii="Arial" w:hAnsi="Arial" w:eastAsia="Arial"/>
          <w:b w:val="0"/>
          <w:i w:val="0"/>
          <w:sz w:val="20"/>
        </w:rPr>
        <w:t>21.3.3 Accrual Basis of Accounting</w:t>
      </w:r>
    </w:p>
    <w:p>
      <w:pPr>
        <w:spacing w:after="80" w:line="252" w:lineRule="auto"/>
      </w:pPr>
      <w:r>
        <w:rPr>
          <w:rFonts w:ascii="Arial" w:hAnsi="Arial" w:eastAsia="Arial"/>
          <w:b w:val="0"/>
          <w:i w:val="0"/>
          <w:sz w:val="20"/>
        </w:rPr>
        <w:t>The accrual basis of accounting is an internationally used accounting method. Nepal Accounting Standard 1, Presentation of Financial Statements, requires financial statements, other than the cash flow statement, to be prepared on the accrual basis. Section 22(3) of the Act expressly requires a company to account for tax purposes on the accrual basis.</w:t>
      </w:r>
    </w:p>
    <w:p>
      <w:pPr>
        <w:spacing w:after="80" w:line="252" w:lineRule="auto"/>
      </w:pPr>
      <w:r>
        <w:rPr>
          <w:rFonts w:ascii="Arial" w:hAnsi="Arial" w:eastAsia="Arial"/>
          <w:b w:val="0"/>
          <w:i w:val="0"/>
          <w:sz w:val="20"/>
        </w:rPr>
        <w:t>Under the accrual basis, an economic event or transaction is recorded as soon as it occurs. In other words, the transaction is recorded in the period to which it relates. This method supports the matching concept between income and expenses. Income is recorded when the right to receive payment arises, and an expense is recorded when the obligation to pay arises. The receipt or payment of cash alone is not the basis for accounting.</w:t>
      </w:r>
    </w:p>
    <w:p>
      <w:pPr>
        <w:spacing w:after="80" w:line="252" w:lineRule="auto"/>
      </w:pPr>
      <w:r>
        <w:rPr>
          <w:rFonts w:ascii="Arial" w:hAnsi="Arial" w:eastAsia="Arial"/>
          <w:b w:val="0"/>
          <w:i w:val="0"/>
          <w:sz w:val="20"/>
        </w:rPr>
        <w:t>Section 24 of the Act provides as follows in relation to accrual basis accounting:</w:t>
      </w:r>
    </w:p>
    <w:p>
      <w:pPr>
        <w:spacing w:after="80" w:line="252" w:lineRule="auto"/>
      </w:pPr>
      <w:r>
        <w:rPr>
          <w:rFonts w:ascii="Arial" w:hAnsi="Arial" w:eastAsia="Arial"/>
          <w:b w:val="0"/>
          <w:i w:val="0"/>
          <w:sz w:val="20"/>
        </w:rPr>
        <w:t>24(1) Where a person accounts for income from business or investment on the accrual basis for tax purposes subject to this Act, the person must include a payment in computing income as soon as the right to receive that payment arises.</w:t>
      </w:r>
    </w:p>
    <w:p>
      <w:pPr>
        <w:spacing w:after="80" w:line="252" w:lineRule="auto"/>
      </w:pPr>
      <w:r>
        <w:rPr>
          <w:rFonts w:ascii="Arial" w:hAnsi="Arial" w:eastAsia="Arial"/>
          <w:b w:val="0"/>
          <w:i w:val="0"/>
          <w:sz w:val="20"/>
        </w:rPr>
        <w:t>24(2) For the purpose of deductions in computing a person’s income under subsection (1), expenses shall be treated as incurred as follows:</w:t>
      </w:r>
    </w:p>
    <w:p>
      <w:pPr>
        <w:pStyle w:val="ListBullet"/>
        <w:spacing w:after="80" w:line="252" w:lineRule="auto"/>
      </w:pPr>
      <w:r>
        <w:rPr>
          <w:rFonts w:ascii="Arial" w:hAnsi="Arial" w:eastAsia="Arial"/>
          <w:b w:val="0"/>
          <w:i w:val="0"/>
          <w:sz w:val="20"/>
        </w:rPr>
        <w:t>where a payment has been made in return for a payment made by another person, and that payment includes such expense, the expense is treated as incurred where: (i) the person has an obligation to make the payment; (ii) the value of the obligation can be reasonably estimated; and (iii) payment has been received from the other person;</w:t>
      </w:r>
    </w:p>
    <w:p>
      <w:pPr>
        <w:pStyle w:val="ListBullet"/>
        <w:spacing w:after="80" w:line="252" w:lineRule="auto"/>
      </w:pPr>
      <w:r>
        <w:rPr>
          <w:rFonts w:ascii="Arial" w:hAnsi="Arial" w:eastAsia="Arial"/>
          <w:b w:val="0"/>
          <w:i w:val="0"/>
          <w:sz w:val="20"/>
        </w:rPr>
        <w:t>in all other cases, other than those referred to above, the expense is treated as incurred at the time payment is made.</w:t>
      </w:r>
    </w:p>
    <w:p>
      <w:pPr>
        <w:spacing w:after="80" w:line="252" w:lineRule="auto"/>
      </w:pPr>
      <w:r>
        <w:rPr>
          <w:rFonts w:ascii="Arial" w:hAnsi="Arial" w:eastAsia="Arial"/>
          <w:b w:val="0"/>
          <w:i w:val="0"/>
          <w:sz w:val="20"/>
        </w:rPr>
        <w:t>24(3) Notwithstanding subsection (1), in relation to banking business, the Department may recognize the accounting prescribed by Nepal Rastra Bank subject to the Nepal Rastra Bank Act, 2058 and prevailing banking laws. Provided that a cooperative institution may also account for interest income on a cash basis.</w:t>
      </w:r>
    </w:p>
    <w:p>
      <w:pPr>
        <w:spacing w:after="80" w:line="252" w:lineRule="auto"/>
      </w:pPr>
      <w:r>
        <w:rPr>
          <w:rFonts w:ascii="Arial" w:hAnsi="Arial" w:eastAsia="Arial"/>
          <w:b w:val="0"/>
          <w:i w:val="0"/>
          <w:sz w:val="20"/>
        </w:rPr>
        <w:t>24(4) Where, in computing the income of a person from business or investment on the accrual basis, the person includes a receivable payment or deducts a payable amount, and there is a difference when the person receives or makes payment due to exchange rate fluctuations or other reasons, the difference must be adjusted when the payment is received or made.</w:t>
      </w:r>
    </w:p>
    <w:p>
      <w:pPr>
        <w:spacing w:after="80" w:line="252" w:lineRule="auto"/>
      </w:pPr>
      <w:r>
        <w:rPr>
          <w:rFonts w:ascii="Arial" w:hAnsi="Arial" w:eastAsia="Arial"/>
          <w:b w:val="0"/>
          <w:i w:val="0"/>
          <w:sz w:val="20"/>
        </w:rPr>
        <w:t>Tax accounting methods, timing and bases are explained in detail in Chapter 7 of this Directive, and exchange gains or losses are explained in Chapter 8.</w:t>
      </w:r>
    </w:p>
    <w:p>
      <w:pPr>
        <w:pStyle w:val="Heading2"/>
        <w:spacing w:after="80" w:line="252" w:lineRule="auto"/>
      </w:pPr>
      <w:r>
        <w:rPr>
          <w:rFonts w:ascii="Arial" w:hAnsi="Arial" w:eastAsia="Arial"/>
          <w:b w:val="0"/>
          <w:i w:val="0"/>
          <w:sz w:val="20"/>
        </w:rPr>
        <w:t>21.4 Amounts to be Included in Computing Income from Investment</w:t>
      </w:r>
    </w:p>
    <w:p>
      <w:pPr>
        <w:spacing w:after="80" w:line="252" w:lineRule="auto"/>
      </w:pPr>
      <w:r>
        <w:rPr>
          <w:rFonts w:ascii="Arial" w:hAnsi="Arial" w:eastAsia="Arial"/>
          <w:b w:val="0"/>
          <w:i w:val="0"/>
          <w:sz w:val="20"/>
        </w:rPr>
        <w:t>Section 9 of the Act provides the amounts to be included in computing income from investment. Subsection (1) provides:</w:t>
      </w:r>
    </w:p>
    <w:p>
      <w:pPr>
        <w:spacing w:after="80" w:line="252" w:lineRule="auto"/>
      </w:pPr>
      <w:r>
        <w:rPr>
          <w:rFonts w:ascii="Arial" w:hAnsi="Arial" w:eastAsia="Arial"/>
          <w:b w:val="0"/>
          <w:i w:val="0"/>
          <w:sz w:val="20"/>
        </w:rPr>
        <w:t>9(1) The profits and gains derived by a person from investment during an income year shall be the income of that person from that investment for that year.</w:t>
      </w:r>
    </w:p>
    <w:p>
      <w:pPr>
        <w:spacing w:after="80" w:line="252" w:lineRule="auto"/>
      </w:pPr>
      <w:r>
        <w:rPr>
          <w:rFonts w:ascii="Arial" w:hAnsi="Arial" w:eastAsia="Arial"/>
          <w:b w:val="0"/>
          <w:i w:val="0"/>
          <w:sz w:val="20"/>
        </w:rPr>
        <w:t>For computing profits and gains, amounts such as dividends, interest, rent, royalties, gains from disposal of non-business taxable assets and similar returns from investment are included. In computing investment income of any person, the amounts listed in section 9(2) must be included.</w:t>
      </w:r>
    </w:p>
    <w:p>
      <w:pPr>
        <w:spacing w:after="80" w:line="252" w:lineRule="auto"/>
      </w:pPr>
      <w:r>
        <w:rPr>
          <w:rFonts w:ascii="Arial" w:hAnsi="Arial" w:eastAsia="Arial"/>
          <w:b w:val="0"/>
          <w:i w:val="0"/>
          <w:sz w:val="20"/>
        </w:rPr>
        <w:t>9(2) In computing the profits and gains derived by a person from an investment during an income year, the following amounts received by the person during that year shall be included:</w:t>
      </w:r>
    </w:p>
    <w:p>
      <w:pPr>
        <w:spacing w:after="80" w:line="252" w:lineRule="auto"/>
      </w:pPr>
      <w:r>
        <w:rPr>
          <w:rFonts w:ascii="Arial" w:hAnsi="Arial" w:eastAsia="Arial"/>
          <w:b w:val="0"/>
          <w:i w:val="0"/>
          <w:sz w:val="20"/>
        </w:rPr>
        <w:t>9(2)(a) dividends, interest, natural resource payments, rent, royalties, gains from investment insurance, gains from an interest in an unapproved retirement fund under section 63(1), or retirement payments made from an approved retirement fund.</w:t>
      </w:r>
    </w:p>
    <w:p>
      <w:pPr>
        <w:spacing w:after="80" w:line="252" w:lineRule="auto"/>
      </w:pPr>
      <w:r>
        <w:rPr>
          <w:rFonts w:ascii="Arial" w:hAnsi="Arial" w:eastAsia="Arial"/>
          <w:b w:val="0"/>
          <w:i w:val="0"/>
          <w:sz w:val="20"/>
        </w:rPr>
        <w:t>Dividends received from share investment, interest received from deposits or loans, house rent or other rent, benefits received from an approved retirement fund, and retirement payments received from an approved retirement fund must all be included in income for the purpose of computing investment income. However, amounts treated as final withholding payments under section 92 of the Act need not be included in investment income.</w:t>
      </w:r>
    </w:p>
    <w:p>
      <w:pPr>
        <w:spacing w:after="80" w:line="252" w:lineRule="auto"/>
      </w:pPr>
      <w:r>
        <w:rPr>
          <w:rFonts w:ascii="Arial" w:hAnsi="Arial" w:eastAsia="Arial"/>
          <w:b/>
          <w:i w:val="0"/>
          <w:sz w:val="20"/>
        </w:rPr>
        <w:t>Example 21.4.1:</w:t>
      </w:r>
    </w:p>
    <w:p>
      <w:pPr>
        <w:spacing w:after="80" w:line="252" w:lineRule="auto"/>
      </w:pPr>
      <w:r>
        <w:rPr>
          <w:rFonts w:ascii="Arial" w:hAnsi="Arial" w:eastAsia="Arial"/>
          <w:b w:val="0"/>
          <w:i w:val="0"/>
          <w:sz w:val="20"/>
        </w:rPr>
        <w:t>Assume that Haris invested Rs. 100,000 as a loan in ABC Company Ltd. The company paid interest of Rs. 10,000 at 10 percent and withheld advance tax of Rs. 1,500 at 15 percent under section 88(1), paying the balance of Rs. 8,500. In this case, Rs. 10,000 is treated as his investment income.</w:t>
      </w:r>
    </w:p>
    <w:p>
      <w:pPr>
        <w:spacing w:after="80" w:line="252" w:lineRule="auto"/>
      </w:pPr>
      <w:r>
        <w:rPr>
          <w:rFonts w:ascii="Arial" w:hAnsi="Arial" w:eastAsia="Arial"/>
          <w:b w:val="0"/>
          <w:i w:val="0"/>
          <w:sz w:val="20"/>
        </w:rPr>
        <w:t>9(2)(b) net gains from disposal of non-business taxable assets of that investment, computed under Chapter 8.</w:t>
      </w:r>
    </w:p>
    <w:p>
      <w:pPr>
        <w:spacing w:after="80" w:line="252" w:lineRule="auto"/>
      </w:pPr>
      <w:r>
        <w:rPr>
          <w:rFonts w:ascii="Arial" w:hAnsi="Arial" w:eastAsia="Arial"/>
          <w:b/>
          <w:i w:val="0"/>
          <w:sz w:val="20"/>
        </w:rPr>
        <w:t>Example 21.4.2:</w:t>
      </w:r>
    </w:p>
    <w:p>
      <w:pPr>
        <w:spacing w:after="80" w:line="252" w:lineRule="auto"/>
      </w:pPr>
      <w:r>
        <w:rPr>
          <w:rFonts w:ascii="Arial" w:hAnsi="Arial" w:eastAsia="Arial"/>
          <w:b w:val="0"/>
          <w:i w:val="0"/>
          <w:sz w:val="20"/>
        </w:rPr>
        <w:t>Assume that Haris purchased 100 shares of ABC Company Ltd., a company listed on the Nepal Stock Exchange, on 2080/08/20 for Rs. 20,000. He sold those shares on 2081/08/15 for Rs. 25,000. The net gain of Rs. 5,000 from disposal of shares unrelated to a natural person’s business, i.e., a non-business taxable asset, must be included in his income from investment.</w:t>
      </w:r>
    </w:p>
    <w:p>
      <w:pPr>
        <w:spacing w:after="80" w:line="252" w:lineRule="auto"/>
      </w:pPr>
      <w:r>
        <w:rPr>
          <w:rFonts w:ascii="Arial" w:hAnsi="Arial" w:eastAsia="Arial"/>
          <w:b w:val="0"/>
          <w:i w:val="0"/>
          <w:sz w:val="20"/>
        </w:rPr>
        <w:t>9(2)(c) where a depreciable property used in the investment is disposed of, the excess of incomings over the written down value including outgoings for assets in the pool of depreciable property as computed under section 4(2)(a) of Schedule 2.</w:t>
      </w:r>
    </w:p>
    <w:p>
      <w:pPr>
        <w:spacing w:after="80" w:line="252" w:lineRule="auto"/>
      </w:pPr>
      <w:r>
        <w:rPr>
          <w:rFonts w:ascii="Arial" w:hAnsi="Arial" w:eastAsia="Arial"/>
          <w:b w:val="0"/>
          <w:i w:val="0"/>
          <w:sz w:val="20"/>
        </w:rPr>
        <w:t>Where a gain arises from disposal of a depreciable property used in investment, that gain must be included in investment income.</w:t>
      </w:r>
    </w:p>
    <w:p>
      <w:pPr>
        <w:spacing w:after="80" w:line="252" w:lineRule="auto"/>
      </w:pPr>
      <w:r>
        <w:rPr>
          <w:rFonts w:ascii="Arial" w:hAnsi="Arial" w:eastAsia="Arial"/>
          <w:b w:val="0"/>
          <w:i w:val="0"/>
          <w:sz w:val="20"/>
        </w:rPr>
        <w:t>9(2)(d) gifts received by the person in relation to the investment.</w:t>
      </w:r>
    </w:p>
    <w:p>
      <w:pPr>
        <w:spacing w:after="80" w:line="252" w:lineRule="auto"/>
      </w:pPr>
      <w:r>
        <w:rPr>
          <w:rFonts w:ascii="Arial" w:hAnsi="Arial" w:eastAsia="Arial"/>
          <w:b w:val="0"/>
          <w:i w:val="0"/>
          <w:sz w:val="20"/>
        </w:rPr>
        <w:t>A gift received in connection with an investment must be included in investment income.</w:t>
      </w:r>
    </w:p>
    <w:p>
      <w:pPr>
        <w:spacing w:after="80" w:line="252" w:lineRule="auto"/>
      </w:pPr>
      <w:r>
        <w:rPr>
          <w:rFonts w:ascii="Arial" w:hAnsi="Arial" w:eastAsia="Arial"/>
          <w:b/>
          <w:i w:val="0"/>
          <w:sz w:val="20"/>
        </w:rPr>
        <w:t>Example 21.4.3:</w:t>
      </w:r>
    </w:p>
    <w:p>
      <w:pPr>
        <w:spacing w:after="80" w:line="252" w:lineRule="auto"/>
      </w:pPr>
      <w:r>
        <w:rPr>
          <w:rFonts w:ascii="Arial" w:hAnsi="Arial" w:eastAsia="Arial"/>
          <w:b w:val="0"/>
          <w:i w:val="0"/>
          <w:sz w:val="20"/>
        </w:rPr>
        <w:t>Assume that Haris has deposited Rs. 20,000,000 in Sampanna Bank Ltd. During an income year, the bank gives, as a Dashain gift, a one-tola gold coin to depositors who have deposits exceeding Rs. 10,000,000. Since the gold coin is received as a gift because of the investment, it must be valued at market value and included in investment income.</w:t>
      </w:r>
    </w:p>
    <w:p>
      <w:pPr>
        <w:spacing w:after="80" w:line="252" w:lineRule="auto"/>
      </w:pPr>
      <w:r>
        <w:rPr>
          <w:rFonts w:ascii="Arial" w:hAnsi="Arial" w:eastAsia="Arial"/>
          <w:b w:val="0"/>
          <w:i w:val="0"/>
          <w:sz w:val="20"/>
        </w:rPr>
        <w:t>9(2)(e) retirement payments received in relation to the investment and retirement contributions, including amounts deposited in a retirement fund for the person.</w:t>
      </w:r>
    </w:p>
    <w:p>
      <w:pPr>
        <w:spacing w:after="80" w:line="252" w:lineRule="auto"/>
      </w:pPr>
      <w:r>
        <w:rPr>
          <w:rFonts w:ascii="Arial" w:hAnsi="Arial" w:eastAsia="Arial"/>
          <w:b w:val="0"/>
          <w:i w:val="0"/>
          <w:sz w:val="20"/>
        </w:rPr>
        <w:t>Retirement payments received in relation to investment, such as pension received from a pension fund, must also be included in investment income.</w:t>
      </w:r>
    </w:p>
    <w:p>
      <w:pPr>
        <w:spacing w:after="80" w:line="252" w:lineRule="auto"/>
      </w:pPr>
      <w:r>
        <w:rPr>
          <w:rFonts w:ascii="Arial" w:hAnsi="Arial" w:eastAsia="Arial"/>
          <w:b w:val="0"/>
          <w:i w:val="0"/>
          <w:sz w:val="20"/>
        </w:rPr>
        <w:t>9(2)(f) amounts received for accepting a restriction in relation to the investment.</w:t>
      </w:r>
    </w:p>
    <w:p>
      <w:pPr>
        <w:spacing w:after="80" w:line="252" w:lineRule="auto"/>
      </w:pPr>
      <w:r>
        <w:rPr>
          <w:rFonts w:ascii="Arial" w:hAnsi="Arial" w:eastAsia="Arial"/>
          <w:b w:val="0"/>
          <w:i w:val="0"/>
          <w:sz w:val="20"/>
        </w:rPr>
        <w:t>Amounts received because of a condition not to invest or because of any similar condition or restriction must be included in investment income.</w:t>
      </w:r>
    </w:p>
    <w:p>
      <w:pPr>
        <w:spacing w:after="80" w:line="252" w:lineRule="auto"/>
      </w:pPr>
      <w:r>
        <w:rPr>
          <w:rFonts w:ascii="Arial" w:hAnsi="Arial" w:eastAsia="Arial"/>
          <w:b w:val="0"/>
          <w:i w:val="0"/>
          <w:sz w:val="20"/>
        </w:rPr>
        <w:t>9(2)(g) other amounts required to be included under Chapter 6, Chapter 7 or section 56.</w:t>
      </w:r>
    </w:p>
    <w:p>
      <w:pPr>
        <w:spacing w:after="80" w:line="252" w:lineRule="auto"/>
      </w:pPr>
      <w:r>
        <w:rPr>
          <w:rFonts w:ascii="Arial" w:hAnsi="Arial" w:eastAsia="Arial"/>
          <w:b w:val="0"/>
          <w:i w:val="0"/>
          <w:sz w:val="20"/>
        </w:rPr>
        <w:t>Under Chapter 6 of the Act, where a person changes the accounting method with approval of the Department, or where the accounting method changes because of other provisions of that Chapter, income for the year of change must be adjusted so that no amount included, deducted, to be included or to be deducted is omitted or counted twice.</w:t>
      </w:r>
    </w:p>
    <w:p>
      <w:pPr>
        <w:spacing w:after="80" w:line="252" w:lineRule="auto"/>
      </w:pPr>
      <w:r>
        <w:rPr>
          <w:rFonts w:ascii="Arial" w:hAnsi="Arial" w:eastAsia="Arial"/>
          <w:b w:val="0"/>
          <w:i w:val="0"/>
          <w:sz w:val="20"/>
        </w:rPr>
        <w:t>Under Chapter 7 of the Act, where payment for a transaction is made not only in cash but also by transfer of property, the amount equal to the market value of the property transferred must be included in income. The value stated in an agreement between the parties or the book value is not treated as the official transaction value; the market value of the property at the time of transfer is treated as the official value for purposes of the Act. If the transaction relates to investment, the value must be included in computing investment income.</w:t>
      </w:r>
    </w:p>
    <w:p>
      <w:pPr>
        <w:spacing w:after="80" w:line="252" w:lineRule="auto"/>
      </w:pPr>
      <w:r>
        <w:rPr>
          <w:rFonts w:ascii="Arial" w:hAnsi="Arial" w:eastAsia="Arial"/>
          <w:b w:val="0"/>
          <w:i w:val="0"/>
          <w:sz w:val="20"/>
        </w:rPr>
        <w:t>Under section 56 of the Act, gain arising from disposal of assets or liabilities in transactions between an entity and its beneficiaries must be included in income under this clause. Detailed explanation is provided in Chapters 13 and 22 of this Directive.</w:t>
      </w:r>
    </w:p>
    <w:p>
      <w:pPr>
        <w:pStyle w:val="Heading2"/>
        <w:spacing w:after="80" w:line="252" w:lineRule="auto"/>
      </w:pPr>
      <w:r>
        <w:rPr>
          <w:rFonts w:ascii="Arial" w:hAnsi="Arial" w:eastAsia="Arial"/>
          <w:b w:val="0"/>
          <w:i w:val="0"/>
          <w:sz w:val="20"/>
        </w:rPr>
        <w:t>21.5 Amounts Not to be Included in Investment Income</w:t>
      </w:r>
    </w:p>
    <w:p>
      <w:pPr>
        <w:spacing w:after="80" w:line="252" w:lineRule="auto"/>
      </w:pPr>
      <w:r>
        <w:rPr>
          <w:rFonts w:ascii="Arial" w:hAnsi="Arial" w:eastAsia="Arial"/>
          <w:b w:val="0"/>
          <w:i w:val="0"/>
          <w:sz w:val="20"/>
        </w:rPr>
        <w:t>Section 9(3) of the Act provides as follows regarding amounts not to be included in investment income:</w:t>
      </w:r>
    </w:p>
    <w:p>
      <w:pPr>
        <w:spacing w:after="80" w:line="252" w:lineRule="auto"/>
      </w:pPr>
      <w:r>
        <w:rPr>
          <w:rFonts w:ascii="Arial" w:hAnsi="Arial" w:eastAsia="Arial"/>
          <w:b w:val="0"/>
          <w:i w:val="0"/>
          <w:sz w:val="20"/>
        </w:rPr>
        <w:t>9(3) Notwithstanding subsection (2), the following matters shall not be included in computing profits and gains derived by a person from investment:</w:t>
      </w:r>
    </w:p>
    <w:p>
      <w:pPr>
        <w:spacing w:after="80" w:line="252" w:lineRule="auto"/>
      </w:pPr>
      <w:r>
        <w:rPr>
          <w:rFonts w:ascii="Arial" w:hAnsi="Arial" w:eastAsia="Arial"/>
          <w:b w:val="0"/>
          <w:i w:val="0"/>
          <w:sz w:val="20"/>
        </w:rPr>
        <w:t>9(3)(a) amounts exempt under sections 10, 54 and 69 and final withholding payments.</w:t>
      </w:r>
    </w:p>
    <w:p>
      <w:pPr>
        <w:spacing w:after="80" w:line="252" w:lineRule="auto"/>
      </w:pPr>
      <w:r>
        <w:rPr>
          <w:rFonts w:ascii="Arial" w:hAnsi="Arial" w:eastAsia="Arial"/>
          <w:b w:val="0"/>
          <w:i w:val="0"/>
          <w:sz w:val="20"/>
        </w:rPr>
        <w:t>The following amounts under section 10 of the Act need not be included in income:</w:t>
      </w:r>
    </w:p>
    <w:p>
      <w:pPr>
        <w:spacing w:after="80" w:line="252" w:lineRule="auto"/>
      </w:pPr>
      <w:r>
        <w:rPr>
          <w:rFonts w:ascii="Arial" w:hAnsi="Arial" w:eastAsia="Arial"/>
          <w:b w:val="0"/>
          <w:i w:val="0"/>
          <w:sz w:val="20"/>
        </w:rPr>
        <w:t>10(a) amounts of tax-exempt income received by a person entitled to tax exemption under a bilateral or multilateral treaty or agreement between the Government of Nepal and a foreign country or international organization.</w:t>
      </w:r>
    </w:p>
    <w:p>
      <w:pPr>
        <w:spacing w:after="80" w:line="252" w:lineRule="auto"/>
      </w:pPr>
      <w:r>
        <w:rPr>
          <w:rFonts w:ascii="Arial" w:hAnsi="Arial" w:eastAsia="Arial"/>
          <w:b w:val="0"/>
          <w:i w:val="0"/>
          <w:sz w:val="20"/>
        </w:rPr>
        <w:t>Where a person is entitled to tax exemption under a bilateral treaty between the Government of Nepal and a foreign country or an international organization, the amount received under that treaty is tax-exempt income.</w:t>
      </w:r>
    </w:p>
    <w:p>
      <w:pPr>
        <w:spacing w:after="80" w:line="252" w:lineRule="auto"/>
      </w:pPr>
      <w:r>
        <w:rPr>
          <w:rFonts w:ascii="Arial" w:hAnsi="Arial" w:eastAsia="Arial"/>
          <w:b w:val="0"/>
          <w:i w:val="0"/>
          <w:sz w:val="20"/>
        </w:rPr>
        <w:t>10(jha) any income of the Government of Nepal, a Provincial Government or a Local Level.</w:t>
      </w:r>
    </w:p>
    <w:p>
      <w:pPr>
        <w:spacing w:after="80" w:line="252" w:lineRule="auto"/>
      </w:pPr>
      <w:r>
        <w:rPr>
          <w:rFonts w:ascii="Arial" w:hAnsi="Arial" w:eastAsia="Arial"/>
          <w:b w:val="0"/>
          <w:i w:val="0"/>
          <w:sz w:val="20"/>
        </w:rPr>
        <w:t>Income of the Government of Nepal, a Provincial Government or a Local Level is fully tax-exempt. Therefore, tax need not be withheld at source on amounts paid to the Government of Nepal, a Provincial Government or a Local Level. Investment-type payments received by the Government of Nepal, a Provincial Government or a Local Level for capital investment, loan investment or use of natural resources are exempt for income tax purposes. However, income of a business entity wholly owned by the Government of Nepal, such as Rastriya Banijya Bank, is not exempt under this clause.</w:t>
      </w:r>
    </w:p>
    <w:p>
      <w:pPr>
        <w:pStyle w:val="Heading3"/>
        <w:spacing w:after="80" w:line="252" w:lineRule="auto"/>
      </w:pPr>
      <w:r>
        <w:rPr>
          <w:rFonts w:ascii="Arial" w:hAnsi="Arial" w:eastAsia="Arial"/>
          <w:b w:val="0"/>
          <w:i w:val="0"/>
          <w:sz w:val="20"/>
        </w:rPr>
        <w:t>Dividends distributed by a company or partnership firm</w:t>
      </w:r>
    </w:p>
    <w:p>
      <w:pPr>
        <w:spacing w:after="80" w:line="252" w:lineRule="auto"/>
      </w:pPr>
      <w:r>
        <w:rPr>
          <w:rFonts w:ascii="Arial" w:hAnsi="Arial" w:eastAsia="Arial"/>
          <w:b w:val="0"/>
          <w:i w:val="0"/>
          <w:sz w:val="20"/>
        </w:rPr>
        <w:t>Under section 54 of the Act, dividends distributed by a resident company or partnership firm are taxed by final withholding at the time of distribution. Therefore, those dividends need not be included for the purpose of computing income. Detailed explanation is provided in Chapter 13 of this Directive.</w:t>
      </w:r>
    </w:p>
    <w:p>
      <w:pPr>
        <w:pStyle w:val="Heading3"/>
        <w:spacing w:after="80" w:line="252" w:lineRule="auto"/>
      </w:pPr>
      <w:r>
        <w:rPr>
          <w:rFonts w:ascii="Arial" w:hAnsi="Arial" w:eastAsia="Arial"/>
          <w:b w:val="0"/>
          <w:i w:val="0"/>
          <w:sz w:val="20"/>
        </w:rPr>
        <w:t>Amounts distributed by a controlled foreign entity</w:t>
      </w:r>
    </w:p>
    <w:p>
      <w:pPr>
        <w:spacing w:after="80" w:line="252" w:lineRule="auto"/>
      </w:pPr>
      <w:r>
        <w:rPr>
          <w:rFonts w:ascii="Arial" w:hAnsi="Arial" w:eastAsia="Arial"/>
          <w:b w:val="0"/>
          <w:i w:val="0"/>
          <w:sz w:val="20"/>
        </w:rPr>
        <w:t>Except for dividends distributed by a controlled foreign entity under section 69(1) of the Act, other dividends need not be included in income for the purpose of computing income. Detailed explanation is provided in Chapter 14 of this Directive.</w:t>
      </w:r>
    </w:p>
    <w:p>
      <w:pPr>
        <w:pStyle w:val="Heading3"/>
        <w:spacing w:after="80" w:line="252" w:lineRule="auto"/>
      </w:pPr>
      <w:r>
        <w:rPr>
          <w:rFonts w:ascii="Arial" w:hAnsi="Arial" w:eastAsia="Arial"/>
          <w:b w:val="0"/>
          <w:i w:val="0"/>
          <w:sz w:val="20"/>
        </w:rPr>
        <w:t>Final withholding payments</w:t>
      </w:r>
    </w:p>
    <w:p>
      <w:pPr>
        <w:spacing w:after="80" w:line="252" w:lineRule="auto"/>
      </w:pPr>
      <w:r>
        <w:rPr>
          <w:rFonts w:ascii="Arial" w:hAnsi="Arial" w:eastAsia="Arial"/>
          <w:b w:val="0"/>
          <w:i w:val="0"/>
          <w:sz w:val="20"/>
        </w:rPr>
        <w:t>Amounts received as final withholding payments under section 92 of the Act need not be included in income. For example, a dividend received after tax withholding on a Nepal-source payment is treated as an amount paid after final withholding under section 92; therefore, it need not be included in income. Detailed explanation is provided in Chapter 16 of this Directive.</w:t>
      </w:r>
    </w:p>
    <w:p>
      <w:pPr>
        <w:spacing w:after="80" w:line="252" w:lineRule="auto"/>
      </w:pPr>
      <w:r>
        <w:rPr>
          <w:rFonts w:ascii="Arial" w:hAnsi="Arial" w:eastAsia="Arial"/>
          <w:b w:val="0"/>
          <w:i w:val="0"/>
          <w:sz w:val="20"/>
        </w:rPr>
        <w:t>9(3)(b) amounts included in computing the person’s income from employment or business.</w:t>
      </w:r>
    </w:p>
    <w:p>
      <w:pPr>
        <w:spacing w:after="80" w:line="252" w:lineRule="auto"/>
      </w:pPr>
      <w:r>
        <w:rPr>
          <w:rFonts w:ascii="Arial" w:hAnsi="Arial" w:eastAsia="Arial"/>
          <w:b w:val="0"/>
          <w:i w:val="0"/>
          <w:sz w:val="20"/>
        </w:rPr>
        <w:t>To avoid double inclusion, income already included in computing business income under section 7 or employment income under section 8 must not be included again in computing investment income.</w:t>
      </w:r>
    </w:p>
    <w:p>
      <w:pPr>
        <w:pStyle w:val="Heading2"/>
        <w:spacing w:after="80" w:line="252" w:lineRule="auto"/>
      </w:pPr>
      <w:r>
        <w:rPr>
          <w:rFonts w:ascii="Arial" w:hAnsi="Arial" w:eastAsia="Arial"/>
          <w:b w:val="0"/>
          <w:i w:val="0"/>
          <w:sz w:val="20"/>
        </w:rPr>
        <w:t>21.6 Deductions</w:t>
      </w:r>
    </w:p>
    <w:p>
      <w:pPr>
        <w:pStyle w:val="Heading3"/>
        <w:spacing w:after="80" w:line="252" w:lineRule="auto"/>
      </w:pPr>
      <w:r>
        <w:rPr>
          <w:rFonts w:ascii="Arial" w:hAnsi="Arial" w:eastAsia="Arial"/>
          <w:b w:val="0"/>
          <w:i w:val="0"/>
          <w:sz w:val="20"/>
        </w:rPr>
        <w:t>21.6.1 General Deduction</w:t>
      </w:r>
    </w:p>
    <w:p>
      <w:pPr>
        <w:spacing w:after="80" w:line="252" w:lineRule="auto"/>
      </w:pPr>
      <w:r>
        <w:rPr>
          <w:rFonts w:ascii="Arial" w:hAnsi="Arial" w:eastAsia="Arial"/>
          <w:b w:val="0"/>
          <w:i w:val="0"/>
          <w:sz w:val="20"/>
        </w:rPr>
        <w:t>In determining a person’s investment income for an income year, generally all expenses connected with the transaction may be claimed as deductions. Section 13 of the Act provides:</w:t>
      </w:r>
    </w:p>
    <w:p>
      <w:pPr>
        <w:spacing w:after="80" w:line="252" w:lineRule="auto"/>
      </w:pPr>
      <w:r>
        <w:rPr>
          <w:rFonts w:ascii="Arial" w:hAnsi="Arial" w:eastAsia="Arial"/>
          <w:b w:val="0"/>
          <w:i w:val="0"/>
          <w:sz w:val="20"/>
        </w:rPr>
        <w:t>13. For the purpose of computing income from business or investment for any income year, a person may deduct, subject to this Act, the following expenses connected with the transaction:</w:t>
      </w:r>
    </w:p>
    <w:p>
      <w:pPr>
        <w:pStyle w:val="ListBullet"/>
        <w:spacing w:after="80" w:line="252" w:lineRule="auto"/>
      </w:pPr>
      <w:r>
        <w:rPr>
          <w:rFonts w:ascii="Arial" w:hAnsi="Arial" w:eastAsia="Arial"/>
          <w:b w:val="0"/>
          <w:i w:val="0"/>
          <w:sz w:val="20"/>
        </w:rPr>
        <w:t>expenses incurred during that income year;</w:t>
      </w:r>
    </w:p>
    <w:p>
      <w:pPr>
        <w:pStyle w:val="ListBullet"/>
        <w:spacing w:after="80" w:line="252" w:lineRule="auto"/>
      </w:pPr>
      <w:r>
        <w:rPr>
          <w:rFonts w:ascii="Arial" w:hAnsi="Arial" w:eastAsia="Arial"/>
          <w:b w:val="0"/>
          <w:i w:val="0"/>
          <w:sz w:val="20"/>
        </w:rPr>
        <w:t>expenses incurred by that person; and</w:t>
      </w:r>
    </w:p>
    <w:p>
      <w:pPr>
        <w:pStyle w:val="ListBullet"/>
        <w:spacing w:after="80" w:line="252" w:lineRule="auto"/>
      </w:pPr>
      <w:r>
        <w:rPr>
          <w:rFonts w:ascii="Arial" w:hAnsi="Arial" w:eastAsia="Arial"/>
          <w:b w:val="0"/>
          <w:i w:val="0"/>
          <w:sz w:val="20"/>
        </w:rPr>
        <w:t>expenses incurred in the activity of deriving income from the business or investment.</w:t>
      </w:r>
    </w:p>
    <w:p>
      <w:pPr>
        <w:spacing w:after="80" w:line="252" w:lineRule="auto"/>
      </w:pPr>
      <w:r>
        <w:rPr>
          <w:rFonts w:ascii="Arial" w:hAnsi="Arial" w:eastAsia="Arial"/>
          <w:b w:val="0"/>
          <w:i w:val="0"/>
          <w:sz w:val="20"/>
        </w:rPr>
        <w:t>Expenses incurred during that year, by that person, and in the activity of earning income from investment may be claimed as general deductions. If all three conditions are not satisfied, the expense cannot be claimed as a deduction.</w:t>
      </w:r>
    </w:p>
    <w:p>
      <w:pPr>
        <w:spacing w:after="80" w:line="252" w:lineRule="auto"/>
      </w:pPr>
      <w:r>
        <w:rPr>
          <w:rFonts w:ascii="Arial" w:hAnsi="Arial" w:eastAsia="Arial"/>
          <w:b/>
          <w:i w:val="0"/>
          <w:sz w:val="20"/>
        </w:rPr>
        <w:t>Example 21.6.1:</w:t>
      </w:r>
    </w:p>
    <w:p>
      <w:pPr>
        <w:spacing w:after="80" w:line="252" w:lineRule="auto"/>
      </w:pPr>
      <w:r>
        <w:rPr>
          <w:rFonts w:ascii="Arial" w:hAnsi="Arial" w:eastAsia="Arial"/>
          <w:b w:val="0"/>
          <w:i w:val="0"/>
          <w:sz w:val="20"/>
        </w:rPr>
        <w:t>Assume that Govinda Prasad made a loan investment in an entity. For collecting interest on that loan and maintaining accounts, he appointed an employee in income year 2080/81 and paid remuneration of Rs. 30,000. Since the expense was incurred during that income year in the activity of earning investment income, he may claim deduction of that remuneration in income year 2080/81.</w:t>
      </w:r>
    </w:p>
    <w:p>
      <w:pPr>
        <w:pStyle w:val="Heading3"/>
        <w:spacing w:after="80" w:line="252" w:lineRule="auto"/>
      </w:pPr>
      <w:r>
        <w:rPr>
          <w:rFonts w:ascii="Arial" w:hAnsi="Arial" w:eastAsia="Arial"/>
          <w:b w:val="0"/>
          <w:i w:val="0"/>
          <w:sz w:val="20"/>
        </w:rPr>
        <w:t>21.6.2 Interest Deduction</w:t>
      </w:r>
    </w:p>
    <w:p>
      <w:pPr>
        <w:spacing w:after="80" w:line="252" w:lineRule="auto"/>
      </w:pPr>
      <w:r>
        <w:rPr>
          <w:rFonts w:ascii="Arial" w:hAnsi="Arial" w:eastAsia="Arial"/>
          <w:b w:val="0"/>
          <w:i w:val="0"/>
          <w:sz w:val="20"/>
        </w:rPr>
        <w:t>In determining investment income of a person for an income year, interest connected with the transaction may generally be deducted in full. Section 14 of the Act provides:</w:t>
      </w:r>
    </w:p>
    <w:p>
      <w:pPr>
        <w:spacing w:after="80" w:line="252" w:lineRule="auto"/>
      </w:pPr>
      <w:r>
        <w:rPr>
          <w:rFonts w:ascii="Arial" w:hAnsi="Arial" w:eastAsia="Arial"/>
          <w:b w:val="0"/>
          <w:i w:val="0"/>
          <w:sz w:val="20"/>
        </w:rPr>
        <w:t>14(1) A person may deduct all interest incurred during an income year under the following debt obligations created for the purpose of deriving income from business or investment:</w:t>
      </w:r>
    </w:p>
    <w:p>
      <w:pPr>
        <w:pStyle w:val="ListBullet"/>
        <w:spacing w:after="80" w:line="252" w:lineRule="auto"/>
      </w:pPr>
      <w:r>
        <w:rPr>
          <w:rFonts w:ascii="Arial" w:hAnsi="Arial" w:eastAsia="Arial"/>
          <w:b w:val="0"/>
          <w:i w:val="0"/>
          <w:sz w:val="20"/>
        </w:rPr>
        <w:t>where the debt obligation is created by borrowing an amount, and that amount is used in that year or used to acquire an asset used in that year; or</w:t>
      </w:r>
    </w:p>
    <w:p>
      <w:pPr>
        <w:pStyle w:val="ListBullet"/>
        <w:spacing w:after="80" w:line="252" w:lineRule="auto"/>
      </w:pPr>
      <w:r>
        <w:rPr>
          <w:rFonts w:ascii="Arial" w:hAnsi="Arial" w:eastAsia="Arial"/>
          <w:b w:val="0"/>
          <w:i w:val="0"/>
          <w:sz w:val="20"/>
        </w:rPr>
        <w:t>where the debt obligation is created in any other circumstances.</w:t>
      </w:r>
    </w:p>
    <w:p>
      <w:pPr>
        <w:spacing w:after="80" w:line="252" w:lineRule="auto"/>
      </w:pPr>
      <w:r>
        <w:rPr>
          <w:rFonts w:ascii="Arial" w:hAnsi="Arial" w:eastAsia="Arial"/>
          <w:b w:val="0"/>
          <w:i w:val="0"/>
          <w:sz w:val="20"/>
        </w:rPr>
        <w:t>Under section 14(1), for computing income from investment, a person may deduct all interest incurred in that year under a debt obligation used to acquire an asset used in that year or created for earning income from investment.</w:t>
      </w:r>
    </w:p>
    <w:p>
      <w:pPr>
        <w:spacing w:after="80" w:line="252" w:lineRule="auto"/>
      </w:pPr>
      <w:r>
        <w:rPr>
          <w:rFonts w:ascii="Arial" w:hAnsi="Arial" w:eastAsia="Arial"/>
          <w:b/>
          <w:i w:val="0"/>
          <w:sz w:val="20"/>
        </w:rPr>
        <w:t>Example 21.6.2:</w:t>
      </w:r>
    </w:p>
    <w:p>
      <w:pPr>
        <w:spacing w:after="80" w:line="252" w:lineRule="auto"/>
      </w:pPr>
      <w:r>
        <w:rPr>
          <w:rFonts w:ascii="Arial" w:hAnsi="Arial" w:eastAsia="Arial"/>
          <w:b w:val="0"/>
          <w:i w:val="0"/>
          <w:sz w:val="20"/>
        </w:rPr>
        <w:t>Assume that Govinda Prasad made a loan investment of Rs. 1,000,000 in an entity. To make that loan investment, he borrowed Rs. 500,000 from a bank. In income year 2080/81, he earned interest income of Rs. 120,000 from the investment and paid interest of Rs. 50,000 on the borrowing. Since the interest payment was incurred during that year in earning investment income, he may claim deduction of the interest expense in income year 2080/81.</w:t>
      </w:r>
    </w:p>
    <w:p>
      <w:pPr>
        <w:spacing w:after="80" w:line="252" w:lineRule="auto"/>
      </w:pPr>
      <w:r>
        <w:rPr>
          <w:rFonts w:ascii="Arial" w:hAnsi="Arial" w:eastAsia="Arial"/>
          <w:b w:val="0"/>
          <w:i w:val="0"/>
          <w:sz w:val="20"/>
        </w:rPr>
        <w:t>14(2) Notwithstanding subsection (1), where a resident entity controlled by a organization entitled to enjoy exemption pays interest during an income year to a controlling person or an associated person, the interest deductible under subsection (1) shall not exceed the sum of the following amounts:</w:t>
      </w:r>
    </w:p>
    <w:p>
      <w:pPr>
        <w:pStyle w:val="ListBullet"/>
        <w:spacing w:after="80" w:line="252" w:lineRule="auto"/>
      </w:pPr>
      <w:r>
        <w:rPr>
          <w:rFonts w:ascii="Arial" w:hAnsi="Arial" w:eastAsia="Arial"/>
          <w:b w:val="0"/>
          <w:i w:val="0"/>
          <w:sz w:val="20"/>
        </w:rPr>
        <w:t>all interest received during that year and included in computing the entity’s taxable income; and</w:t>
      </w:r>
    </w:p>
    <w:p>
      <w:pPr>
        <w:pStyle w:val="ListBullet"/>
        <w:spacing w:after="80" w:line="252" w:lineRule="auto"/>
      </w:pPr>
      <w:r>
        <w:rPr>
          <w:rFonts w:ascii="Arial" w:hAnsi="Arial" w:eastAsia="Arial"/>
          <w:b w:val="0"/>
          <w:i w:val="0"/>
          <w:sz w:val="20"/>
        </w:rPr>
        <w:t>fifty percent of the entity’s adjusted taxable income for that year, computed without including any interest received by the entity or deducting any interest paid by the entity.</w:t>
      </w:r>
    </w:p>
    <w:p>
      <w:pPr>
        <w:spacing w:after="80" w:line="252" w:lineRule="auto"/>
      </w:pPr>
      <w:r>
        <w:rPr>
          <w:rFonts w:ascii="Arial" w:hAnsi="Arial" w:eastAsia="Arial"/>
          <w:b w:val="0"/>
          <w:i w:val="0"/>
          <w:sz w:val="20"/>
        </w:rPr>
        <w:t>The explanation to section 14 defines a resident entity controlled by a organization entitled to enjoy exemption as follows:</w:t>
      </w:r>
    </w:p>
    <w:p>
      <w:pPr>
        <w:spacing w:after="80" w:line="252" w:lineRule="auto"/>
      </w:pPr>
      <w:r>
        <w:rPr>
          <w:rFonts w:ascii="Arial" w:hAnsi="Arial" w:eastAsia="Arial"/>
          <w:b w:val="0"/>
          <w:i w:val="0"/>
          <w:sz w:val="20"/>
        </w:rPr>
        <w:t>For the purpose of this section, "resident entity controlled by a organization entitled to enjoy exemption" for an income year means an entity that is a resident entity during that year and, at any time during that year, twenty-five percent or more of the underlying ownership or control in that resident entity is held by any of the following persons or organizations:</w:t>
      </w:r>
    </w:p>
    <w:p>
      <w:pPr>
        <w:pStyle w:val="ListBullet"/>
        <w:spacing w:after="80" w:line="252" w:lineRule="auto"/>
      </w:pPr>
      <w:r>
        <w:rPr>
          <w:rFonts w:ascii="Arial" w:hAnsi="Arial" w:eastAsia="Arial"/>
          <w:b w:val="0"/>
          <w:i w:val="0"/>
          <w:sz w:val="20"/>
        </w:rPr>
        <w:t>a organization entitled to enjoy exemption and its associated persons;</w:t>
      </w:r>
    </w:p>
    <w:p>
      <w:pPr>
        <w:pStyle w:val="ListBullet"/>
        <w:spacing w:after="80" w:line="252" w:lineRule="auto"/>
      </w:pPr>
      <w:r>
        <w:rPr>
          <w:rFonts w:ascii="Arial" w:hAnsi="Arial" w:eastAsia="Arial"/>
          <w:b w:val="0"/>
          <w:i w:val="0"/>
          <w:sz w:val="20"/>
        </w:rPr>
        <w:t>a person entitled to tax exemption under section 11 during that year or an associated person of such person;</w:t>
      </w:r>
    </w:p>
    <w:p>
      <w:pPr>
        <w:pStyle w:val="ListBullet"/>
        <w:spacing w:after="80" w:line="252" w:lineRule="auto"/>
      </w:pPr>
      <w:r>
        <w:rPr>
          <w:rFonts w:ascii="Arial" w:hAnsi="Arial" w:eastAsia="Arial"/>
          <w:b w:val="0"/>
          <w:i w:val="0"/>
          <w:sz w:val="20"/>
        </w:rPr>
        <w:t>a non-resident person or an associated person of a non-resident person; or</w:t>
      </w:r>
    </w:p>
    <w:p>
      <w:pPr>
        <w:pStyle w:val="ListBullet"/>
        <w:spacing w:after="80" w:line="252" w:lineRule="auto"/>
      </w:pPr>
      <w:r>
        <w:rPr>
          <w:rFonts w:ascii="Arial" w:hAnsi="Arial" w:eastAsia="Arial"/>
          <w:b w:val="0"/>
          <w:i w:val="0"/>
          <w:sz w:val="20"/>
        </w:rPr>
        <w:t>any combination of the persons listed above.</w:t>
      </w:r>
    </w:p>
    <w:p>
      <w:pPr>
        <w:spacing w:after="80" w:line="252" w:lineRule="auto"/>
      </w:pPr>
      <w:r>
        <w:rPr>
          <w:rFonts w:ascii="Arial" w:hAnsi="Arial" w:eastAsia="Arial"/>
          <w:b w:val="0"/>
          <w:i w:val="0"/>
          <w:sz w:val="20"/>
        </w:rPr>
        <w:t>Accordingly, where a resident entity controlled by a organization entitled to enjoy exemption pays interest to a controlling person or associated person, interest deduction for that year is limited to the sum of all interest included in taxable income for that year and fifty percent of adjusted taxable income computed before interest expense and interest income of that entity.</w:t>
      </w:r>
    </w:p>
    <w:p>
      <w:pPr>
        <w:spacing w:after="80" w:line="252" w:lineRule="auto"/>
      </w:pPr>
      <w:r>
        <w:rPr>
          <w:rFonts w:ascii="Arial" w:hAnsi="Arial" w:eastAsia="Arial"/>
          <w:b w:val="0"/>
          <w:i w:val="0"/>
          <w:sz w:val="20"/>
        </w:rPr>
        <w:t>Section 2(ka na 1) defines adjusted taxable income as follows:</w:t>
      </w:r>
    </w:p>
    <w:p>
      <w:pPr>
        <w:spacing w:after="80" w:line="252" w:lineRule="auto"/>
      </w:pPr>
      <w:r>
        <w:rPr>
          <w:rFonts w:ascii="Arial" w:hAnsi="Arial" w:eastAsia="Arial"/>
          <w:b w:val="0"/>
          <w:i w:val="0"/>
          <w:sz w:val="20"/>
        </w:rPr>
        <w:t>2(ka na 1) "Adjusted taxable income" means taxable income computed without reducing any amount under sections 12, 12A, 12B and 12C and without making deductions under section 14(2), section 17 or section 18.</w:t>
      </w:r>
    </w:p>
    <w:p>
      <w:pPr>
        <w:spacing w:after="80" w:line="252" w:lineRule="auto"/>
      </w:pPr>
      <w:r>
        <w:rPr>
          <w:rFonts w:ascii="Arial" w:hAnsi="Arial" w:eastAsia="Arial"/>
          <w:b w:val="0"/>
          <w:i w:val="0"/>
          <w:sz w:val="20"/>
        </w:rPr>
        <w:t>In other words, in the case of a resident entity controlled by a organization entitled to enjoy exemption, adjusted taxable income is the taxable income before deduction of interest paid to a controlling or associated person, pollution control expenses, research and development expenses, and donation expenses.</w:t>
      </w:r>
    </w:p>
    <w:p>
      <w:pPr>
        <w:spacing w:after="80" w:line="252" w:lineRule="auto"/>
      </w:pPr>
      <w:r>
        <w:rPr>
          <w:rFonts w:ascii="Arial" w:hAnsi="Arial" w:eastAsia="Arial"/>
          <w:b w:val="0"/>
          <w:i w:val="0"/>
          <w:sz w:val="20"/>
        </w:rPr>
        <w:t>14(3) Any interest not deducted or not allowed as a deduction under subsection (2) may be carried forward and shown as an expense in the following income year.</w:t>
      </w:r>
    </w:p>
    <w:p>
      <w:pPr>
        <w:spacing w:after="80" w:line="252" w:lineRule="auto"/>
      </w:pPr>
      <w:r>
        <w:rPr>
          <w:rFonts w:ascii="Arial" w:hAnsi="Arial" w:eastAsia="Arial"/>
          <w:b w:val="0"/>
          <w:i w:val="0"/>
          <w:sz w:val="20"/>
        </w:rPr>
        <w:t>If interest paid by a resident entity controlled by a organization entitled to enjoy exemption to a controlling or associated person exceeds the limit prescribed in section 14(2), the excess interest expense may be carried forward and claimed in a subsequent income year.</w:t>
      </w:r>
    </w:p>
    <w:p>
      <w:pPr>
        <w:pStyle w:val="Heading3"/>
        <w:spacing w:after="80" w:line="252" w:lineRule="auto"/>
      </w:pPr>
      <w:r>
        <w:rPr>
          <w:rFonts w:ascii="Arial" w:hAnsi="Arial" w:eastAsia="Arial"/>
          <w:b w:val="0"/>
          <w:i w:val="0"/>
          <w:sz w:val="20"/>
        </w:rPr>
        <w:t>21.6.3 Repair and Improvement Expenses</w:t>
      </w:r>
    </w:p>
    <w:p>
      <w:pPr>
        <w:spacing w:after="80" w:line="252" w:lineRule="auto"/>
      </w:pPr>
      <w:r>
        <w:rPr>
          <w:rFonts w:ascii="Arial" w:hAnsi="Arial" w:eastAsia="Arial"/>
          <w:b w:val="0"/>
          <w:i w:val="0"/>
          <w:sz w:val="20"/>
        </w:rPr>
        <w:t>In determining investment income, repair and improvement expenses connected with the transaction may generally be claimed as deductions. Section 16(1), (2) and (3) of the Act provide:</w:t>
      </w:r>
    </w:p>
    <w:p>
      <w:pPr>
        <w:spacing w:after="80" w:line="252" w:lineRule="auto"/>
      </w:pPr>
      <w:r>
        <w:rPr>
          <w:rFonts w:ascii="Arial" w:hAnsi="Arial" w:eastAsia="Arial"/>
          <w:b w:val="0"/>
          <w:i w:val="0"/>
          <w:sz w:val="20"/>
        </w:rPr>
        <w:t>16(1) In computing income from business or investment for any income year, a person may deduct all expenses incurred during that year for repair or improvement of depreciable property owned and used during that year in deriving income from the business or investment.</w:t>
      </w:r>
    </w:p>
    <w:p>
      <w:pPr>
        <w:spacing w:after="80" w:line="252" w:lineRule="auto"/>
      </w:pPr>
      <w:r>
        <w:rPr>
          <w:rFonts w:ascii="Arial" w:hAnsi="Arial" w:eastAsia="Arial"/>
          <w:b w:val="0"/>
          <w:i w:val="0"/>
          <w:sz w:val="20"/>
        </w:rPr>
        <w:t>16(2) Notwithstanding subsection (1), deduction of expenses under that subsection shall not exceed seven percent of the depreciation basis of the pool of assets at the end of that income year. Provided that this limit shall not apply to repair and maintenance expenses incurred by a person providing air transport services in testing aircraft under standards prescribed by the Civil Aviation Authority of Nepal.</w:t>
      </w:r>
    </w:p>
    <w:p>
      <w:pPr>
        <w:spacing w:after="80" w:line="252" w:lineRule="auto"/>
      </w:pPr>
      <w:r>
        <w:rPr>
          <w:rFonts w:ascii="Arial" w:hAnsi="Arial" w:eastAsia="Arial"/>
          <w:b w:val="0"/>
          <w:i w:val="0"/>
          <w:sz w:val="20"/>
        </w:rPr>
        <w:t>16(3) Any excess repair and improvement expense, or part thereof, that cannot be deducted because of the limitation under subsection (2) may be added to the depreciation basis of the relevant pool of assets at the beginning of the next income year.</w:t>
      </w:r>
    </w:p>
    <w:p>
      <w:pPr>
        <w:spacing w:after="80" w:line="252" w:lineRule="auto"/>
      </w:pPr>
      <w:r>
        <w:rPr>
          <w:rFonts w:ascii="Arial" w:hAnsi="Arial" w:eastAsia="Arial"/>
          <w:b w:val="0"/>
          <w:i w:val="0"/>
          <w:sz w:val="20"/>
        </w:rPr>
        <w:t>Under section 16(1), a person may claim repair and maintenance expense deduction in computing investment income if all of the following conditions are satisfied:</w:t>
      </w:r>
    </w:p>
    <w:p>
      <w:pPr>
        <w:pStyle w:val="ListBullet"/>
        <w:spacing w:after="80" w:line="252" w:lineRule="auto"/>
      </w:pPr>
      <w:r>
        <w:rPr>
          <w:rFonts w:ascii="Arial" w:hAnsi="Arial" w:eastAsia="Arial"/>
          <w:b w:val="0"/>
          <w:i w:val="0"/>
          <w:sz w:val="20"/>
        </w:rPr>
        <w:t>the asset is used in the activity of deriving income from investment;</w:t>
      </w:r>
    </w:p>
    <w:p>
      <w:pPr>
        <w:pStyle w:val="ListBullet"/>
        <w:spacing w:after="80" w:line="252" w:lineRule="auto"/>
      </w:pPr>
      <w:r>
        <w:rPr>
          <w:rFonts w:ascii="Arial" w:hAnsi="Arial" w:eastAsia="Arial"/>
          <w:b w:val="0"/>
          <w:i w:val="0"/>
          <w:sz w:val="20"/>
        </w:rPr>
        <w:t>the asset is owned by the person; and</w:t>
      </w:r>
    </w:p>
    <w:p>
      <w:pPr>
        <w:pStyle w:val="ListBullet"/>
        <w:spacing w:after="80" w:line="252" w:lineRule="auto"/>
      </w:pPr>
      <w:r>
        <w:rPr>
          <w:rFonts w:ascii="Arial" w:hAnsi="Arial" w:eastAsia="Arial"/>
          <w:b w:val="0"/>
          <w:i w:val="0"/>
          <w:sz w:val="20"/>
        </w:rPr>
        <w:t>the asset used is a depreciable property.</w:t>
      </w:r>
    </w:p>
    <w:p>
      <w:pPr>
        <w:spacing w:after="80" w:line="252" w:lineRule="auto"/>
      </w:pPr>
      <w:r>
        <w:rPr>
          <w:rFonts w:ascii="Arial" w:hAnsi="Arial" w:eastAsia="Arial"/>
          <w:b w:val="0"/>
          <w:i w:val="0"/>
          <w:sz w:val="20"/>
        </w:rPr>
        <w:t>As prescribed in subsection (2), the repair or improvement expense claimed as deduction must not exceed seven percent of the depreciation basis of the pool of assets at the end of that income year.</w:t>
      </w:r>
    </w:p>
    <w:p>
      <w:pPr>
        <w:spacing w:after="80" w:line="252" w:lineRule="auto"/>
      </w:pPr>
      <w:r>
        <w:rPr>
          <w:rFonts w:ascii="Arial" w:hAnsi="Arial" w:eastAsia="Arial"/>
          <w:b/>
          <w:i w:val="0"/>
          <w:sz w:val="20"/>
        </w:rPr>
        <w:t>Example 21.6.3:</w:t>
      </w:r>
    </w:p>
    <w:p>
      <w:pPr>
        <w:spacing w:after="80" w:line="252" w:lineRule="auto"/>
      </w:pPr>
      <w:r>
        <w:rPr>
          <w:rFonts w:ascii="Arial" w:hAnsi="Arial" w:eastAsia="Arial"/>
          <w:b w:val="0"/>
          <w:i w:val="0"/>
          <w:sz w:val="20"/>
        </w:rPr>
        <w:t>Assume that in income year 2080/81 Govinda Prasad rented a car to Nepal Byapar Bikas Pvt. Ltd., and under the agreement he was required to bear repair and improvement expenses of the car. During that income year, repair and improvement expenses and asset position were as follows:</w:t>
      </w:r>
    </w:p>
    <w:tbl>
      <w:tblPr>
        <w:tblStyle w:val="TableGrid"/>
        <w:tblW w:type="auto" w:w="0"/>
        <w:jc w:val="center"/>
        <w:tblLook w:firstColumn="1" w:firstRow="1" w:lastColumn="0" w:lastRow="0" w:noHBand="0" w:noVBand="1" w:val="04A0"/>
      </w:tblPr>
      <w:tblGrid>
        <w:gridCol w:w="5040"/>
        <w:gridCol w:w="5040"/>
      </w:tblGrid>
      <w:tr>
        <w:tc>
          <w:tcPr>
            <w:tcW w:type="dxa" w:w="6480"/>
            <w:vAlign w:val="center"/>
            <w:shd w:fill="D9EAF7"/>
          </w:tcPr>
          <w:p>
            <w:r>
              <w:rPr>
                <w:rFonts w:ascii="Arial" w:hAnsi="Arial" w:eastAsia="Arial"/>
                <w:sz w:val="18"/>
              </w:rPr>
            </w:r>
            <w:r>
              <w:rPr>
                <w:rFonts w:ascii="Arial" w:hAnsi="Arial" w:eastAsia="Arial"/>
                <w:b/>
                <w:sz w:val="18"/>
              </w:rPr>
              <w:t>Description</w:t>
            </w:r>
          </w:p>
        </w:tc>
        <w:tc>
          <w:tcPr>
            <w:tcW w:type="dxa" w:w="2880"/>
            <w:vAlign w:val="center"/>
            <w:shd w:fill="D9EAF7"/>
          </w:tcPr>
          <w:p>
            <w:r>
              <w:rPr>
                <w:rFonts w:ascii="Arial" w:hAnsi="Arial" w:eastAsia="Arial"/>
                <w:sz w:val="18"/>
              </w:rPr>
            </w:r>
            <w:r>
              <w:rPr>
                <w:rFonts w:ascii="Arial" w:hAnsi="Arial" w:eastAsia="Arial"/>
                <w:b/>
                <w:sz w:val="18"/>
              </w:rPr>
              <w:t>Amount</w:t>
            </w:r>
          </w:p>
        </w:tc>
      </w:tr>
      <w:tr>
        <w:tc>
          <w:tcPr>
            <w:tcW w:type="dxa" w:w="6480"/>
            <w:vAlign w:val="center"/>
          </w:tcPr>
          <w:p>
            <w:r>
              <w:rPr>
                <w:rFonts w:ascii="Arial" w:hAnsi="Arial" w:eastAsia="Arial"/>
                <w:sz w:val="18"/>
              </w:rPr>
            </w:r>
            <w:r>
              <w:rPr>
                <w:rFonts w:ascii="Arial" w:hAnsi="Arial" w:eastAsia="Arial"/>
                <w:b w:val="0"/>
                <w:sz w:val="18"/>
              </w:rPr>
              <w:t>Repair and improvement expense - Pool "C" automobiles</w:t>
            </w:r>
          </w:p>
        </w:tc>
        <w:tc>
          <w:tcPr>
            <w:tcW w:type="dxa" w:w="2880"/>
            <w:vAlign w:val="center"/>
          </w:tcPr>
          <w:p>
            <w:r>
              <w:rPr>
                <w:rFonts w:ascii="Arial" w:hAnsi="Arial" w:eastAsia="Arial"/>
                <w:sz w:val="18"/>
              </w:rPr>
            </w:r>
            <w:r>
              <w:rPr>
                <w:rFonts w:ascii="Arial" w:hAnsi="Arial" w:eastAsia="Arial"/>
                <w:b w:val="0"/>
                <w:sz w:val="18"/>
              </w:rPr>
              <w:t>Rs. 115,000</w:t>
            </w:r>
          </w:p>
        </w:tc>
      </w:tr>
      <w:tr>
        <w:tc>
          <w:tcPr>
            <w:tcW w:type="dxa" w:w="6480"/>
            <w:vAlign w:val="center"/>
          </w:tcPr>
          <w:p>
            <w:r>
              <w:rPr>
                <w:rFonts w:ascii="Arial" w:hAnsi="Arial" w:eastAsia="Arial"/>
                <w:sz w:val="18"/>
              </w:rPr>
            </w:r>
            <w:r>
              <w:rPr>
                <w:rFonts w:ascii="Arial" w:hAnsi="Arial" w:eastAsia="Arial"/>
                <w:b w:val="0"/>
                <w:sz w:val="18"/>
              </w:rPr>
              <w:t>Depreciation basis of Pool "C" automobiles</w:t>
            </w:r>
          </w:p>
        </w:tc>
        <w:tc>
          <w:tcPr>
            <w:tcW w:type="dxa" w:w="2880"/>
            <w:vAlign w:val="center"/>
          </w:tcPr>
          <w:p>
            <w:r>
              <w:rPr>
                <w:rFonts w:ascii="Arial" w:hAnsi="Arial" w:eastAsia="Arial"/>
                <w:sz w:val="18"/>
              </w:rPr>
            </w:r>
            <w:r>
              <w:rPr>
                <w:rFonts w:ascii="Arial" w:hAnsi="Arial" w:eastAsia="Arial"/>
                <w:b w:val="0"/>
                <w:sz w:val="18"/>
              </w:rPr>
              <w:t>Rs. 1,500,000</w:t>
            </w:r>
          </w:p>
        </w:tc>
      </w:tr>
      <w:tr>
        <w:tc>
          <w:tcPr>
            <w:tcW w:type="dxa" w:w="6480"/>
            <w:vAlign w:val="center"/>
          </w:tcPr>
          <w:p>
            <w:r>
              <w:rPr>
                <w:rFonts w:ascii="Arial" w:hAnsi="Arial" w:eastAsia="Arial"/>
                <w:sz w:val="18"/>
              </w:rPr>
            </w:r>
            <w:r>
              <w:rPr>
                <w:rFonts w:ascii="Arial" w:hAnsi="Arial" w:eastAsia="Arial"/>
                <w:b w:val="0"/>
                <w:sz w:val="18"/>
              </w:rPr>
              <w:t>Deductible repair and improvement expense at 7%</w:t>
            </w:r>
          </w:p>
        </w:tc>
        <w:tc>
          <w:tcPr>
            <w:tcW w:type="dxa" w:w="2880"/>
            <w:vAlign w:val="center"/>
          </w:tcPr>
          <w:p>
            <w:r>
              <w:rPr>
                <w:rFonts w:ascii="Arial" w:hAnsi="Arial" w:eastAsia="Arial"/>
                <w:sz w:val="18"/>
              </w:rPr>
            </w:r>
            <w:r>
              <w:rPr>
                <w:rFonts w:ascii="Arial" w:hAnsi="Arial" w:eastAsia="Arial"/>
                <w:b w:val="0"/>
                <w:sz w:val="18"/>
              </w:rPr>
              <w:t>Rs. 105,000</w:t>
            </w:r>
          </w:p>
        </w:tc>
      </w:tr>
      <w:tr>
        <w:tc>
          <w:tcPr>
            <w:tcW w:type="dxa" w:w="6480"/>
            <w:vAlign w:val="center"/>
          </w:tcPr>
          <w:p>
            <w:r>
              <w:rPr>
                <w:rFonts w:ascii="Arial" w:hAnsi="Arial" w:eastAsia="Arial"/>
                <w:sz w:val="18"/>
              </w:rPr>
            </w:r>
            <w:r>
              <w:rPr>
                <w:rFonts w:ascii="Arial" w:hAnsi="Arial" w:eastAsia="Arial"/>
                <w:b w:val="0"/>
                <w:sz w:val="18"/>
              </w:rPr>
              <w:t>Repair and improvement expense not deductible, to be added to depreciation basis in next year</w:t>
            </w:r>
          </w:p>
        </w:tc>
        <w:tc>
          <w:tcPr>
            <w:tcW w:type="dxa" w:w="2880"/>
            <w:vAlign w:val="center"/>
          </w:tcPr>
          <w:p>
            <w:r>
              <w:rPr>
                <w:rFonts w:ascii="Arial" w:hAnsi="Arial" w:eastAsia="Arial"/>
                <w:sz w:val="18"/>
              </w:rPr>
            </w:r>
            <w:r>
              <w:rPr>
                <w:rFonts w:ascii="Arial" w:hAnsi="Arial" w:eastAsia="Arial"/>
                <w:b w:val="0"/>
                <w:sz w:val="18"/>
              </w:rPr>
              <w:t>Rs. 10,000</w:t>
            </w:r>
          </w:p>
        </w:tc>
      </w:tr>
    </w:tbl>
    <w:p>
      <w:pPr>
        <w:spacing w:after="80" w:line="252" w:lineRule="auto"/>
      </w:pPr>
      <w:r>
        <w:rPr>
          <w:rFonts w:ascii="Arial" w:hAnsi="Arial" w:eastAsia="Arial"/>
          <w:b w:val="0"/>
          <w:i w:val="0"/>
          <w:sz w:val="20"/>
        </w:rPr>
        <w:t>Only Rs. 105,000 may be claimed as a deduction in income year 2080/81. The non-deductible amount of Rs. 10,000 (Rs. 115,000 - Rs. 105,000) is included in the opening depreciation basis for the next income year.</w:t>
      </w:r>
    </w:p>
    <w:p>
      <w:pPr>
        <w:pStyle w:val="Heading3"/>
        <w:spacing w:after="80" w:line="252" w:lineRule="auto"/>
      </w:pPr>
      <w:r>
        <w:rPr>
          <w:rFonts w:ascii="Arial" w:hAnsi="Arial" w:eastAsia="Arial"/>
          <w:b w:val="0"/>
          <w:i w:val="0"/>
          <w:sz w:val="20"/>
        </w:rPr>
        <w:t>21.6.4 Depreciation Deduction</w:t>
      </w:r>
    </w:p>
    <w:p>
      <w:pPr>
        <w:spacing w:after="80" w:line="252" w:lineRule="auto"/>
      </w:pPr>
      <w:r>
        <w:rPr>
          <w:rFonts w:ascii="Arial" w:hAnsi="Arial" w:eastAsia="Arial"/>
          <w:b w:val="0"/>
          <w:i w:val="0"/>
          <w:sz w:val="20"/>
        </w:rPr>
        <w:t>In determining investment income for an income year, depreciation expenses connected with the transaction may generally be claimed as deductions. Section 19(1) and (2) of the Act provide:</w:t>
      </w:r>
    </w:p>
    <w:p>
      <w:pPr>
        <w:spacing w:after="80" w:line="252" w:lineRule="auto"/>
      </w:pPr>
      <w:r>
        <w:rPr>
          <w:rFonts w:ascii="Arial" w:hAnsi="Arial" w:eastAsia="Arial"/>
          <w:b w:val="0"/>
          <w:i w:val="0"/>
          <w:sz w:val="20"/>
        </w:rPr>
        <w:t>19(1) For the purpose of computing income from business or investment for any income year, a person must deduct depreciation expenses under Schedule 2 for depreciation of depreciable property owned and used during that year in deriving income from that business or investment.</w:t>
      </w:r>
    </w:p>
    <w:p>
      <w:pPr>
        <w:spacing w:after="80" w:line="252" w:lineRule="auto"/>
      </w:pPr>
      <w:r>
        <w:rPr>
          <w:rFonts w:ascii="Arial" w:hAnsi="Arial" w:eastAsia="Arial"/>
          <w:b w:val="0"/>
          <w:i w:val="0"/>
          <w:sz w:val="20"/>
        </w:rPr>
        <w:t>19(2) Notwithstanding subsection (1), for entities constructing, operating and transferring public infrastructure projects to the Government of Nepal, and for projects constructing, generating and transmitting electricity, depreciation deduction for plants, equipment and other machinery installed in such projects shall be as follows:</w:t>
      </w:r>
    </w:p>
    <w:p>
      <w:pPr>
        <w:pStyle w:val="ListBullet"/>
        <w:spacing w:after="80" w:line="252" w:lineRule="auto"/>
      </w:pPr>
      <w:r>
        <w:rPr>
          <w:rFonts w:ascii="Arial" w:hAnsi="Arial" w:eastAsia="Arial"/>
          <w:b w:val="0"/>
          <w:i w:val="0"/>
          <w:sz w:val="20"/>
        </w:rPr>
        <w:t>where existing plants, equipment and other machinery have become old, worn out or unusable and new plants, equipment and other machinery must be installed in their place, the written down value remaining after deducting depreciation up to that income year from the cost of the old or unusable assets may be deducted as an expense in the year in which the new assets are installed;</w:t>
      </w:r>
    </w:p>
    <w:p>
      <w:pPr>
        <w:pStyle w:val="ListBullet"/>
        <w:spacing w:after="80" w:line="252" w:lineRule="auto"/>
      </w:pPr>
      <w:r>
        <w:rPr>
          <w:rFonts w:ascii="Arial" w:hAnsi="Arial" w:eastAsia="Arial"/>
          <w:b w:val="0"/>
          <w:i w:val="0"/>
          <w:sz w:val="20"/>
        </w:rPr>
        <w:t>with respect to assets other than the replaced old assets mentioned above, if at the time of transferring such project to the Government of Nepal there remains any value after deducting depreciation up to the year of transfer from the cost of the assets, that remaining value may be deducted as an expense.</w:t>
      </w:r>
    </w:p>
    <w:p>
      <w:pPr>
        <w:spacing w:after="80" w:line="252" w:lineRule="auto"/>
      </w:pPr>
      <w:r>
        <w:rPr>
          <w:rFonts w:ascii="Arial" w:hAnsi="Arial" w:eastAsia="Arial"/>
          <w:b w:val="0"/>
          <w:i w:val="0"/>
          <w:sz w:val="20"/>
        </w:rPr>
        <w:t>Under section 19(1), depreciation must be claimed in computing investment income where:</w:t>
      </w:r>
    </w:p>
    <w:p>
      <w:pPr>
        <w:pStyle w:val="ListBullet"/>
        <w:spacing w:after="80" w:line="252" w:lineRule="auto"/>
      </w:pPr>
      <w:r>
        <w:rPr>
          <w:rFonts w:ascii="Arial" w:hAnsi="Arial" w:eastAsia="Arial"/>
          <w:b w:val="0"/>
          <w:i w:val="0"/>
          <w:sz w:val="20"/>
        </w:rPr>
        <w:t>the asset is used in the activity of deriving income from investment;</w:t>
      </w:r>
    </w:p>
    <w:p>
      <w:pPr>
        <w:pStyle w:val="ListBullet"/>
        <w:spacing w:after="80" w:line="252" w:lineRule="auto"/>
      </w:pPr>
      <w:r>
        <w:rPr>
          <w:rFonts w:ascii="Arial" w:hAnsi="Arial" w:eastAsia="Arial"/>
          <w:b w:val="0"/>
          <w:i w:val="0"/>
          <w:sz w:val="20"/>
        </w:rPr>
        <w:t>the asset is owned by the person; and</w:t>
      </w:r>
    </w:p>
    <w:p>
      <w:pPr>
        <w:pStyle w:val="ListBullet"/>
        <w:spacing w:after="80" w:line="252" w:lineRule="auto"/>
      </w:pPr>
      <w:r>
        <w:rPr>
          <w:rFonts w:ascii="Arial" w:hAnsi="Arial" w:eastAsia="Arial"/>
          <w:b w:val="0"/>
          <w:i w:val="0"/>
          <w:sz w:val="20"/>
        </w:rPr>
        <w:t>the asset used is a depreciable property.</w:t>
      </w:r>
    </w:p>
    <w:p>
      <w:pPr>
        <w:spacing w:after="80" w:line="252" w:lineRule="auto"/>
      </w:pPr>
      <w:r>
        <w:rPr>
          <w:rFonts w:ascii="Arial" w:hAnsi="Arial" w:eastAsia="Arial"/>
          <w:b w:val="0"/>
          <w:i w:val="0"/>
          <w:sz w:val="20"/>
        </w:rPr>
        <w:t>Depreciation deduction must be claimed as prescribed in Schedule 2 of the Act. The relevant provisions are summarized below.</w:t>
      </w:r>
    </w:p>
    <w:p>
      <w:pPr>
        <w:pStyle w:val="Heading3"/>
        <w:spacing w:after="80" w:line="252" w:lineRule="auto"/>
      </w:pPr>
      <w:r>
        <w:rPr>
          <w:rFonts w:ascii="Arial" w:hAnsi="Arial" w:eastAsia="Arial"/>
          <w:b w:val="0"/>
          <w:i w:val="0"/>
          <w:sz w:val="20"/>
        </w:rPr>
        <w:t>1. Classification and pooling of depreciable property</w:t>
      </w:r>
    </w:p>
    <w:p>
      <w:pPr>
        <w:spacing w:after="80" w:line="252" w:lineRule="auto"/>
      </w:pPr>
      <w:r>
        <w:rPr>
          <w:rFonts w:ascii="Arial" w:hAnsi="Arial" w:eastAsia="Arial"/>
          <w:b w:val="0"/>
          <w:i w:val="0"/>
          <w:sz w:val="20"/>
        </w:rPr>
        <w:t>Under section 1 of Schedule 2, depreciable property are classified and pooled as follows:</w:t>
      </w:r>
    </w:p>
    <w:tbl>
      <w:tblPr>
        <w:tblStyle w:val="TableGrid"/>
        <w:tblW w:type="auto" w:w="0"/>
        <w:jc w:val="center"/>
        <w:tblLook w:firstColumn="1" w:firstRow="1" w:lastColumn="0" w:lastRow="0" w:noHBand="0" w:noVBand="1" w:val="04A0"/>
      </w:tblPr>
      <w:tblGrid>
        <w:gridCol w:w="5040"/>
        <w:gridCol w:w="5040"/>
      </w:tblGrid>
      <w:tr>
        <w:tc>
          <w:tcPr>
            <w:tcW w:type="dxa" w:w="1152"/>
            <w:vAlign w:val="center"/>
            <w:shd w:fill="D9EAF7"/>
          </w:tcPr>
          <w:p>
            <w:r>
              <w:rPr>
                <w:rFonts w:ascii="Arial" w:hAnsi="Arial" w:eastAsia="Arial"/>
                <w:sz w:val="18"/>
              </w:rPr>
            </w:r>
            <w:r>
              <w:rPr>
                <w:rFonts w:ascii="Arial" w:hAnsi="Arial" w:eastAsia="Arial"/>
                <w:b/>
                <w:sz w:val="18"/>
              </w:rPr>
              <w:t>Class</w:t>
            </w:r>
          </w:p>
        </w:tc>
        <w:tc>
          <w:tcPr>
            <w:tcW w:type="dxa" w:w="8352"/>
            <w:vAlign w:val="center"/>
            <w:shd w:fill="D9EAF7"/>
          </w:tcPr>
          <w:p>
            <w:r>
              <w:rPr>
                <w:rFonts w:ascii="Arial" w:hAnsi="Arial" w:eastAsia="Arial"/>
                <w:sz w:val="18"/>
              </w:rPr>
            </w:r>
            <w:r>
              <w:rPr>
                <w:rFonts w:ascii="Arial" w:hAnsi="Arial" w:eastAsia="Arial"/>
                <w:b/>
                <w:sz w:val="18"/>
              </w:rPr>
              <w:t>Description of asset</w:t>
            </w:r>
          </w:p>
        </w:tc>
      </w:tr>
      <w:tr>
        <w:tc>
          <w:tcPr>
            <w:tcW w:type="dxa" w:w="1152"/>
            <w:vAlign w:val="center"/>
          </w:tcPr>
          <w:p>
            <w:r>
              <w:rPr>
                <w:rFonts w:ascii="Arial" w:hAnsi="Arial" w:eastAsia="Arial"/>
                <w:sz w:val="18"/>
              </w:rPr>
            </w:r>
            <w:r>
              <w:rPr>
                <w:rFonts w:ascii="Arial" w:hAnsi="Arial" w:eastAsia="Arial"/>
                <w:b w:val="0"/>
                <w:sz w:val="18"/>
              </w:rPr>
              <w:t>A</w:t>
            </w:r>
          </w:p>
        </w:tc>
        <w:tc>
          <w:tcPr>
            <w:tcW w:type="dxa" w:w="8352"/>
            <w:vAlign w:val="center"/>
          </w:tcPr>
          <w:p>
            <w:r>
              <w:rPr>
                <w:rFonts w:ascii="Arial" w:hAnsi="Arial" w:eastAsia="Arial"/>
                <w:sz w:val="18"/>
              </w:rPr>
            </w:r>
            <w:r>
              <w:rPr>
                <w:rFonts w:ascii="Arial" w:hAnsi="Arial" w:eastAsia="Arial"/>
                <w:b w:val="0"/>
                <w:sz w:val="18"/>
              </w:rPr>
              <w:t>Buildings, structures and other similar works of a permanent nature.</w:t>
            </w:r>
          </w:p>
        </w:tc>
      </w:tr>
      <w:tr>
        <w:tc>
          <w:tcPr>
            <w:tcW w:type="dxa" w:w="1152"/>
            <w:vAlign w:val="center"/>
          </w:tcPr>
          <w:p>
            <w:r>
              <w:rPr>
                <w:rFonts w:ascii="Arial" w:hAnsi="Arial" w:eastAsia="Arial"/>
                <w:sz w:val="18"/>
              </w:rPr>
            </w:r>
            <w:r>
              <w:rPr>
                <w:rFonts w:ascii="Arial" w:hAnsi="Arial" w:eastAsia="Arial"/>
                <w:b w:val="0"/>
                <w:sz w:val="18"/>
              </w:rPr>
              <w:t>B</w:t>
            </w:r>
          </w:p>
        </w:tc>
        <w:tc>
          <w:tcPr>
            <w:tcW w:type="dxa" w:w="8352"/>
            <w:vAlign w:val="center"/>
          </w:tcPr>
          <w:p>
            <w:r>
              <w:rPr>
                <w:rFonts w:ascii="Arial" w:hAnsi="Arial" w:eastAsia="Arial"/>
                <w:sz w:val="18"/>
              </w:rPr>
            </w:r>
            <w:r>
              <w:rPr>
                <w:rFonts w:ascii="Arial" w:hAnsi="Arial" w:eastAsia="Arial"/>
                <w:b w:val="0"/>
                <w:sz w:val="18"/>
              </w:rPr>
              <w:t>Computers, data processing equipment, furniture, fixtures and office equipment.</w:t>
            </w:r>
          </w:p>
        </w:tc>
      </w:tr>
      <w:tr>
        <w:tc>
          <w:tcPr>
            <w:tcW w:type="dxa" w:w="1152"/>
            <w:vAlign w:val="center"/>
          </w:tcPr>
          <w:p>
            <w:r>
              <w:rPr>
                <w:rFonts w:ascii="Arial" w:hAnsi="Arial" w:eastAsia="Arial"/>
                <w:sz w:val="18"/>
              </w:rPr>
            </w:r>
            <w:r>
              <w:rPr>
                <w:rFonts w:ascii="Arial" w:hAnsi="Arial" w:eastAsia="Arial"/>
                <w:b w:val="0"/>
                <w:sz w:val="18"/>
              </w:rPr>
              <w:t>C</w:t>
            </w:r>
          </w:p>
        </w:tc>
        <w:tc>
          <w:tcPr>
            <w:tcW w:type="dxa" w:w="8352"/>
            <w:vAlign w:val="center"/>
          </w:tcPr>
          <w:p>
            <w:r>
              <w:rPr>
                <w:rFonts w:ascii="Arial" w:hAnsi="Arial" w:eastAsia="Arial"/>
                <w:sz w:val="18"/>
              </w:rPr>
            </w:r>
            <w:r>
              <w:rPr>
                <w:rFonts w:ascii="Arial" w:hAnsi="Arial" w:eastAsia="Arial"/>
                <w:b w:val="0"/>
                <w:sz w:val="18"/>
              </w:rPr>
              <w:t>Automobiles, buses and minibuses.</w:t>
            </w:r>
          </w:p>
        </w:tc>
      </w:tr>
      <w:tr>
        <w:tc>
          <w:tcPr>
            <w:tcW w:type="dxa" w:w="1152"/>
            <w:vAlign w:val="center"/>
          </w:tcPr>
          <w:p>
            <w:r>
              <w:rPr>
                <w:rFonts w:ascii="Arial" w:hAnsi="Arial" w:eastAsia="Arial"/>
                <w:sz w:val="18"/>
              </w:rPr>
            </w:r>
            <w:r>
              <w:rPr>
                <w:rFonts w:ascii="Arial" w:hAnsi="Arial" w:eastAsia="Arial"/>
                <w:b w:val="0"/>
                <w:sz w:val="18"/>
              </w:rPr>
              <w:t>D</w:t>
            </w:r>
          </w:p>
        </w:tc>
        <w:tc>
          <w:tcPr>
            <w:tcW w:type="dxa" w:w="8352"/>
            <w:vAlign w:val="center"/>
          </w:tcPr>
          <w:p>
            <w:r>
              <w:rPr>
                <w:rFonts w:ascii="Arial" w:hAnsi="Arial" w:eastAsia="Arial"/>
                <w:sz w:val="18"/>
              </w:rPr>
              <w:t>Construction and earth-moving equipment, and depreciable property not included elsewhere, including those referred to in sections 17(3), 18(3) and Schedule 2.</w:t>
            </w:r>
            <w:r>
              <w:rPr>
                <w:rFonts w:ascii="Arial" w:hAnsi="Arial" w:eastAsia="Arial"/>
                <w:b w:val="0"/>
                <w:sz w:val="18"/>
              </w:rPr>
            </w:r>
          </w:p>
        </w:tc>
      </w:tr>
      <w:tr>
        <w:tc>
          <w:tcPr>
            <w:tcW w:type="dxa" w:w="1152"/>
            <w:vAlign w:val="center"/>
          </w:tcPr>
          <w:p>
            <w:r>
              <w:rPr>
                <w:rFonts w:ascii="Arial" w:hAnsi="Arial" w:eastAsia="Arial"/>
                <w:sz w:val="18"/>
              </w:rPr>
            </w:r>
            <w:r>
              <w:rPr>
                <w:rFonts w:ascii="Arial" w:hAnsi="Arial" w:eastAsia="Arial"/>
                <w:b w:val="0"/>
                <w:sz w:val="18"/>
              </w:rPr>
              <w:t>E</w:t>
            </w:r>
          </w:p>
        </w:tc>
        <w:tc>
          <w:tcPr>
            <w:tcW w:type="dxa" w:w="8352"/>
            <w:vAlign w:val="center"/>
          </w:tcPr>
          <w:p>
            <w:r>
              <w:rPr>
                <w:rFonts w:ascii="Arial" w:hAnsi="Arial" w:eastAsia="Arial"/>
                <w:sz w:val="18"/>
              </w:rPr>
              <w:t>Intangible assets other than depreciable property referred to in Class D.</w:t>
            </w:r>
            <w:r>
              <w:rPr>
                <w:rFonts w:ascii="Arial" w:hAnsi="Arial" w:eastAsia="Arial"/>
                <w:b w:val="0"/>
                <w:sz w:val="18"/>
              </w:rPr>
            </w:r>
          </w:p>
        </w:tc>
      </w:tr>
    </w:tbl>
    <w:p>
      <w:pPr>
        <w:spacing w:after="80" w:line="252" w:lineRule="auto"/>
      </w:pPr>
      <w:r>
        <w:rPr>
          <w:rFonts w:ascii="Arial" w:hAnsi="Arial" w:eastAsia="Arial"/>
          <w:b w:val="0"/>
          <w:i w:val="0"/>
          <w:sz w:val="20"/>
        </w:rPr>
        <w:t>For computing depreciation, Class A includes permanent structures such as buildings, approach roads and compound walls. Structures constructed on leased land for a fixed period, or structures constructed in rented business premises, are governed by the period determined in the lease agreement. The cost of such structures must be included in Class E and depreciation must be claimed subject to the agreement.</w:t>
      </w:r>
    </w:p>
    <w:p>
      <w:pPr>
        <w:spacing w:after="80" w:line="252" w:lineRule="auto"/>
      </w:pPr>
      <w:r>
        <w:rPr>
          <w:rFonts w:ascii="Arial" w:hAnsi="Arial" w:eastAsia="Arial"/>
          <w:b w:val="0"/>
          <w:i w:val="0"/>
          <w:sz w:val="20"/>
        </w:rPr>
        <w:t>Under section 1(2) of Schedule 2, when a depreciable property is first owned or used by a person for deriving income from business or investment, the asset is placed in the following pools: Class A, B, C or D assets are placed in the same pool as other similar assets of that class owned or used by the person. For income tax purposes, assets are not computed separately; they are computed in pools.</w:t>
      </w:r>
    </w:p>
    <w:p>
      <w:pPr>
        <w:spacing w:after="80" w:line="252" w:lineRule="auto"/>
      </w:pPr>
      <w:r>
        <w:rPr>
          <w:rFonts w:ascii="Arial" w:hAnsi="Arial" w:eastAsia="Arial"/>
          <w:b/>
          <w:i w:val="0"/>
          <w:sz w:val="20"/>
        </w:rPr>
        <w:t>Example 21.6.4:</w:t>
      </w:r>
    </w:p>
    <w:p>
      <w:pPr>
        <w:spacing w:after="80" w:line="252" w:lineRule="auto"/>
      </w:pPr>
      <w:r>
        <w:rPr>
          <w:rFonts w:ascii="Arial" w:hAnsi="Arial" w:eastAsia="Arial"/>
          <w:b w:val="0"/>
          <w:i w:val="0"/>
          <w:sz w:val="20"/>
        </w:rPr>
        <w:t>Assume that in income year 2080/81 Manoj Kumar purchased the following assets for use in investment activity:</w:t>
      </w:r>
    </w:p>
    <w:tbl>
      <w:tblPr>
        <w:tblStyle w:val="TableGrid"/>
        <w:tblW w:type="auto" w:w="0"/>
        <w:jc w:val="center"/>
        <w:tblLook w:firstColumn="1" w:firstRow="1" w:lastColumn="0" w:lastRow="0" w:noHBand="0" w:noVBand="1" w:val="04A0"/>
      </w:tblPr>
      <w:tblGrid>
        <w:gridCol w:w="2520"/>
        <w:gridCol w:w="2520"/>
        <w:gridCol w:w="2520"/>
        <w:gridCol w:w="2520"/>
      </w:tblGrid>
      <w:tr>
        <w:tc>
          <w:tcPr>
            <w:tcW w:type="dxa" w:w="720"/>
            <w:vAlign w:val="center"/>
            <w:shd w:fill="D9EAF7"/>
          </w:tcPr>
          <w:p>
            <w:r>
              <w:rPr>
                <w:rFonts w:ascii="Arial" w:hAnsi="Arial" w:eastAsia="Arial"/>
                <w:sz w:val="18"/>
              </w:rPr>
            </w:r>
            <w:r>
              <w:rPr>
                <w:rFonts w:ascii="Arial" w:hAnsi="Arial" w:eastAsia="Arial"/>
                <w:b/>
                <w:sz w:val="18"/>
              </w:rPr>
              <w:t>S.N.</w:t>
            </w:r>
          </w:p>
        </w:tc>
        <w:tc>
          <w:tcPr>
            <w:tcW w:type="dxa" w:w="1728"/>
            <w:vAlign w:val="center"/>
            <w:shd w:fill="D9EAF7"/>
          </w:tcPr>
          <w:p>
            <w:r>
              <w:rPr>
                <w:rFonts w:ascii="Arial" w:hAnsi="Arial" w:eastAsia="Arial"/>
                <w:sz w:val="18"/>
              </w:rPr>
            </w:r>
            <w:r>
              <w:rPr>
                <w:rFonts w:ascii="Arial" w:hAnsi="Arial" w:eastAsia="Arial"/>
                <w:b/>
                <w:sz w:val="18"/>
              </w:rPr>
              <w:t>Date</w:t>
            </w:r>
          </w:p>
        </w:tc>
        <w:tc>
          <w:tcPr>
            <w:tcW w:type="dxa" w:w="4320"/>
            <w:vAlign w:val="center"/>
            <w:shd w:fill="D9EAF7"/>
          </w:tcPr>
          <w:p>
            <w:r>
              <w:rPr>
                <w:rFonts w:ascii="Arial" w:hAnsi="Arial" w:eastAsia="Arial"/>
                <w:sz w:val="18"/>
              </w:rPr>
            </w:r>
            <w:r>
              <w:rPr>
                <w:rFonts w:ascii="Arial" w:hAnsi="Arial" w:eastAsia="Arial"/>
                <w:b/>
                <w:sz w:val="18"/>
              </w:rPr>
              <w:t>Description</w:t>
            </w:r>
          </w:p>
        </w:tc>
        <w:tc>
          <w:tcPr>
            <w:tcW w:type="dxa" w:w="2016"/>
            <w:vAlign w:val="center"/>
            <w:shd w:fill="D9EAF7"/>
          </w:tcPr>
          <w:p>
            <w:r>
              <w:rPr>
                <w:rFonts w:ascii="Arial" w:hAnsi="Arial" w:eastAsia="Arial"/>
                <w:sz w:val="18"/>
              </w:rPr>
            </w:r>
            <w:r>
              <w:rPr>
                <w:rFonts w:ascii="Arial" w:hAnsi="Arial" w:eastAsia="Arial"/>
                <w:b/>
                <w:sz w:val="18"/>
              </w:rPr>
              <w:t>Amount (Rs.)</w:t>
            </w:r>
          </w:p>
        </w:tc>
      </w:tr>
      <w:tr>
        <w:tc>
          <w:tcPr>
            <w:tcW w:type="dxa" w:w="720"/>
            <w:vAlign w:val="center"/>
          </w:tcPr>
          <w:p>
            <w:r>
              <w:rPr>
                <w:rFonts w:ascii="Arial" w:hAnsi="Arial" w:eastAsia="Arial"/>
                <w:sz w:val="18"/>
              </w:rPr>
            </w:r>
            <w:r>
              <w:rPr>
                <w:rFonts w:ascii="Arial" w:hAnsi="Arial" w:eastAsia="Arial"/>
                <w:b w:val="0"/>
                <w:sz w:val="18"/>
              </w:rPr>
              <w:t>1</w:t>
            </w:r>
          </w:p>
        </w:tc>
        <w:tc>
          <w:tcPr>
            <w:tcW w:type="dxa" w:w="1728"/>
            <w:vAlign w:val="center"/>
          </w:tcPr>
          <w:p>
            <w:r>
              <w:rPr>
                <w:rFonts w:ascii="Arial" w:hAnsi="Arial" w:eastAsia="Arial"/>
                <w:sz w:val="18"/>
              </w:rPr>
            </w:r>
            <w:r>
              <w:rPr>
                <w:rFonts w:ascii="Arial" w:hAnsi="Arial" w:eastAsia="Arial"/>
                <w:b w:val="0"/>
                <w:sz w:val="18"/>
              </w:rPr>
              <w:t>2080/04/06</w:t>
            </w:r>
          </w:p>
        </w:tc>
        <w:tc>
          <w:tcPr>
            <w:tcW w:type="dxa" w:w="4320"/>
            <w:vAlign w:val="center"/>
          </w:tcPr>
          <w:p>
            <w:r>
              <w:rPr>
                <w:rFonts w:ascii="Arial" w:hAnsi="Arial" w:eastAsia="Arial"/>
                <w:sz w:val="18"/>
              </w:rPr>
            </w:r>
            <w:r>
              <w:rPr>
                <w:rFonts w:ascii="Arial" w:hAnsi="Arial" w:eastAsia="Arial"/>
                <w:b w:val="0"/>
                <w:sz w:val="18"/>
              </w:rPr>
              <w:t>Table</w:t>
            </w:r>
          </w:p>
        </w:tc>
        <w:tc>
          <w:tcPr>
            <w:tcW w:type="dxa" w:w="2016"/>
            <w:vAlign w:val="center"/>
          </w:tcPr>
          <w:p>
            <w:r>
              <w:rPr>
                <w:rFonts w:ascii="Arial" w:hAnsi="Arial" w:eastAsia="Arial"/>
                <w:sz w:val="18"/>
              </w:rPr>
            </w:r>
            <w:r>
              <w:rPr>
                <w:rFonts w:ascii="Arial" w:hAnsi="Arial" w:eastAsia="Arial"/>
                <w:b w:val="0"/>
                <w:sz w:val="18"/>
              </w:rPr>
              <w:t>10,000</w:t>
            </w:r>
          </w:p>
        </w:tc>
      </w:tr>
      <w:tr>
        <w:tc>
          <w:tcPr>
            <w:tcW w:type="dxa" w:w="720"/>
            <w:vAlign w:val="center"/>
          </w:tcPr>
          <w:p>
            <w:r>
              <w:rPr>
                <w:rFonts w:ascii="Arial" w:hAnsi="Arial" w:eastAsia="Arial"/>
                <w:sz w:val="18"/>
              </w:rPr>
            </w:r>
            <w:r>
              <w:rPr>
                <w:rFonts w:ascii="Arial" w:hAnsi="Arial" w:eastAsia="Arial"/>
                <w:b w:val="0"/>
                <w:sz w:val="18"/>
              </w:rPr>
              <w:t>2</w:t>
            </w:r>
          </w:p>
        </w:tc>
        <w:tc>
          <w:tcPr>
            <w:tcW w:type="dxa" w:w="1728"/>
            <w:vAlign w:val="center"/>
          </w:tcPr>
          <w:p>
            <w:r>
              <w:rPr>
                <w:rFonts w:ascii="Arial" w:hAnsi="Arial" w:eastAsia="Arial"/>
                <w:sz w:val="18"/>
              </w:rPr>
            </w:r>
            <w:r>
              <w:rPr>
                <w:rFonts w:ascii="Arial" w:hAnsi="Arial" w:eastAsia="Arial"/>
                <w:b w:val="0"/>
                <w:sz w:val="18"/>
              </w:rPr>
              <w:t>2080/05/05</w:t>
            </w:r>
          </w:p>
        </w:tc>
        <w:tc>
          <w:tcPr>
            <w:tcW w:type="dxa" w:w="4320"/>
            <w:vAlign w:val="center"/>
          </w:tcPr>
          <w:p>
            <w:r>
              <w:rPr>
                <w:rFonts w:ascii="Arial" w:hAnsi="Arial" w:eastAsia="Arial"/>
                <w:sz w:val="18"/>
              </w:rPr>
            </w:r>
            <w:r>
              <w:rPr>
                <w:rFonts w:ascii="Arial" w:hAnsi="Arial" w:eastAsia="Arial"/>
                <w:b w:val="0"/>
                <w:sz w:val="18"/>
              </w:rPr>
              <w:t>Computer</w:t>
            </w:r>
          </w:p>
        </w:tc>
        <w:tc>
          <w:tcPr>
            <w:tcW w:type="dxa" w:w="2016"/>
            <w:vAlign w:val="center"/>
          </w:tcPr>
          <w:p>
            <w:r>
              <w:rPr>
                <w:rFonts w:ascii="Arial" w:hAnsi="Arial" w:eastAsia="Arial"/>
                <w:sz w:val="18"/>
              </w:rPr>
            </w:r>
            <w:r>
              <w:rPr>
                <w:rFonts w:ascii="Arial" w:hAnsi="Arial" w:eastAsia="Arial"/>
                <w:b w:val="0"/>
                <w:sz w:val="18"/>
              </w:rPr>
              <w:t>60,000</w:t>
            </w:r>
          </w:p>
        </w:tc>
      </w:tr>
      <w:tr>
        <w:tc>
          <w:tcPr>
            <w:tcW w:type="dxa" w:w="720"/>
            <w:vAlign w:val="center"/>
          </w:tcPr>
          <w:p>
            <w:r>
              <w:rPr>
                <w:rFonts w:ascii="Arial" w:hAnsi="Arial" w:eastAsia="Arial"/>
                <w:sz w:val="18"/>
              </w:rPr>
            </w:r>
            <w:r>
              <w:rPr>
                <w:rFonts w:ascii="Arial" w:hAnsi="Arial" w:eastAsia="Arial"/>
                <w:b w:val="0"/>
                <w:sz w:val="18"/>
              </w:rPr>
              <w:t>3</w:t>
            </w:r>
          </w:p>
        </w:tc>
        <w:tc>
          <w:tcPr>
            <w:tcW w:type="dxa" w:w="1728"/>
            <w:vAlign w:val="center"/>
          </w:tcPr>
          <w:p>
            <w:r>
              <w:rPr>
                <w:rFonts w:ascii="Arial" w:hAnsi="Arial" w:eastAsia="Arial"/>
                <w:sz w:val="18"/>
              </w:rPr>
            </w:r>
            <w:r>
              <w:rPr>
                <w:rFonts w:ascii="Arial" w:hAnsi="Arial" w:eastAsia="Arial"/>
                <w:b w:val="0"/>
                <w:sz w:val="18"/>
              </w:rPr>
              <w:t>2080/05/07</w:t>
            </w:r>
          </w:p>
        </w:tc>
        <w:tc>
          <w:tcPr>
            <w:tcW w:type="dxa" w:w="4320"/>
            <w:vAlign w:val="center"/>
          </w:tcPr>
          <w:p>
            <w:r>
              <w:rPr>
                <w:rFonts w:ascii="Arial" w:hAnsi="Arial" w:eastAsia="Arial"/>
                <w:sz w:val="18"/>
              </w:rPr>
            </w:r>
            <w:r>
              <w:rPr>
                <w:rFonts w:ascii="Arial" w:hAnsi="Arial" w:eastAsia="Arial"/>
                <w:b w:val="0"/>
                <w:sz w:val="18"/>
              </w:rPr>
              <w:t>Bicycle</w:t>
            </w:r>
          </w:p>
        </w:tc>
        <w:tc>
          <w:tcPr>
            <w:tcW w:type="dxa" w:w="2016"/>
            <w:vAlign w:val="center"/>
          </w:tcPr>
          <w:p>
            <w:r>
              <w:rPr>
                <w:rFonts w:ascii="Arial" w:hAnsi="Arial" w:eastAsia="Arial"/>
                <w:sz w:val="18"/>
              </w:rPr>
            </w:r>
            <w:r>
              <w:rPr>
                <w:rFonts w:ascii="Arial" w:hAnsi="Arial" w:eastAsia="Arial"/>
                <w:b w:val="0"/>
                <w:sz w:val="18"/>
              </w:rPr>
              <w:t>5,000</w:t>
            </w:r>
          </w:p>
        </w:tc>
      </w:tr>
      <w:tr>
        <w:tc>
          <w:tcPr>
            <w:tcW w:type="dxa" w:w="720"/>
            <w:vAlign w:val="center"/>
          </w:tcPr>
          <w:p>
            <w:r>
              <w:rPr>
                <w:rFonts w:ascii="Arial" w:hAnsi="Arial" w:eastAsia="Arial"/>
                <w:sz w:val="18"/>
              </w:rPr>
            </w:r>
            <w:r>
              <w:rPr>
                <w:rFonts w:ascii="Arial" w:hAnsi="Arial" w:eastAsia="Arial"/>
                <w:b w:val="0"/>
                <w:sz w:val="18"/>
              </w:rPr>
              <w:t>4</w:t>
            </w:r>
          </w:p>
        </w:tc>
        <w:tc>
          <w:tcPr>
            <w:tcW w:type="dxa" w:w="1728"/>
            <w:vAlign w:val="center"/>
          </w:tcPr>
          <w:p>
            <w:r>
              <w:rPr>
                <w:rFonts w:ascii="Arial" w:hAnsi="Arial" w:eastAsia="Arial"/>
                <w:sz w:val="18"/>
              </w:rPr>
            </w:r>
            <w:r>
              <w:rPr>
                <w:rFonts w:ascii="Arial" w:hAnsi="Arial" w:eastAsia="Arial"/>
                <w:b w:val="0"/>
                <w:sz w:val="18"/>
              </w:rPr>
              <w:t>2080/06/08</w:t>
            </w:r>
          </w:p>
        </w:tc>
        <w:tc>
          <w:tcPr>
            <w:tcW w:type="dxa" w:w="4320"/>
            <w:vAlign w:val="center"/>
          </w:tcPr>
          <w:p>
            <w:r>
              <w:rPr>
                <w:rFonts w:ascii="Arial" w:hAnsi="Arial" w:eastAsia="Arial"/>
                <w:sz w:val="18"/>
              </w:rPr>
            </w:r>
            <w:r>
              <w:rPr>
                <w:rFonts w:ascii="Arial" w:hAnsi="Arial" w:eastAsia="Arial"/>
                <w:b w:val="0"/>
                <w:sz w:val="18"/>
              </w:rPr>
              <w:t>Generator</w:t>
            </w:r>
          </w:p>
        </w:tc>
        <w:tc>
          <w:tcPr>
            <w:tcW w:type="dxa" w:w="2016"/>
            <w:vAlign w:val="center"/>
          </w:tcPr>
          <w:p>
            <w:r>
              <w:rPr>
                <w:rFonts w:ascii="Arial" w:hAnsi="Arial" w:eastAsia="Arial"/>
                <w:sz w:val="18"/>
              </w:rPr>
            </w:r>
            <w:r>
              <w:rPr>
                <w:rFonts w:ascii="Arial" w:hAnsi="Arial" w:eastAsia="Arial"/>
                <w:b w:val="0"/>
                <w:sz w:val="18"/>
              </w:rPr>
              <w:t>100,000</w:t>
            </w:r>
          </w:p>
        </w:tc>
      </w:tr>
      <w:tr>
        <w:tc>
          <w:tcPr>
            <w:tcW w:type="dxa" w:w="720"/>
            <w:vAlign w:val="center"/>
          </w:tcPr>
          <w:p>
            <w:r>
              <w:rPr>
                <w:rFonts w:ascii="Arial" w:hAnsi="Arial" w:eastAsia="Arial"/>
                <w:sz w:val="18"/>
              </w:rPr>
            </w:r>
            <w:r>
              <w:rPr>
                <w:rFonts w:ascii="Arial" w:hAnsi="Arial" w:eastAsia="Arial"/>
                <w:b w:val="0"/>
                <w:sz w:val="18"/>
              </w:rPr>
              <w:t>5</w:t>
            </w:r>
          </w:p>
        </w:tc>
        <w:tc>
          <w:tcPr>
            <w:tcW w:type="dxa" w:w="1728"/>
            <w:vAlign w:val="center"/>
          </w:tcPr>
          <w:p>
            <w:r>
              <w:rPr>
                <w:rFonts w:ascii="Arial" w:hAnsi="Arial" w:eastAsia="Arial"/>
                <w:sz w:val="18"/>
              </w:rPr>
            </w:r>
            <w:r>
              <w:rPr>
                <w:rFonts w:ascii="Arial" w:hAnsi="Arial" w:eastAsia="Arial"/>
                <w:b w:val="0"/>
                <w:sz w:val="18"/>
              </w:rPr>
              <w:t>2080/09/17</w:t>
            </w:r>
          </w:p>
        </w:tc>
        <w:tc>
          <w:tcPr>
            <w:tcW w:type="dxa" w:w="4320"/>
            <w:vAlign w:val="center"/>
          </w:tcPr>
          <w:p>
            <w:r>
              <w:rPr>
                <w:rFonts w:ascii="Arial" w:hAnsi="Arial" w:eastAsia="Arial"/>
                <w:sz w:val="18"/>
              </w:rPr>
            </w:r>
            <w:r>
              <w:rPr>
                <w:rFonts w:ascii="Arial" w:hAnsi="Arial" w:eastAsia="Arial"/>
                <w:b w:val="0"/>
                <w:sz w:val="18"/>
              </w:rPr>
              <w:t>Cupboard</w:t>
            </w:r>
          </w:p>
        </w:tc>
        <w:tc>
          <w:tcPr>
            <w:tcW w:type="dxa" w:w="2016"/>
            <w:vAlign w:val="center"/>
          </w:tcPr>
          <w:p>
            <w:r>
              <w:rPr>
                <w:rFonts w:ascii="Arial" w:hAnsi="Arial" w:eastAsia="Arial"/>
                <w:sz w:val="18"/>
              </w:rPr>
            </w:r>
            <w:r>
              <w:rPr>
                <w:rFonts w:ascii="Arial" w:hAnsi="Arial" w:eastAsia="Arial"/>
                <w:b w:val="0"/>
                <w:sz w:val="18"/>
              </w:rPr>
              <w:t>12,000</w:t>
            </w:r>
          </w:p>
        </w:tc>
      </w:tr>
      <w:tr>
        <w:tc>
          <w:tcPr>
            <w:tcW w:type="dxa" w:w="720"/>
            <w:vAlign w:val="center"/>
          </w:tcPr>
          <w:p>
            <w:r>
              <w:rPr>
                <w:rFonts w:ascii="Arial" w:hAnsi="Arial" w:eastAsia="Arial"/>
                <w:sz w:val="18"/>
              </w:rPr>
            </w:r>
            <w:r>
              <w:rPr>
                <w:rFonts w:ascii="Arial" w:hAnsi="Arial" w:eastAsia="Arial"/>
                <w:b w:val="0"/>
                <w:sz w:val="18"/>
              </w:rPr>
              <w:t>6</w:t>
            </w:r>
          </w:p>
        </w:tc>
        <w:tc>
          <w:tcPr>
            <w:tcW w:type="dxa" w:w="1728"/>
            <w:vAlign w:val="center"/>
          </w:tcPr>
          <w:p>
            <w:r>
              <w:rPr>
                <w:rFonts w:ascii="Arial" w:hAnsi="Arial" w:eastAsia="Arial"/>
                <w:sz w:val="18"/>
              </w:rPr>
            </w:r>
            <w:r>
              <w:rPr>
                <w:rFonts w:ascii="Arial" w:hAnsi="Arial" w:eastAsia="Arial"/>
                <w:b w:val="0"/>
                <w:sz w:val="18"/>
              </w:rPr>
              <w:t>2080/11/01</w:t>
            </w:r>
          </w:p>
        </w:tc>
        <w:tc>
          <w:tcPr>
            <w:tcW w:type="dxa" w:w="4320"/>
            <w:vAlign w:val="center"/>
          </w:tcPr>
          <w:p>
            <w:r>
              <w:rPr>
                <w:rFonts w:ascii="Arial" w:hAnsi="Arial" w:eastAsia="Arial"/>
                <w:sz w:val="18"/>
              </w:rPr>
            </w:r>
            <w:r>
              <w:rPr>
                <w:rFonts w:ascii="Arial" w:hAnsi="Arial" w:eastAsia="Arial"/>
                <w:b w:val="0"/>
                <w:sz w:val="18"/>
              </w:rPr>
              <w:t>Desk</w:t>
            </w:r>
          </w:p>
        </w:tc>
        <w:tc>
          <w:tcPr>
            <w:tcW w:type="dxa" w:w="2016"/>
            <w:vAlign w:val="center"/>
          </w:tcPr>
          <w:p>
            <w:r>
              <w:rPr>
                <w:rFonts w:ascii="Arial" w:hAnsi="Arial" w:eastAsia="Arial"/>
                <w:sz w:val="18"/>
              </w:rPr>
            </w:r>
            <w:r>
              <w:rPr>
                <w:rFonts w:ascii="Arial" w:hAnsi="Arial" w:eastAsia="Arial"/>
                <w:b w:val="0"/>
                <w:sz w:val="18"/>
              </w:rPr>
              <w:t>15,000</w:t>
            </w:r>
          </w:p>
        </w:tc>
      </w:tr>
      <w:tr>
        <w:tc>
          <w:tcPr>
            <w:tcW w:type="dxa" w:w="720"/>
            <w:vAlign w:val="center"/>
          </w:tcPr>
          <w:p>
            <w:r>
              <w:rPr>
                <w:rFonts w:ascii="Arial" w:hAnsi="Arial" w:eastAsia="Arial"/>
                <w:sz w:val="18"/>
              </w:rPr>
            </w:r>
            <w:r>
              <w:rPr>
                <w:rFonts w:ascii="Arial" w:hAnsi="Arial" w:eastAsia="Arial"/>
                <w:b w:val="0"/>
                <w:sz w:val="18"/>
              </w:rPr>
              <w:t>7</w:t>
            </w:r>
          </w:p>
        </w:tc>
        <w:tc>
          <w:tcPr>
            <w:tcW w:type="dxa" w:w="1728"/>
            <w:vAlign w:val="center"/>
          </w:tcPr>
          <w:p>
            <w:r>
              <w:rPr>
                <w:rFonts w:ascii="Arial" w:hAnsi="Arial" w:eastAsia="Arial"/>
                <w:sz w:val="18"/>
              </w:rPr>
            </w:r>
            <w:r>
              <w:rPr>
                <w:rFonts w:ascii="Arial" w:hAnsi="Arial" w:eastAsia="Arial"/>
                <w:b w:val="0"/>
                <w:sz w:val="18"/>
              </w:rPr>
              <w:t>2080/12/03</w:t>
            </w:r>
          </w:p>
        </w:tc>
        <w:tc>
          <w:tcPr>
            <w:tcW w:type="dxa" w:w="4320"/>
            <w:vAlign w:val="center"/>
          </w:tcPr>
          <w:p>
            <w:r>
              <w:rPr>
                <w:rFonts w:ascii="Arial" w:hAnsi="Arial" w:eastAsia="Arial"/>
                <w:sz w:val="18"/>
              </w:rPr>
            </w:r>
            <w:r>
              <w:rPr>
                <w:rFonts w:ascii="Arial" w:hAnsi="Arial" w:eastAsia="Arial"/>
                <w:b w:val="0"/>
                <w:sz w:val="18"/>
              </w:rPr>
              <w:t>Car</w:t>
            </w:r>
          </w:p>
        </w:tc>
        <w:tc>
          <w:tcPr>
            <w:tcW w:type="dxa" w:w="2016"/>
            <w:vAlign w:val="center"/>
          </w:tcPr>
          <w:p>
            <w:r>
              <w:rPr>
                <w:rFonts w:ascii="Arial" w:hAnsi="Arial" w:eastAsia="Arial"/>
                <w:sz w:val="18"/>
              </w:rPr>
            </w:r>
            <w:r>
              <w:rPr>
                <w:rFonts w:ascii="Arial" w:hAnsi="Arial" w:eastAsia="Arial"/>
                <w:b w:val="0"/>
                <w:sz w:val="18"/>
              </w:rPr>
              <w:t>1,800,000</w:t>
            </w:r>
          </w:p>
        </w:tc>
      </w:tr>
      <w:tr>
        <w:tc>
          <w:tcPr>
            <w:tcW w:type="dxa" w:w="720"/>
            <w:vAlign w:val="center"/>
          </w:tcPr>
          <w:p>
            <w:r>
              <w:rPr>
                <w:rFonts w:ascii="Arial" w:hAnsi="Arial" w:eastAsia="Arial"/>
                <w:sz w:val="18"/>
              </w:rPr>
            </w:r>
            <w:r>
              <w:rPr>
                <w:rFonts w:ascii="Arial" w:hAnsi="Arial" w:eastAsia="Arial"/>
                <w:b w:val="0"/>
                <w:sz w:val="18"/>
              </w:rPr>
              <w:t>8</w:t>
            </w:r>
          </w:p>
        </w:tc>
        <w:tc>
          <w:tcPr>
            <w:tcW w:type="dxa" w:w="1728"/>
            <w:vAlign w:val="center"/>
          </w:tcPr>
          <w:p>
            <w:r>
              <w:rPr>
                <w:rFonts w:ascii="Arial" w:hAnsi="Arial" w:eastAsia="Arial"/>
                <w:sz w:val="18"/>
              </w:rPr>
            </w:r>
            <w:r>
              <w:rPr>
                <w:rFonts w:ascii="Arial" w:hAnsi="Arial" w:eastAsia="Arial"/>
                <w:b w:val="0"/>
                <w:sz w:val="18"/>
              </w:rPr>
              <w:t>2081/01/04</w:t>
            </w:r>
          </w:p>
        </w:tc>
        <w:tc>
          <w:tcPr>
            <w:tcW w:type="dxa" w:w="4320"/>
            <w:vAlign w:val="center"/>
          </w:tcPr>
          <w:p>
            <w:r>
              <w:rPr>
                <w:rFonts w:ascii="Arial" w:hAnsi="Arial" w:eastAsia="Arial"/>
                <w:sz w:val="18"/>
              </w:rPr>
            </w:r>
            <w:r>
              <w:rPr>
                <w:rFonts w:ascii="Arial" w:hAnsi="Arial" w:eastAsia="Arial"/>
                <w:b w:val="0"/>
                <w:sz w:val="18"/>
              </w:rPr>
              <w:t>Motorcycle</w:t>
            </w:r>
          </w:p>
        </w:tc>
        <w:tc>
          <w:tcPr>
            <w:tcW w:type="dxa" w:w="2016"/>
            <w:vAlign w:val="center"/>
          </w:tcPr>
          <w:p>
            <w:r>
              <w:rPr>
                <w:rFonts w:ascii="Arial" w:hAnsi="Arial" w:eastAsia="Arial"/>
                <w:sz w:val="18"/>
              </w:rPr>
            </w:r>
            <w:r>
              <w:rPr>
                <w:rFonts w:ascii="Arial" w:hAnsi="Arial" w:eastAsia="Arial"/>
                <w:b w:val="0"/>
                <w:sz w:val="18"/>
              </w:rPr>
              <w:t>120,000</w:t>
            </w:r>
          </w:p>
        </w:tc>
      </w:tr>
      <w:tr>
        <w:tc>
          <w:tcPr>
            <w:tcW w:type="dxa" w:w="720"/>
            <w:vAlign w:val="center"/>
          </w:tcPr>
          <w:p>
            <w:r>
              <w:rPr>
                <w:rFonts w:ascii="Arial" w:hAnsi="Arial" w:eastAsia="Arial"/>
                <w:sz w:val="18"/>
              </w:rPr>
            </w:r>
            <w:r>
              <w:rPr>
                <w:rFonts w:ascii="Arial" w:hAnsi="Arial" w:eastAsia="Arial"/>
                <w:b w:val="0"/>
                <w:sz w:val="18"/>
              </w:rPr>
              <w:t>9</w:t>
            </w:r>
          </w:p>
        </w:tc>
        <w:tc>
          <w:tcPr>
            <w:tcW w:type="dxa" w:w="1728"/>
            <w:vAlign w:val="center"/>
          </w:tcPr>
          <w:p>
            <w:r>
              <w:rPr>
                <w:rFonts w:ascii="Arial" w:hAnsi="Arial" w:eastAsia="Arial"/>
                <w:sz w:val="18"/>
              </w:rPr>
            </w:r>
            <w:r>
              <w:rPr>
                <w:rFonts w:ascii="Arial" w:hAnsi="Arial" w:eastAsia="Arial"/>
                <w:b w:val="0"/>
                <w:sz w:val="18"/>
              </w:rPr>
              <w:t>2081/03/05</w:t>
            </w:r>
          </w:p>
        </w:tc>
        <w:tc>
          <w:tcPr>
            <w:tcW w:type="dxa" w:w="4320"/>
            <w:vAlign w:val="center"/>
          </w:tcPr>
          <w:p>
            <w:r>
              <w:rPr>
                <w:rFonts w:ascii="Arial" w:hAnsi="Arial" w:eastAsia="Arial"/>
                <w:sz w:val="18"/>
              </w:rPr>
            </w:r>
            <w:r>
              <w:rPr>
                <w:rFonts w:ascii="Arial" w:hAnsi="Arial" w:eastAsia="Arial"/>
                <w:b w:val="0"/>
                <w:sz w:val="18"/>
              </w:rPr>
              <w:t>Water pump</w:t>
            </w:r>
          </w:p>
        </w:tc>
        <w:tc>
          <w:tcPr>
            <w:tcW w:type="dxa" w:w="2016"/>
            <w:vAlign w:val="center"/>
          </w:tcPr>
          <w:p>
            <w:r>
              <w:rPr>
                <w:rFonts w:ascii="Arial" w:hAnsi="Arial" w:eastAsia="Arial"/>
                <w:sz w:val="18"/>
              </w:rPr>
            </w:r>
            <w:r>
              <w:rPr>
                <w:rFonts w:ascii="Arial" w:hAnsi="Arial" w:eastAsia="Arial"/>
                <w:b w:val="0"/>
                <w:sz w:val="18"/>
              </w:rPr>
              <w:t>9,000</w:t>
            </w:r>
          </w:p>
        </w:tc>
      </w:tr>
    </w:tbl>
    <w:p>
      <w:pPr>
        <w:spacing w:after="80" w:line="252" w:lineRule="auto"/>
      </w:pPr>
      <w:r>
        <w:rPr>
          <w:rFonts w:ascii="Arial" w:hAnsi="Arial" w:eastAsia="Arial"/>
          <w:b w:val="0"/>
          <w:i w:val="0"/>
          <w:sz w:val="20"/>
        </w:rPr>
        <w:t>For income tax purposes, these assets are grouped as follows:</w:t>
      </w:r>
    </w:p>
    <w:tbl>
      <w:tblPr>
        <w:tblStyle w:val="TableGrid"/>
        <w:tblW w:type="auto" w:w="0"/>
        <w:jc w:val="center"/>
        <w:tblLook w:firstColumn="1" w:firstRow="1" w:lastColumn="0" w:lastRow="0" w:noHBand="0" w:noVBand="1" w:val="04A0"/>
      </w:tblPr>
      <w:tblGrid>
        <w:gridCol w:w="3360"/>
        <w:gridCol w:w="3360"/>
        <w:gridCol w:w="3360"/>
      </w:tblGrid>
      <w:tr>
        <w:tc>
          <w:tcPr>
            <w:tcW w:type="dxa" w:w="1440"/>
            <w:vAlign w:val="center"/>
            <w:shd w:fill="D9EAF7"/>
          </w:tcPr>
          <w:p>
            <w:r>
              <w:rPr>
                <w:rFonts w:ascii="Arial" w:hAnsi="Arial" w:eastAsia="Arial"/>
                <w:sz w:val="18"/>
              </w:rPr>
            </w:r>
            <w:r>
              <w:rPr>
                <w:rFonts w:ascii="Arial" w:hAnsi="Arial" w:eastAsia="Arial"/>
                <w:b/>
                <w:sz w:val="18"/>
              </w:rPr>
              <w:t>Pool</w:t>
            </w:r>
          </w:p>
        </w:tc>
        <w:tc>
          <w:tcPr>
            <w:tcW w:type="dxa" w:w="6480"/>
            <w:vAlign w:val="center"/>
            <w:shd w:fill="D9EAF7"/>
          </w:tcPr>
          <w:p>
            <w:r>
              <w:rPr>
                <w:rFonts w:ascii="Arial" w:hAnsi="Arial" w:eastAsia="Arial"/>
                <w:sz w:val="18"/>
              </w:rPr>
            </w:r>
            <w:r>
              <w:rPr>
                <w:rFonts w:ascii="Arial" w:hAnsi="Arial" w:eastAsia="Arial"/>
                <w:b/>
                <w:sz w:val="18"/>
              </w:rPr>
              <w:t>Assets included</w:t>
            </w:r>
          </w:p>
        </w:tc>
        <w:tc>
          <w:tcPr>
            <w:tcW w:type="dxa" w:w="1728"/>
            <w:vAlign w:val="center"/>
            <w:shd w:fill="D9EAF7"/>
          </w:tcPr>
          <w:p>
            <w:r>
              <w:rPr>
                <w:rFonts w:ascii="Arial" w:hAnsi="Arial" w:eastAsia="Arial"/>
                <w:sz w:val="18"/>
              </w:rPr>
            </w:r>
            <w:r>
              <w:rPr>
                <w:rFonts w:ascii="Arial" w:hAnsi="Arial" w:eastAsia="Arial"/>
                <w:b/>
                <w:sz w:val="18"/>
              </w:rPr>
              <w:t>Total (Rs.)</w:t>
            </w:r>
          </w:p>
        </w:tc>
      </w:tr>
      <w:tr>
        <w:tc>
          <w:tcPr>
            <w:tcW w:type="dxa" w:w="1440"/>
            <w:vAlign w:val="center"/>
          </w:tcPr>
          <w:p>
            <w:r>
              <w:rPr>
                <w:rFonts w:ascii="Arial" w:hAnsi="Arial" w:eastAsia="Arial"/>
                <w:sz w:val="18"/>
              </w:rPr>
            </w:r>
            <w:r>
              <w:rPr>
                <w:rFonts w:ascii="Arial" w:hAnsi="Arial" w:eastAsia="Arial"/>
                <w:b w:val="0"/>
                <w:sz w:val="18"/>
              </w:rPr>
              <w:t>Pool B</w:t>
            </w:r>
          </w:p>
        </w:tc>
        <w:tc>
          <w:tcPr>
            <w:tcW w:type="dxa" w:w="6480"/>
            <w:vAlign w:val="center"/>
          </w:tcPr>
          <w:p>
            <w:r>
              <w:rPr>
                <w:rFonts w:ascii="Arial" w:hAnsi="Arial" w:eastAsia="Arial"/>
                <w:sz w:val="18"/>
              </w:rPr>
            </w:r>
            <w:r>
              <w:rPr>
                <w:rFonts w:ascii="Arial" w:hAnsi="Arial" w:eastAsia="Arial"/>
                <w:b w:val="0"/>
                <w:sz w:val="18"/>
              </w:rPr>
              <w:t>Table Rs. 10,000; Computer Rs. 60,000; Cupboard Rs. 12,000; Desk Rs. 15,000</w:t>
            </w:r>
          </w:p>
        </w:tc>
        <w:tc>
          <w:tcPr>
            <w:tcW w:type="dxa" w:w="1728"/>
            <w:vAlign w:val="center"/>
          </w:tcPr>
          <w:p>
            <w:r>
              <w:rPr>
                <w:rFonts w:ascii="Arial" w:hAnsi="Arial" w:eastAsia="Arial"/>
                <w:sz w:val="18"/>
              </w:rPr>
            </w:r>
            <w:r>
              <w:rPr>
                <w:rFonts w:ascii="Arial" w:hAnsi="Arial" w:eastAsia="Arial"/>
                <w:b w:val="0"/>
                <w:sz w:val="18"/>
              </w:rPr>
              <w:t>97,000</w:t>
            </w:r>
          </w:p>
        </w:tc>
      </w:tr>
      <w:tr>
        <w:tc>
          <w:tcPr>
            <w:tcW w:type="dxa" w:w="1440"/>
            <w:vAlign w:val="center"/>
          </w:tcPr>
          <w:p>
            <w:r>
              <w:rPr>
                <w:rFonts w:ascii="Arial" w:hAnsi="Arial" w:eastAsia="Arial"/>
                <w:sz w:val="18"/>
              </w:rPr>
            </w:r>
            <w:r>
              <w:rPr>
                <w:rFonts w:ascii="Arial" w:hAnsi="Arial" w:eastAsia="Arial"/>
                <w:b w:val="0"/>
                <w:sz w:val="18"/>
              </w:rPr>
              <w:t>Pool C</w:t>
            </w:r>
          </w:p>
        </w:tc>
        <w:tc>
          <w:tcPr>
            <w:tcW w:type="dxa" w:w="6480"/>
            <w:vAlign w:val="center"/>
          </w:tcPr>
          <w:p>
            <w:r>
              <w:rPr>
                <w:rFonts w:ascii="Arial" w:hAnsi="Arial" w:eastAsia="Arial"/>
                <w:sz w:val="18"/>
              </w:rPr>
            </w:r>
            <w:r>
              <w:rPr>
                <w:rFonts w:ascii="Arial" w:hAnsi="Arial" w:eastAsia="Arial"/>
                <w:b w:val="0"/>
                <w:sz w:val="18"/>
              </w:rPr>
              <w:t>Car Rs. 1,800,000; Motorcycle Rs. 120,000</w:t>
            </w:r>
          </w:p>
        </w:tc>
        <w:tc>
          <w:tcPr>
            <w:tcW w:type="dxa" w:w="1728"/>
            <w:vAlign w:val="center"/>
          </w:tcPr>
          <w:p>
            <w:r>
              <w:rPr>
                <w:rFonts w:ascii="Arial" w:hAnsi="Arial" w:eastAsia="Arial"/>
                <w:sz w:val="18"/>
              </w:rPr>
            </w:r>
            <w:r>
              <w:rPr>
                <w:rFonts w:ascii="Arial" w:hAnsi="Arial" w:eastAsia="Arial"/>
                <w:b w:val="0"/>
                <w:sz w:val="18"/>
              </w:rPr>
              <w:t>1,920,000</w:t>
            </w:r>
          </w:p>
        </w:tc>
      </w:tr>
      <w:tr>
        <w:tc>
          <w:tcPr>
            <w:tcW w:type="dxa" w:w="1440"/>
            <w:vAlign w:val="center"/>
          </w:tcPr>
          <w:p>
            <w:r>
              <w:rPr>
                <w:rFonts w:ascii="Arial" w:hAnsi="Arial" w:eastAsia="Arial"/>
                <w:sz w:val="18"/>
              </w:rPr>
            </w:r>
            <w:r>
              <w:rPr>
                <w:rFonts w:ascii="Arial" w:hAnsi="Arial" w:eastAsia="Arial"/>
                <w:b w:val="0"/>
                <w:sz w:val="18"/>
              </w:rPr>
              <w:t>Pool D</w:t>
            </w:r>
          </w:p>
        </w:tc>
        <w:tc>
          <w:tcPr>
            <w:tcW w:type="dxa" w:w="6480"/>
            <w:vAlign w:val="center"/>
          </w:tcPr>
          <w:p>
            <w:r>
              <w:rPr>
                <w:rFonts w:ascii="Arial" w:hAnsi="Arial" w:eastAsia="Arial"/>
                <w:sz w:val="18"/>
              </w:rPr>
            </w:r>
            <w:r>
              <w:rPr>
                <w:rFonts w:ascii="Arial" w:hAnsi="Arial" w:eastAsia="Arial"/>
                <w:b w:val="0"/>
                <w:sz w:val="18"/>
              </w:rPr>
              <w:t>Bicycle Rs. 5,000; Generator Rs. 100,000; Water pump Rs. 9,000</w:t>
            </w:r>
          </w:p>
        </w:tc>
        <w:tc>
          <w:tcPr>
            <w:tcW w:type="dxa" w:w="1728"/>
            <w:vAlign w:val="center"/>
          </w:tcPr>
          <w:p>
            <w:r>
              <w:rPr>
                <w:rFonts w:ascii="Arial" w:hAnsi="Arial" w:eastAsia="Arial"/>
                <w:sz w:val="18"/>
              </w:rPr>
            </w:r>
            <w:r>
              <w:rPr>
                <w:rFonts w:ascii="Arial" w:hAnsi="Arial" w:eastAsia="Arial"/>
                <w:b w:val="0"/>
                <w:sz w:val="18"/>
              </w:rPr>
              <w:t>114,000</w:t>
            </w:r>
          </w:p>
        </w:tc>
      </w:tr>
    </w:tbl>
    <w:p>
      <w:pPr>
        <w:spacing w:after="80" w:line="252" w:lineRule="auto"/>
      </w:pPr>
      <w:r>
        <w:rPr>
          <w:rFonts w:ascii="Arial" w:hAnsi="Arial" w:eastAsia="Arial"/>
          <w:b w:val="0"/>
          <w:i w:val="0"/>
          <w:sz w:val="20"/>
        </w:rPr>
        <w:t>For Class E depreciable property, such as patent rights and trademarks, each asset has a distinct character. Therefore, even if the assets are within the same class, each such asset must be kept and computed in a separate pool.</w:t>
      </w:r>
    </w:p>
    <w:p>
      <w:pPr>
        <w:spacing w:after="80" w:line="252" w:lineRule="auto"/>
      </w:pPr>
      <w:r>
        <w:rPr>
          <w:rFonts w:ascii="Arial" w:hAnsi="Arial" w:eastAsia="Arial"/>
          <w:b w:val="0"/>
          <w:i w:val="0"/>
          <w:sz w:val="20"/>
        </w:rPr>
        <w:t>The cost incurred in extracting natural resources, mining, and developing such resources in deriving income from business is treated as the cost of acquiring an asset for that business. Such assets are included in Class D.</w:t>
      </w:r>
    </w:p>
    <w:p>
      <w:pPr>
        <w:pStyle w:val="Heading3"/>
        <w:spacing w:after="80" w:line="252" w:lineRule="auto"/>
      </w:pPr>
      <w:r>
        <w:rPr>
          <w:rFonts w:ascii="Arial" w:hAnsi="Arial" w:eastAsia="Arial"/>
          <w:b w:val="0"/>
          <w:i w:val="0"/>
          <w:sz w:val="20"/>
        </w:rPr>
        <w:t>2. Rate of depreciation</w:t>
      </w:r>
    </w:p>
    <w:p>
      <w:pPr>
        <w:spacing w:after="80" w:line="252" w:lineRule="auto"/>
      </w:pPr>
      <w:r>
        <w:rPr>
          <w:rFonts w:ascii="Arial" w:hAnsi="Arial" w:eastAsia="Arial"/>
          <w:b w:val="0"/>
          <w:i w:val="0"/>
          <w:sz w:val="20"/>
        </w:rPr>
        <w:t>Under section 3 of Schedule 2, depreciation rates are as follows:</w:t>
      </w:r>
    </w:p>
    <w:tbl>
      <w:tblPr>
        <w:tblStyle w:val="TableGrid"/>
        <w:tblW w:type="auto" w:w="0"/>
        <w:jc w:val="center"/>
        <w:tblLook w:firstColumn="1" w:firstRow="1" w:lastColumn="0" w:lastRow="0" w:noHBand="0" w:noVBand="1" w:val="04A0"/>
      </w:tblPr>
      <w:tblGrid>
        <w:gridCol w:w="5040"/>
        <w:gridCol w:w="5040"/>
      </w:tblGrid>
      <w:tr>
        <w:tc>
          <w:tcPr>
            <w:tcW w:type="dxa" w:w="1152"/>
            <w:vAlign w:val="center"/>
            <w:shd w:fill="D9EAF7"/>
          </w:tcPr>
          <w:p>
            <w:r>
              <w:rPr>
                <w:rFonts w:ascii="Arial" w:hAnsi="Arial" w:eastAsia="Arial"/>
                <w:sz w:val="18"/>
              </w:rPr>
            </w:r>
            <w:r>
              <w:rPr>
                <w:rFonts w:ascii="Arial" w:hAnsi="Arial" w:eastAsia="Arial"/>
                <w:b/>
                <w:sz w:val="18"/>
              </w:rPr>
              <w:t>Class</w:t>
            </w:r>
          </w:p>
        </w:tc>
        <w:tc>
          <w:tcPr>
            <w:tcW w:type="dxa" w:w="8352"/>
            <w:vAlign w:val="center"/>
            <w:shd w:fill="D9EAF7"/>
          </w:tcPr>
          <w:p>
            <w:r>
              <w:rPr>
                <w:rFonts w:ascii="Arial" w:hAnsi="Arial" w:eastAsia="Arial"/>
                <w:sz w:val="18"/>
              </w:rPr>
            </w:r>
            <w:r>
              <w:rPr>
                <w:rFonts w:ascii="Arial" w:hAnsi="Arial" w:eastAsia="Arial"/>
                <w:b/>
                <w:sz w:val="18"/>
              </w:rPr>
              <w:t>Rate</w:t>
            </w:r>
          </w:p>
        </w:tc>
      </w:tr>
      <w:tr>
        <w:tc>
          <w:tcPr>
            <w:tcW w:type="dxa" w:w="1152"/>
            <w:vAlign w:val="center"/>
          </w:tcPr>
          <w:p>
            <w:r>
              <w:rPr>
                <w:rFonts w:ascii="Arial" w:hAnsi="Arial" w:eastAsia="Arial"/>
                <w:sz w:val="18"/>
              </w:rPr>
            </w:r>
            <w:r>
              <w:rPr>
                <w:rFonts w:ascii="Arial" w:hAnsi="Arial" w:eastAsia="Arial"/>
                <w:b w:val="0"/>
                <w:sz w:val="18"/>
              </w:rPr>
              <w:t>A</w:t>
            </w:r>
          </w:p>
        </w:tc>
        <w:tc>
          <w:tcPr>
            <w:tcW w:type="dxa" w:w="8352"/>
            <w:vAlign w:val="center"/>
          </w:tcPr>
          <w:p>
            <w:r>
              <w:rPr>
                <w:rFonts w:ascii="Arial" w:hAnsi="Arial" w:eastAsia="Arial"/>
                <w:sz w:val="18"/>
              </w:rPr>
            </w:r>
            <w:r>
              <w:rPr>
                <w:rFonts w:ascii="Arial" w:hAnsi="Arial" w:eastAsia="Arial"/>
                <w:b w:val="0"/>
                <w:sz w:val="18"/>
              </w:rPr>
              <w:t>5 percent</w:t>
            </w:r>
          </w:p>
        </w:tc>
      </w:tr>
      <w:tr>
        <w:tc>
          <w:tcPr>
            <w:tcW w:type="dxa" w:w="1152"/>
            <w:vAlign w:val="center"/>
          </w:tcPr>
          <w:p>
            <w:r>
              <w:rPr>
                <w:rFonts w:ascii="Arial" w:hAnsi="Arial" w:eastAsia="Arial"/>
                <w:sz w:val="18"/>
              </w:rPr>
            </w:r>
            <w:r>
              <w:rPr>
                <w:rFonts w:ascii="Arial" w:hAnsi="Arial" w:eastAsia="Arial"/>
                <w:b w:val="0"/>
                <w:sz w:val="18"/>
              </w:rPr>
              <w:t>B</w:t>
            </w:r>
          </w:p>
        </w:tc>
        <w:tc>
          <w:tcPr>
            <w:tcW w:type="dxa" w:w="8352"/>
            <w:vAlign w:val="center"/>
          </w:tcPr>
          <w:p>
            <w:r>
              <w:rPr>
                <w:rFonts w:ascii="Arial" w:hAnsi="Arial" w:eastAsia="Arial"/>
                <w:sz w:val="18"/>
              </w:rPr>
            </w:r>
            <w:r>
              <w:rPr>
                <w:rFonts w:ascii="Arial" w:hAnsi="Arial" w:eastAsia="Arial"/>
                <w:b w:val="0"/>
                <w:sz w:val="18"/>
              </w:rPr>
              <w:t>25 percent</w:t>
            </w:r>
          </w:p>
        </w:tc>
      </w:tr>
      <w:tr>
        <w:tc>
          <w:tcPr>
            <w:tcW w:type="dxa" w:w="1152"/>
            <w:vAlign w:val="center"/>
          </w:tcPr>
          <w:p>
            <w:r>
              <w:rPr>
                <w:rFonts w:ascii="Arial" w:hAnsi="Arial" w:eastAsia="Arial"/>
                <w:sz w:val="18"/>
              </w:rPr>
            </w:r>
            <w:r>
              <w:rPr>
                <w:rFonts w:ascii="Arial" w:hAnsi="Arial" w:eastAsia="Arial"/>
                <w:b w:val="0"/>
                <w:sz w:val="18"/>
              </w:rPr>
              <w:t>C</w:t>
            </w:r>
          </w:p>
        </w:tc>
        <w:tc>
          <w:tcPr>
            <w:tcW w:type="dxa" w:w="8352"/>
            <w:vAlign w:val="center"/>
          </w:tcPr>
          <w:p>
            <w:r>
              <w:rPr>
                <w:rFonts w:ascii="Arial" w:hAnsi="Arial" w:eastAsia="Arial"/>
                <w:sz w:val="18"/>
              </w:rPr>
            </w:r>
            <w:r>
              <w:rPr>
                <w:rFonts w:ascii="Arial" w:hAnsi="Arial" w:eastAsia="Arial"/>
                <w:b w:val="0"/>
                <w:sz w:val="18"/>
              </w:rPr>
              <w:t>20 percent</w:t>
            </w:r>
          </w:p>
        </w:tc>
      </w:tr>
      <w:tr>
        <w:tc>
          <w:tcPr>
            <w:tcW w:type="dxa" w:w="1152"/>
            <w:vAlign w:val="center"/>
          </w:tcPr>
          <w:p>
            <w:r>
              <w:rPr>
                <w:rFonts w:ascii="Arial" w:hAnsi="Arial" w:eastAsia="Arial"/>
                <w:sz w:val="18"/>
              </w:rPr>
            </w:r>
            <w:r>
              <w:rPr>
                <w:rFonts w:ascii="Arial" w:hAnsi="Arial" w:eastAsia="Arial"/>
                <w:b w:val="0"/>
                <w:sz w:val="18"/>
              </w:rPr>
              <w:t>D</w:t>
            </w:r>
          </w:p>
        </w:tc>
        <w:tc>
          <w:tcPr>
            <w:tcW w:type="dxa" w:w="8352"/>
            <w:vAlign w:val="center"/>
          </w:tcPr>
          <w:p>
            <w:r>
              <w:rPr>
                <w:rFonts w:ascii="Arial" w:hAnsi="Arial" w:eastAsia="Arial"/>
                <w:sz w:val="18"/>
              </w:rPr>
            </w:r>
            <w:r>
              <w:rPr>
                <w:rFonts w:ascii="Arial" w:hAnsi="Arial" w:eastAsia="Arial"/>
                <w:b w:val="0"/>
                <w:sz w:val="18"/>
              </w:rPr>
              <w:t>15 percent</w:t>
            </w:r>
          </w:p>
        </w:tc>
      </w:tr>
      <w:tr>
        <w:tc>
          <w:tcPr>
            <w:tcW w:type="dxa" w:w="1152"/>
            <w:vAlign w:val="center"/>
          </w:tcPr>
          <w:p>
            <w:r>
              <w:rPr>
                <w:rFonts w:ascii="Arial" w:hAnsi="Arial" w:eastAsia="Arial"/>
                <w:sz w:val="18"/>
              </w:rPr>
            </w:r>
            <w:r>
              <w:rPr>
                <w:rFonts w:ascii="Arial" w:hAnsi="Arial" w:eastAsia="Arial"/>
                <w:b w:val="0"/>
                <w:sz w:val="18"/>
              </w:rPr>
              <w:t>E</w:t>
            </w:r>
          </w:p>
        </w:tc>
        <w:tc>
          <w:tcPr>
            <w:tcW w:type="dxa" w:w="8352"/>
            <w:vAlign w:val="center"/>
          </w:tcPr>
          <w:p>
            <w:r>
              <w:rPr>
                <w:rFonts w:ascii="Arial" w:hAnsi="Arial" w:eastAsia="Arial"/>
                <w:sz w:val="18"/>
              </w:rPr>
            </w:r>
            <w:r>
              <w:rPr>
                <w:rFonts w:ascii="Arial" w:hAnsi="Arial" w:eastAsia="Arial"/>
                <w:b w:val="0"/>
                <w:sz w:val="18"/>
              </w:rPr>
              <w:t>The rate arrived at by dividing the cost of the asset at the time of acquisition by the useful life of the asset, rounded to the nearest half-year, expressed as a percentage.</w:t>
            </w:r>
          </w:p>
        </w:tc>
      </w:tr>
    </w:tbl>
    <w:p>
      <w:pPr>
        <w:spacing w:after="80" w:line="252" w:lineRule="auto"/>
      </w:pPr>
      <w:r>
        <w:rPr>
          <w:rFonts w:ascii="Arial" w:hAnsi="Arial" w:eastAsia="Arial"/>
          <w:b w:val="0"/>
          <w:i w:val="0"/>
          <w:sz w:val="20"/>
        </w:rPr>
        <w:t>Projects referred to in section 19(2), and entities referred to in section 11(2kha), 11(3cha), 11(3tha) and Schedule 1 section 2(3) of the Act, may claim an additional one-third depreciation on the rates applicable to Classes A, B, C and D. Depreciation is computed by applying the rate to the depreciation basis of the pool at the end of the income year. However, the provision for additional depreciation does not apply in the context of investment.</w:t>
      </w:r>
    </w:p>
    <w:p>
      <w:pPr>
        <w:pStyle w:val="Heading3"/>
        <w:spacing w:after="80" w:line="252" w:lineRule="auto"/>
      </w:pPr>
      <w:r>
        <w:rPr>
          <w:rFonts w:ascii="Arial" w:hAnsi="Arial" w:eastAsia="Arial"/>
          <w:b w:val="0"/>
          <w:i w:val="0"/>
          <w:sz w:val="20"/>
        </w:rPr>
        <w:t>3. Depreciation expense</w:t>
      </w:r>
    </w:p>
    <w:p>
      <w:pPr>
        <w:spacing w:after="80" w:line="252" w:lineRule="auto"/>
      </w:pPr>
      <w:r>
        <w:rPr>
          <w:rFonts w:ascii="Arial" w:hAnsi="Arial" w:eastAsia="Arial"/>
          <w:b w:val="0"/>
          <w:i w:val="0"/>
          <w:sz w:val="20"/>
        </w:rPr>
        <w:t>Under section 2 of Schedule 2, depreciation is computed using the relevant rate for each class of depreciable property. The deduction is the depreciation of assets in each pool computed under subsections (2) and (6). For an income year, depreciation is calculated using the following formula:</w:t>
      </w:r>
    </w:p>
    <w:p>
      <w:pPr>
        <w:spacing w:after="80" w:line="252" w:lineRule="auto"/>
        <w:jc w:val="center"/>
      </w:pPr>
      <w:r>
        <w:rPr>
          <w:rFonts w:ascii="Arial" w:hAnsi="Arial" w:eastAsia="Arial"/>
          <w:b/>
          <w:i w:val="0"/>
          <w:sz w:val="20"/>
        </w:rPr>
        <w:t>A x B</w:t>
      </w:r>
    </w:p>
    <w:p>
      <w:pPr>
        <w:spacing w:after="80" w:line="252" w:lineRule="auto"/>
      </w:pPr>
      <w:r>
        <w:rPr>
          <w:rFonts w:ascii="Arial" w:hAnsi="Arial" w:eastAsia="Arial"/>
          <w:b w:val="0"/>
          <w:i w:val="0"/>
          <w:sz w:val="20"/>
        </w:rPr>
        <w:t>where A means the depreciation basis of the pool of assets at the end of that income year, and B means the depreciation rate applicable to that pool under section 3 of Schedule 2.</w:t>
      </w:r>
    </w:p>
    <w:p>
      <w:pPr>
        <w:spacing w:after="80" w:line="252" w:lineRule="auto"/>
      </w:pPr>
      <w:r>
        <w:rPr>
          <w:rFonts w:ascii="Arial" w:hAnsi="Arial" w:eastAsia="Arial"/>
          <w:b w:val="0"/>
          <w:i w:val="0"/>
          <w:sz w:val="20"/>
        </w:rPr>
        <w:t>Where, after deducting depreciation under section 2(2) from the depreciation basis of a pool in Class A, B, C or D, the remaining amount is less than Rs. 2,000, the entire remaining amount must be claimed as additional depreciation expense.</w:t>
      </w:r>
    </w:p>
    <w:p>
      <w:pPr>
        <w:spacing w:after="80" w:line="252" w:lineRule="auto"/>
      </w:pPr>
      <w:r>
        <w:rPr>
          <w:rFonts w:ascii="Arial" w:hAnsi="Arial" w:eastAsia="Arial"/>
          <w:b/>
          <w:i w:val="0"/>
          <w:sz w:val="20"/>
        </w:rPr>
        <w:t>Example 21.6.5:</w:t>
      </w:r>
    </w:p>
    <w:p>
      <w:pPr>
        <w:spacing w:after="80" w:line="252" w:lineRule="auto"/>
      </w:pPr>
      <w:r>
        <w:rPr>
          <w:rFonts w:ascii="Arial" w:hAnsi="Arial" w:eastAsia="Arial"/>
          <w:b w:val="0"/>
          <w:i w:val="0"/>
          <w:sz w:val="20"/>
        </w:rPr>
        <w:t>Assume that at the end of income year 2080/81 the depreciation basis of Govinda Prasad’s Pool C is Rs. 1,500,000. Depreciation for that year is computed as follows:</w:t>
      </w:r>
    </w:p>
    <w:tbl>
      <w:tblPr>
        <w:tblStyle w:val="TableGrid"/>
        <w:tblW w:type="auto" w:w="0"/>
        <w:jc w:val="center"/>
        <w:tblLook w:firstColumn="1" w:firstRow="1" w:lastColumn="0" w:lastRow="0" w:noHBand="0" w:noVBand="1" w:val="04A0"/>
      </w:tblPr>
      <w:tblGrid>
        <w:gridCol w:w="5040"/>
        <w:gridCol w:w="5040"/>
      </w:tblGrid>
      <w:tr>
        <w:tc>
          <w:tcPr>
            <w:tcW w:type="dxa" w:w="6048"/>
            <w:vAlign w:val="center"/>
            <w:shd w:fill="D9EAF7"/>
          </w:tcPr>
          <w:p>
            <w:r>
              <w:rPr>
                <w:rFonts w:ascii="Arial" w:hAnsi="Arial" w:eastAsia="Arial"/>
                <w:sz w:val="18"/>
              </w:rPr>
            </w:r>
            <w:r>
              <w:rPr>
                <w:rFonts w:ascii="Arial" w:hAnsi="Arial" w:eastAsia="Arial"/>
                <w:b/>
                <w:sz w:val="18"/>
              </w:rPr>
              <w:t>Particulars</w:t>
            </w:r>
          </w:p>
        </w:tc>
        <w:tc>
          <w:tcPr>
            <w:tcW w:type="dxa" w:w="2880"/>
            <w:vAlign w:val="center"/>
            <w:shd w:fill="D9EAF7"/>
          </w:tcPr>
          <w:p>
            <w:r>
              <w:rPr>
                <w:rFonts w:ascii="Arial" w:hAnsi="Arial" w:eastAsia="Arial"/>
                <w:sz w:val="18"/>
              </w:rPr>
            </w:r>
            <w:r>
              <w:rPr>
                <w:rFonts w:ascii="Arial" w:hAnsi="Arial" w:eastAsia="Arial"/>
                <w:b/>
                <w:sz w:val="18"/>
              </w:rPr>
              <w:t>Amount / Rate</w:t>
            </w:r>
          </w:p>
        </w:tc>
      </w:tr>
      <w:tr>
        <w:tc>
          <w:tcPr>
            <w:tcW w:type="dxa" w:w="6048"/>
            <w:vAlign w:val="center"/>
          </w:tcPr>
          <w:p>
            <w:r>
              <w:rPr>
                <w:rFonts w:ascii="Arial" w:hAnsi="Arial" w:eastAsia="Arial"/>
                <w:sz w:val="18"/>
              </w:rPr>
            </w:r>
            <w:r>
              <w:rPr>
                <w:rFonts w:ascii="Arial" w:hAnsi="Arial" w:eastAsia="Arial"/>
                <w:b w:val="0"/>
                <w:sz w:val="18"/>
              </w:rPr>
              <w:t>Depreciation basis at the end of the income year</w:t>
            </w:r>
          </w:p>
        </w:tc>
        <w:tc>
          <w:tcPr>
            <w:tcW w:type="dxa" w:w="2880"/>
            <w:vAlign w:val="center"/>
          </w:tcPr>
          <w:p>
            <w:r>
              <w:rPr>
                <w:rFonts w:ascii="Arial" w:hAnsi="Arial" w:eastAsia="Arial"/>
                <w:sz w:val="18"/>
              </w:rPr>
            </w:r>
            <w:r>
              <w:rPr>
                <w:rFonts w:ascii="Arial" w:hAnsi="Arial" w:eastAsia="Arial"/>
                <w:b w:val="0"/>
                <w:sz w:val="18"/>
              </w:rPr>
              <w:t>Rs. 1,500,000</w:t>
            </w:r>
          </w:p>
        </w:tc>
      </w:tr>
      <w:tr>
        <w:tc>
          <w:tcPr>
            <w:tcW w:type="dxa" w:w="6048"/>
            <w:vAlign w:val="center"/>
          </w:tcPr>
          <w:p>
            <w:r>
              <w:rPr>
                <w:rFonts w:ascii="Arial" w:hAnsi="Arial" w:eastAsia="Arial"/>
                <w:sz w:val="18"/>
              </w:rPr>
            </w:r>
            <w:r>
              <w:rPr>
                <w:rFonts w:ascii="Arial" w:hAnsi="Arial" w:eastAsia="Arial"/>
                <w:b w:val="0"/>
                <w:sz w:val="18"/>
              </w:rPr>
              <w:t>Depreciation rate</w:t>
            </w:r>
          </w:p>
        </w:tc>
        <w:tc>
          <w:tcPr>
            <w:tcW w:type="dxa" w:w="2880"/>
            <w:vAlign w:val="center"/>
          </w:tcPr>
          <w:p>
            <w:r>
              <w:rPr>
                <w:rFonts w:ascii="Arial" w:hAnsi="Arial" w:eastAsia="Arial"/>
                <w:sz w:val="18"/>
              </w:rPr>
            </w:r>
            <w:r>
              <w:rPr>
                <w:rFonts w:ascii="Arial" w:hAnsi="Arial" w:eastAsia="Arial"/>
                <w:b w:val="0"/>
                <w:sz w:val="18"/>
              </w:rPr>
              <w:t>20 percent</w:t>
            </w:r>
          </w:p>
        </w:tc>
      </w:tr>
      <w:tr>
        <w:tc>
          <w:tcPr>
            <w:tcW w:type="dxa" w:w="6048"/>
            <w:vAlign w:val="center"/>
          </w:tcPr>
          <w:p>
            <w:r>
              <w:rPr>
                <w:rFonts w:ascii="Arial" w:hAnsi="Arial" w:eastAsia="Arial"/>
                <w:sz w:val="18"/>
              </w:rPr>
            </w:r>
            <w:r>
              <w:rPr>
                <w:rFonts w:ascii="Arial" w:hAnsi="Arial" w:eastAsia="Arial"/>
                <w:b w:val="0"/>
                <w:sz w:val="18"/>
              </w:rPr>
              <w:t>Depreciation expense</w:t>
            </w:r>
          </w:p>
        </w:tc>
        <w:tc>
          <w:tcPr>
            <w:tcW w:type="dxa" w:w="2880"/>
            <w:vAlign w:val="center"/>
          </w:tcPr>
          <w:p>
            <w:r>
              <w:rPr>
                <w:rFonts w:ascii="Arial" w:hAnsi="Arial" w:eastAsia="Arial"/>
                <w:sz w:val="18"/>
              </w:rPr>
            </w:r>
            <w:r>
              <w:rPr>
                <w:rFonts w:ascii="Arial" w:hAnsi="Arial" w:eastAsia="Arial"/>
                <w:b w:val="0"/>
                <w:sz w:val="18"/>
              </w:rPr>
              <w:t>Rs. 300,000</w:t>
            </w:r>
          </w:p>
        </w:tc>
      </w:tr>
    </w:tbl>
    <w:p>
      <w:pPr>
        <w:spacing w:after="80" w:line="252" w:lineRule="auto"/>
      </w:pPr>
      <w:r>
        <w:rPr>
          <w:rFonts w:ascii="Arial" w:hAnsi="Arial" w:eastAsia="Arial"/>
          <w:b/>
          <w:i w:val="0"/>
          <w:sz w:val="20"/>
        </w:rPr>
        <w:t>Example 21.6.6:</w:t>
      </w:r>
    </w:p>
    <w:p>
      <w:pPr>
        <w:spacing w:after="80" w:line="252" w:lineRule="auto"/>
      </w:pPr>
      <w:r>
        <w:rPr>
          <w:rFonts w:ascii="Arial" w:hAnsi="Arial" w:eastAsia="Arial"/>
          <w:b w:val="0"/>
          <w:i w:val="0"/>
          <w:sz w:val="20"/>
        </w:rPr>
        <w:t>Assume that Dinesh Chhatkuli has investment transactions. At the end of income year 2080/81 the depreciation basis of Class B is Rs. 2,400. Depreciation at 25 percent is Rs. 600, leaving Rs. 1,800. Since the remaining amount is less than Rs. 2,000, it must be claimed as additional depreciation expense in the same income year.</w:t>
      </w:r>
    </w:p>
    <w:p>
      <w:pPr>
        <w:spacing w:after="80" w:line="252" w:lineRule="auto"/>
      </w:pPr>
      <w:r>
        <w:rPr>
          <w:rFonts w:ascii="Arial" w:hAnsi="Arial" w:eastAsia="Arial"/>
          <w:b w:val="0"/>
          <w:i w:val="0"/>
          <w:sz w:val="20"/>
        </w:rPr>
        <w:t>Under section 2(3) of Schedule 2, at the end of an income year, the depreciation basis of a pool of Class A, B, C or D depreciable property is determined by adding the following amounts and subtracting the amount under item (c); the resulting amount cannot be less than zero:</w:t>
      </w:r>
    </w:p>
    <w:p>
      <w:pPr>
        <w:pStyle w:val="ListBullet"/>
        <w:spacing w:after="80" w:line="252" w:lineRule="auto"/>
      </w:pPr>
      <w:r>
        <w:rPr>
          <w:rFonts w:ascii="Arial" w:hAnsi="Arial" w:eastAsia="Arial"/>
          <w:b w:val="0"/>
          <w:i w:val="0"/>
          <w:sz w:val="20"/>
        </w:rPr>
        <w:t>the amount remaining after deducting depreciation computed under subsections (2) and (6) from the depreciation basis of that pool at the end of the preceding year;</w:t>
      </w:r>
    </w:p>
    <w:p>
      <w:pPr>
        <w:pStyle w:val="ListBullet"/>
        <w:spacing w:after="80" w:line="252" w:lineRule="auto"/>
      </w:pPr>
      <w:r>
        <w:rPr>
          <w:rFonts w:ascii="Arial" w:hAnsi="Arial" w:eastAsia="Arial"/>
          <w:b w:val="0"/>
          <w:i w:val="0"/>
          <w:sz w:val="20"/>
        </w:rPr>
        <w:t>expenses added to the depreciation basis of that pool during the year for assets added to that pool under subsection (5), or expenses added to the pool;</w:t>
      </w:r>
    </w:p>
    <w:p>
      <w:pPr>
        <w:pStyle w:val="ListBullet"/>
        <w:spacing w:after="80" w:line="252" w:lineRule="auto"/>
      </w:pPr>
      <w:r>
        <w:rPr>
          <w:rFonts w:ascii="Arial" w:hAnsi="Arial" w:eastAsia="Arial"/>
          <w:b w:val="0"/>
          <w:i w:val="0"/>
          <w:sz w:val="20"/>
        </w:rPr>
        <w:t>amounts received during the year from disposal of any asset in that pool.</w:t>
      </w:r>
    </w:p>
    <w:p>
      <w:pPr>
        <w:spacing w:after="80" w:line="252" w:lineRule="auto"/>
      </w:pPr>
      <w:r>
        <w:rPr>
          <w:rFonts w:ascii="Arial" w:hAnsi="Arial" w:eastAsia="Arial"/>
          <w:b w:val="0"/>
          <w:i w:val="0"/>
          <w:sz w:val="20"/>
        </w:rPr>
        <w:t>In practical form, the closing depreciation basis of Classes A, B, C and D is computed as follows:</w:t>
      </w:r>
    </w:p>
    <w:p>
      <w:pPr>
        <w:pStyle w:val="ListBullet"/>
        <w:spacing w:after="80" w:line="252" w:lineRule="auto"/>
      </w:pPr>
      <w:r>
        <w:rPr>
          <w:rFonts w:ascii="Arial" w:hAnsi="Arial" w:eastAsia="Arial"/>
          <w:b w:val="0"/>
          <w:i w:val="0"/>
          <w:sz w:val="20"/>
        </w:rPr>
        <w:t>opening basis: the balance after deducting depreciation of the previous year, including full deduction if the balance is less than Rs. 2,000;</w:t>
      </w:r>
    </w:p>
    <w:p>
      <w:pPr>
        <w:pStyle w:val="ListBullet"/>
        <w:spacing w:after="80" w:line="252" w:lineRule="auto"/>
      </w:pPr>
      <w:r>
        <w:rPr>
          <w:rFonts w:ascii="Arial" w:hAnsi="Arial" w:eastAsia="Arial"/>
          <w:b w:val="0"/>
          <w:i w:val="0"/>
          <w:sz w:val="20"/>
        </w:rPr>
        <w:t>add: assets added in the previous income year but not included in the depreciation basis of that year for section 19 purposes;</w:t>
      </w:r>
    </w:p>
    <w:p>
      <w:pPr>
        <w:pStyle w:val="ListBullet"/>
        <w:spacing w:after="80" w:line="252" w:lineRule="auto"/>
      </w:pPr>
      <w:r>
        <w:rPr>
          <w:rFonts w:ascii="Arial" w:hAnsi="Arial" w:eastAsia="Arial"/>
          <w:b w:val="0"/>
          <w:i w:val="0"/>
          <w:sz w:val="20"/>
        </w:rPr>
        <w:t>add: amounts added to the depreciation basis for this year under section 16 of the previous year, including additions under sections 17 and 18 for Class D assets where applicable;</w:t>
      </w:r>
    </w:p>
    <w:p>
      <w:pPr>
        <w:pStyle w:val="ListBullet"/>
        <w:spacing w:after="80" w:line="252" w:lineRule="auto"/>
      </w:pPr>
      <w:r>
        <w:rPr>
          <w:rFonts w:ascii="Arial" w:hAnsi="Arial" w:eastAsia="Arial"/>
          <w:b w:val="0"/>
          <w:i w:val="0"/>
          <w:sz w:val="20"/>
        </w:rPr>
        <w:t>add: cost of assets added to the pool during the income year on a time-apportioned basis, or expenses added to the pool;</w:t>
      </w:r>
    </w:p>
    <w:p>
      <w:pPr>
        <w:pStyle w:val="ListBullet"/>
        <w:spacing w:after="80" w:line="252" w:lineRule="auto"/>
      </w:pPr>
      <w:r>
        <w:rPr>
          <w:rFonts w:ascii="Arial" w:hAnsi="Arial" w:eastAsia="Arial"/>
          <w:b w:val="0"/>
          <w:i w:val="0"/>
          <w:sz w:val="20"/>
        </w:rPr>
        <w:t>subtract: amounts received during the income year from disposal of assets in that pool.</w:t>
      </w:r>
    </w:p>
    <w:p>
      <w:pPr>
        <w:spacing w:after="80" w:line="252" w:lineRule="auto"/>
      </w:pPr>
      <w:r>
        <w:rPr>
          <w:rFonts w:ascii="Arial" w:hAnsi="Arial" w:eastAsia="Arial"/>
          <w:b w:val="0"/>
          <w:i w:val="0"/>
          <w:sz w:val="20"/>
        </w:rPr>
        <w:t>Under section 2(4) of Schedule 2, the depreciation basis of each Class E depreciable property at the end of an income year is the total of:</w:t>
      </w:r>
    </w:p>
    <w:p>
      <w:pPr>
        <w:pStyle w:val="ListBullet"/>
        <w:spacing w:after="80" w:line="252" w:lineRule="auto"/>
      </w:pPr>
      <w:r>
        <w:rPr>
          <w:rFonts w:ascii="Arial" w:hAnsi="Arial" w:eastAsia="Arial"/>
          <w:b w:val="0"/>
          <w:i w:val="0"/>
          <w:sz w:val="20"/>
        </w:rPr>
        <w:t>the depreciation basis of depreciable property in the pool at the end of the preceding income year; and</w:t>
      </w:r>
    </w:p>
    <w:p>
      <w:pPr>
        <w:pStyle w:val="ListBullet"/>
        <w:spacing w:after="80" w:line="252" w:lineRule="auto"/>
      </w:pPr>
      <w:r>
        <w:rPr>
          <w:rFonts w:ascii="Arial" w:hAnsi="Arial" w:eastAsia="Arial"/>
          <w:b w:val="0"/>
          <w:i w:val="0"/>
          <w:sz w:val="20"/>
        </w:rPr>
        <w:t>amounts added under subsection (5) during that income year for the asset in that pool, on a time-apportioned basis.</w:t>
      </w:r>
    </w:p>
    <w:p>
      <w:pPr>
        <w:spacing w:after="80" w:line="252" w:lineRule="auto"/>
      </w:pPr>
      <w:r>
        <w:rPr>
          <w:rFonts w:ascii="Arial" w:hAnsi="Arial" w:eastAsia="Arial"/>
          <w:b w:val="0"/>
          <w:i w:val="0"/>
          <w:sz w:val="20"/>
        </w:rPr>
        <w:t>Under section 2(5) of Schedule 2, the cost incurred for a depreciable property included in a pool must be added to the depreciation basis of the relevant pool as follows:</w:t>
      </w:r>
    </w:p>
    <w:p>
      <w:pPr>
        <w:spacing w:after="80" w:line="252" w:lineRule="auto"/>
      </w:pPr>
      <w:r>
        <w:rPr>
          <w:rFonts w:ascii="Arial" w:hAnsi="Arial" w:eastAsia="Arial"/>
          <w:b w:val="0"/>
          <w:i w:val="0"/>
          <w:sz w:val="20"/>
        </w:rPr>
        <w:t>The amount to be added in the first year is computed by the formula A/3 x B. For this purpose, A has the following value:</w:t>
      </w:r>
    </w:p>
    <w:p>
      <w:pPr>
        <w:pStyle w:val="ListBullet"/>
        <w:spacing w:after="80" w:line="252" w:lineRule="auto"/>
      </w:pPr>
      <w:r>
        <w:rPr>
          <w:rFonts w:ascii="Arial" w:hAnsi="Arial" w:eastAsia="Arial"/>
          <w:b w:val="0"/>
          <w:i w:val="0"/>
          <w:sz w:val="20"/>
        </w:rPr>
        <w:t>3, for the period from the beginning of the income year to the end of Poush;</w:t>
      </w:r>
    </w:p>
    <w:p>
      <w:pPr>
        <w:pStyle w:val="ListBullet"/>
        <w:spacing w:after="80" w:line="252" w:lineRule="auto"/>
      </w:pPr>
      <w:r>
        <w:rPr>
          <w:rFonts w:ascii="Arial" w:hAnsi="Arial" w:eastAsia="Arial"/>
          <w:b w:val="0"/>
          <w:i w:val="0"/>
          <w:sz w:val="20"/>
        </w:rPr>
        <w:t>2, for the period from Magh to the end of Chaitra; and</w:t>
      </w:r>
    </w:p>
    <w:p>
      <w:pPr>
        <w:pStyle w:val="ListBullet"/>
        <w:spacing w:after="80" w:line="252" w:lineRule="auto"/>
      </w:pPr>
      <w:r>
        <w:rPr>
          <w:rFonts w:ascii="Arial" w:hAnsi="Arial" w:eastAsia="Arial"/>
          <w:b w:val="0"/>
          <w:i w:val="0"/>
          <w:sz w:val="20"/>
        </w:rPr>
        <w:t>1, for the period from Baisakh to the end of the income year.</w:t>
      </w:r>
    </w:p>
    <w:p>
      <w:pPr>
        <w:spacing w:after="80" w:line="252" w:lineRule="auto"/>
      </w:pPr>
      <w:r>
        <w:rPr>
          <w:rFonts w:ascii="Arial" w:hAnsi="Arial" w:eastAsia="Arial"/>
          <w:b w:val="0"/>
          <w:i w:val="0"/>
          <w:sz w:val="20"/>
        </w:rPr>
        <w:t>B means the amount of the cost. The remaining portion of the cost is added in the income year following the year in which the first portion is added, provided that the pool has not been disposed of under section 4(2) of Schedule 2 in the meantime.</w:t>
      </w:r>
    </w:p>
    <w:p>
      <w:pPr>
        <w:spacing w:after="80" w:line="252" w:lineRule="auto"/>
      </w:pPr>
      <w:r>
        <w:rPr>
          <w:rFonts w:ascii="Arial" w:hAnsi="Arial" w:eastAsia="Arial"/>
          <w:b w:val="0"/>
          <w:i w:val="0"/>
          <w:sz w:val="20"/>
        </w:rPr>
        <w:t>Accordingly, for depreciation-basis purposes:</w:t>
      </w:r>
    </w:p>
    <w:p>
      <w:pPr>
        <w:pStyle w:val="ListBullet"/>
        <w:spacing w:after="80" w:line="252" w:lineRule="auto"/>
      </w:pPr>
      <w:r>
        <w:rPr>
          <w:rFonts w:ascii="Arial" w:hAnsi="Arial" w:eastAsia="Arial"/>
          <w:b w:val="0"/>
          <w:i w:val="0"/>
          <w:sz w:val="20"/>
        </w:rPr>
        <w:t>if the asset is included from the beginning of the income year to the end of Poush, the entire cost is added;</w:t>
      </w:r>
    </w:p>
    <w:p>
      <w:pPr>
        <w:pStyle w:val="ListBullet"/>
        <w:spacing w:after="80" w:line="252" w:lineRule="auto"/>
      </w:pPr>
      <w:r>
        <w:rPr>
          <w:rFonts w:ascii="Arial" w:hAnsi="Arial" w:eastAsia="Arial"/>
          <w:b w:val="0"/>
          <w:i w:val="0"/>
          <w:sz w:val="20"/>
        </w:rPr>
        <w:t>if the asset is included from Magh to the end of Chaitra, two-thirds of the cost is added;</w:t>
      </w:r>
    </w:p>
    <w:p>
      <w:pPr>
        <w:pStyle w:val="ListBullet"/>
        <w:spacing w:after="80" w:line="252" w:lineRule="auto"/>
      </w:pPr>
      <w:r>
        <w:rPr>
          <w:rFonts w:ascii="Arial" w:hAnsi="Arial" w:eastAsia="Arial"/>
          <w:b w:val="0"/>
          <w:i w:val="0"/>
          <w:sz w:val="20"/>
        </w:rPr>
        <w:t>if the asset is included from Baisakh to the end of the income year, one-third of the cost is added;</w:t>
      </w:r>
    </w:p>
    <w:p>
      <w:pPr>
        <w:pStyle w:val="ListBullet"/>
        <w:spacing w:after="80" w:line="252" w:lineRule="auto"/>
      </w:pPr>
      <w:r>
        <w:rPr>
          <w:rFonts w:ascii="Arial" w:hAnsi="Arial" w:eastAsia="Arial"/>
          <w:b w:val="0"/>
          <w:i w:val="0"/>
          <w:sz w:val="20"/>
        </w:rPr>
        <w:t>the remaining cost is added to the opening depreciation basis of the following income year.</w:t>
      </w:r>
    </w:p>
    <w:p>
      <w:pPr>
        <w:spacing w:after="80" w:line="252" w:lineRule="auto"/>
      </w:pPr>
      <w:r>
        <w:rPr>
          <w:rFonts w:ascii="Arial" w:hAnsi="Arial" w:eastAsia="Arial"/>
          <w:b/>
          <w:i w:val="0"/>
          <w:sz w:val="20"/>
        </w:rPr>
        <w:t>Example 21.6.7:</w:t>
      </w:r>
    </w:p>
    <w:p>
      <w:pPr>
        <w:spacing w:after="80" w:line="252" w:lineRule="auto"/>
      </w:pPr>
      <w:r>
        <w:rPr>
          <w:rFonts w:ascii="Arial" w:hAnsi="Arial" w:eastAsia="Arial"/>
          <w:b w:val="0"/>
          <w:i w:val="0"/>
          <w:sz w:val="20"/>
        </w:rPr>
        <w:t>Assume that Hamlal has income from investment. He purchased a computer for Rs. 60,000 in income year 2080/81 for use in that transaction. If the Class B asset was added by the end of Poush 2080, the whole amount of Rs. 60,000 may be included in the depreciation basis. If the computer was added from Magh 2080 to the end of Chaitra, two-thirds, i.e., Rs. 40,000, may be included. If it was added from Baisakh 2081 to the end of Ashadh, one-third, i.e., Rs. 20,000, may be included in the depreciation basis.</w:t>
      </w:r>
    </w:p>
    <w:p>
      <w:pPr>
        <w:pStyle w:val="Heading3"/>
        <w:spacing w:after="80" w:line="252" w:lineRule="auto"/>
      </w:pPr>
      <w:r>
        <w:rPr>
          <w:rFonts w:ascii="Arial" w:hAnsi="Arial" w:eastAsia="Arial"/>
          <w:b w:val="0"/>
          <w:i w:val="0"/>
          <w:sz w:val="20"/>
        </w:rPr>
        <w:t>4. Disposal of depreciable property</w:t>
      </w:r>
    </w:p>
    <w:p>
      <w:pPr>
        <w:spacing w:after="80" w:line="252" w:lineRule="auto"/>
      </w:pPr>
      <w:r>
        <w:rPr>
          <w:rFonts w:ascii="Arial" w:hAnsi="Arial" w:eastAsia="Arial"/>
          <w:b w:val="0"/>
          <w:i w:val="0"/>
          <w:sz w:val="20"/>
        </w:rPr>
        <w:t>Under section 4 of Schedule 2, disposal of depreciable property is dealt with as follows:</w:t>
      </w:r>
    </w:p>
    <w:p>
      <w:pPr>
        <w:spacing w:after="80" w:line="252" w:lineRule="auto"/>
      </w:pPr>
      <w:r>
        <w:rPr>
          <w:rFonts w:ascii="Arial" w:hAnsi="Arial" w:eastAsia="Arial"/>
          <w:b w:val="0"/>
          <w:i w:val="0"/>
          <w:sz w:val="20"/>
        </w:rPr>
        <w:t>4(1) Where, in computing income arising from disposal of depreciable property used in business or investment during an income year, the amount under clause (a) exceeds the amount under clause (b), the excess shall be included in income:</w:t>
      </w:r>
    </w:p>
    <w:p>
      <w:pPr>
        <w:pStyle w:val="ListBullet"/>
        <w:spacing w:after="80" w:line="252" w:lineRule="auto"/>
      </w:pPr>
      <w:r>
        <w:rPr>
          <w:rFonts w:ascii="Arial" w:hAnsi="Arial" w:eastAsia="Arial"/>
          <w:b w:val="0"/>
          <w:i w:val="0"/>
          <w:sz w:val="20"/>
        </w:rPr>
        <w:t>amounts derived during the year from disposal of depreciable property of the person falling in Class A, B, C or D of the pool;</w:t>
      </w:r>
    </w:p>
    <w:p>
      <w:pPr>
        <w:pStyle w:val="ListBullet"/>
        <w:spacing w:after="80" w:line="252" w:lineRule="auto"/>
      </w:pPr>
      <w:r>
        <w:rPr>
          <w:rFonts w:ascii="Arial" w:hAnsi="Arial" w:eastAsia="Arial"/>
          <w:b w:val="0"/>
          <w:i w:val="0"/>
          <w:sz w:val="20"/>
        </w:rPr>
        <w:t>the depreciation basis of the pool at the end of that year under section 2(3) of Schedule 2, computed without including the amounts derived from disposal.</w:t>
      </w:r>
    </w:p>
    <w:p>
      <w:pPr>
        <w:spacing w:after="80" w:line="252" w:lineRule="auto"/>
      </w:pPr>
      <w:r>
        <w:rPr>
          <w:rFonts w:ascii="Arial" w:hAnsi="Arial" w:eastAsia="Arial"/>
          <w:b/>
          <w:i w:val="0"/>
          <w:sz w:val="20"/>
        </w:rPr>
        <w:t>Example 21.6.8:</w:t>
      </w:r>
    </w:p>
    <w:p>
      <w:pPr>
        <w:spacing w:after="80" w:line="252" w:lineRule="auto"/>
      </w:pPr>
      <w:r>
        <w:rPr>
          <w:rFonts w:ascii="Arial" w:hAnsi="Arial" w:eastAsia="Arial"/>
          <w:b w:val="0"/>
          <w:i w:val="0"/>
          <w:sz w:val="20"/>
        </w:rPr>
        <w:t>Assume that at the end of income year 2079/80, Nepal Byapar Bikas Pvt. Ltd. had assets in Classes C and D. In Magh 2080/81 the company added a motorcycle costing Rs. 100,000. During income year 2080/81, it sold its car for Rs. 1,700,000 and a machine for Rs. 900,000. The motorcycle was damaged in an accident and became unusable; no asset remained in the respective pools. The outgoings and incomings of the pools are as follows:</w:t>
      </w:r>
    </w:p>
    <w:tbl>
      <w:tblPr>
        <w:tblStyle w:val="TableGrid"/>
        <w:tblW w:type="auto" w:w="0"/>
        <w:jc w:val="center"/>
        <w:tblLook w:firstColumn="1" w:firstRow="1" w:lastColumn="0" w:lastRow="0" w:noHBand="0" w:noVBand="1" w:val="04A0"/>
      </w:tblPr>
      <w:tblGrid>
        <w:gridCol w:w="2520"/>
        <w:gridCol w:w="2520"/>
        <w:gridCol w:w="2520"/>
        <w:gridCol w:w="2520"/>
      </w:tblGrid>
      <w:tr>
        <w:tc>
          <w:tcPr>
            <w:tcW w:type="dxa" w:w="4608"/>
            <w:vAlign w:val="center"/>
            <w:shd w:fill="D9EAF7"/>
          </w:tcPr>
          <w:p>
            <w:r>
              <w:rPr>
                <w:rFonts w:ascii="Arial" w:hAnsi="Arial" w:eastAsia="Arial"/>
                <w:sz w:val="18"/>
              </w:rPr>
            </w:r>
            <w:r>
              <w:rPr>
                <w:rFonts w:ascii="Arial" w:hAnsi="Arial" w:eastAsia="Arial"/>
                <w:b/>
                <w:sz w:val="18"/>
              </w:rPr>
              <w:t>Particulars</w:t>
            </w:r>
          </w:p>
        </w:tc>
        <w:tc>
          <w:tcPr>
            <w:tcW w:type="dxa" w:w="2016"/>
            <w:vAlign w:val="center"/>
            <w:shd w:fill="D9EAF7"/>
          </w:tcPr>
          <w:p>
            <w:r>
              <w:rPr>
                <w:rFonts w:ascii="Arial" w:hAnsi="Arial" w:eastAsia="Arial"/>
                <w:sz w:val="18"/>
              </w:rPr>
            </w:r>
            <w:r>
              <w:rPr>
                <w:rFonts w:ascii="Arial" w:hAnsi="Arial" w:eastAsia="Arial"/>
                <w:b/>
                <w:sz w:val="18"/>
              </w:rPr>
              <w:t>Pool C</w:t>
            </w:r>
          </w:p>
        </w:tc>
        <w:tc>
          <w:tcPr>
            <w:tcW w:type="dxa" w:w="2016"/>
            <w:vAlign w:val="center"/>
            <w:shd w:fill="D9EAF7"/>
          </w:tcPr>
          <w:p>
            <w:r>
              <w:rPr>
                <w:rFonts w:ascii="Arial" w:hAnsi="Arial" w:eastAsia="Arial"/>
                <w:sz w:val="18"/>
              </w:rPr>
            </w:r>
            <w:r>
              <w:rPr>
                <w:rFonts w:ascii="Arial" w:hAnsi="Arial" w:eastAsia="Arial"/>
                <w:b/>
                <w:sz w:val="18"/>
              </w:rPr>
              <w:t>Pool D</w:t>
            </w:r>
          </w:p>
        </w:tc>
        <w:tc>
          <w:tcPr>
            <w:tcW w:type="dxa" w:w="2016"/>
            <w:vAlign w:val="center"/>
            <w:shd w:fill="D9EAF7"/>
          </w:tcPr>
          <w:p>
            <w:r>
              <w:rPr>
                <w:rFonts w:ascii="Arial" w:hAnsi="Arial" w:eastAsia="Arial"/>
                <w:sz w:val="18"/>
              </w:rPr>
            </w:r>
            <w:r>
              <w:rPr>
                <w:rFonts w:ascii="Arial" w:hAnsi="Arial" w:eastAsia="Arial"/>
                <w:b/>
                <w:sz w:val="18"/>
              </w:rPr>
              <w:t>Total</w:t>
            </w:r>
          </w:p>
        </w:tc>
      </w:tr>
      <w:tr>
        <w:tc>
          <w:tcPr>
            <w:tcW w:type="dxa" w:w="4608"/>
            <w:vAlign w:val="center"/>
          </w:tcPr>
          <w:p>
            <w:r>
              <w:rPr>
                <w:rFonts w:ascii="Arial" w:hAnsi="Arial" w:eastAsia="Arial"/>
                <w:sz w:val="18"/>
              </w:rPr>
            </w:r>
            <w:r>
              <w:rPr>
                <w:rFonts w:ascii="Arial" w:hAnsi="Arial" w:eastAsia="Arial"/>
                <w:b w:val="0"/>
                <w:sz w:val="18"/>
              </w:rPr>
              <w:t>Opening depreciation basis</w:t>
            </w:r>
          </w:p>
        </w:tc>
        <w:tc>
          <w:tcPr>
            <w:tcW w:type="dxa" w:w="2016"/>
            <w:vAlign w:val="center"/>
          </w:tcPr>
          <w:p>
            <w:r>
              <w:rPr>
                <w:rFonts w:ascii="Arial" w:hAnsi="Arial" w:eastAsia="Arial"/>
                <w:sz w:val="18"/>
              </w:rPr>
            </w:r>
            <w:r>
              <w:rPr>
                <w:rFonts w:ascii="Arial" w:hAnsi="Arial" w:eastAsia="Arial"/>
                <w:b w:val="0"/>
                <w:sz w:val="18"/>
              </w:rPr>
              <w:t>Rs. 1,500,000</w:t>
            </w:r>
          </w:p>
        </w:tc>
        <w:tc>
          <w:tcPr>
            <w:tcW w:type="dxa" w:w="2016"/>
            <w:vAlign w:val="center"/>
          </w:tcPr>
          <w:p>
            <w:r>
              <w:rPr>
                <w:rFonts w:ascii="Arial" w:hAnsi="Arial" w:eastAsia="Arial"/>
                <w:sz w:val="18"/>
              </w:rPr>
            </w:r>
            <w:r>
              <w:rPr>
                <w:rFonts w:ascii="Arial" w:hAnsi="Arial" w:eastAsia="Arial"/>
                <w:b w:val="0"/>
                <w:sz w:val="18"/>
              </w:rPr>
              <w:t>Rs. 1,050,000</w:t>
            </w:r>
          </w:p>
        </w:tc>
        <w:tc>
          <w:tcPr>
            <w:tcW w:type="dxa" w:w="2016"/>
            <w:vAlign w:val="center"/>
          </w:tcPr>
          <w:p>
            <w:r>
              <w:rPr>
                <w:rFonts w:ascii="Arial" w:hAnsi="Arial" w:eastAsia="Arial"/>
                <w:sz w:val="18"/>
              </w:rPr>
            </w:r>
            <w:r>
              <w:rPr>
                <w:rFonts w:ascii="Arial" w:hAnsi="Arial" w:eastAsia="Arial"/>
                <w:b w:val="0"/>
                <w:sz w:val="18"/>
              </w:rPr>
              <w:t>Rs. 2,550,000</w:t>
            </w:r>
          </w:p>
        </w:tc>
      </w:tr>
      <w:tr>
        <w:tc>
          <w:tcPr>
            <w:tcW w:type="dxa" w:w="4608"/>
            <w:vAlign w:val="center"/>
          </w:tcPr>
          <w:p>
            <w:r>
              <w:rPr>
                <w:rFonts w:ascii="Arial" w:hAnsi="Arial" w:eastAsia="Arial"/>
                <w:sz w:val="18"/>
              </w:rPr>
            </w:r>
            <w:r>
              <w:rPr>
                <w:rFonts w:ascii="Arial" w:hAnsi="Arial" w:eastAsia="Arial"/>
                <w:b w:val="0"/>
                <w:sz w:val="18"/>
              </w:rPr>
              <w:t>Additions during the year, time apportioned</w:t>
            </w:r>
          </w:p>
        </w:tc>
        <w:tc>
          <w:tcPr>
            <w:tcW w:type="dxa" w:w="2016"/>
            <w:vAlign w:val="center"/>
          </w:tcPr>
          <w:p>
            <w:r>
              <w:rPr>
                <w:rFonts w:ascii="Arial" w:hAnsi="Arial" w:eastAsia="Arial"/>
                <w:sz w:val="18"/>
              </w:rPr>
            </w:r>
            <w:r>
              <w:rPr>
                <w:rFonts w:ascii="Arial" w:hAnsi="Arial" w:eastAsia="Arial"/>
                <w:b w:val="0"/>
                <w:sz w:val="18"/>
              </w:rPr>
              <w:t>Rs. 100,000</w:t>
            </w:r>
          </w:p>
        </w:tc>
        <w:tc>
          <w:tcPr>
            <w:tcW w:type="dxa" w:w="2016"/>
            <w:vAlign w:val="center"/>
          </w:tcPr>
          <w:p>
            <w:r>
              <w:rPr>
                <w:rFonts w:ascii="Arial" w:hAnsi="Arial" w:eastAsia="Arial"/>
                <w:sz w:val="18"/>
              </w:rPr>
            </w:r>
            <w:r>
              <w:rPr>
                <w:rFonts w:ascii="Arial" w:hAnsi="Arial" w:eastAsia="Arial"/>
                <w:b w:val="0"/>
                <w:sz w:val="18"/>
              </w:rPr>
              <w:t>-</w:t>
            </w:r>
          </w:p>
        </w:tc>
        <w:tc>
          <w:tcPr>
            <w:tcW w:type="dxa" w:w="2016"/>
            <w:vAlign w:val="center"/>
          </w:tcPr>
          <w:p>
            <w:r>
              <w:rPr>
                <w:rFonts w:ascii="Arial" w:hAnsi="Arial" w:eastAsia="Arial"/>
                <w:sz w:val="18"/>
              </w:rPr>
            </w:r>
            <w:r>
              <w:rPr>
                <w:rFonts w:ascii="Arial" w:hAnsi="Arial" w:eastAsia="Arial"/>
                <w:b w:val="0"/>
                <w:sz w:val="18"/>
              </w:rPr>
              <w:t>Rs. 100,000</w:t>
            </w:r>
          </w:p>
        </w:tc>
      </w:tr>
      <w:tr>
        <w:tc>
          <w:tcPr>
            <w:tcW w:type="dxa" w:w="4608"/>
            <w:vAlign w:val="center"/>
          </w:tcPr>
          <w:p>
            <w:r>
              <w:rPr>
                <w:rFonts w:ascii="Arial" w:hAnsi="Arial" w:eastAsia="Arial"/>
                <w:sz w:val="18"/>
              </w:rPr>
            </w:r>
            <w:r>
              <w:rPr>
                <w:rFonts w:ascii="Arial" w:hAnsi="Arial" w:eastAsia="Arial"/>
                <w:b w:val="0"/>
                <w:sz w:val="18"/>
              </w:rPr>
              <w:t>Disposals during the year</w:t>
            </w:r>
          </w:p>
        </w:tc>
        <w:tc>
          <w:tcPr>
            <w:tcW w:type="dxa" w:w="2016"/>
            <w:vAlign w:val="center"/>
          </w:tcPr>
          <w:p>
            <w:r>
              <w:rPr>
                <w:rFonts w:ascii="Arial" w:hAnsi="Arial" w:eastAsia="Arial"/>
                <w:sz w:val="18"/>
              </w:rPr>
            </w:r>
            <w:r>
              <w:rPr>
                <w:rFonts w:ascii="Arial" w:hAnsi="Arial" w:eastAsia="Arial"/>
                <w:b w:val="0"/>
                <w:sz w:val="18"/>
              </w:rPr>
              <w:t>Rs. 1,700,000</w:t>
            </w:r>
          </w:p>
        </w:tc>
        <w:tc>
          <w:tcPr>
            <w:tcW w:type="dxa" w:w="2016"/>
            <w:vAlign w:val="center"/>
          </w:tcPr>
          <w:p>
            <w:r>
              <w:rPr>
                <w:rFonts w:ascii="Arial" w:hAnsi="Arial" w:eastAsia="Arial"/>
                <w:sz w:val="18"/>
              </w:rPr>
            </w:r>
            <w:r>
              <w:rPr>
                <w:rFonts w:ascii="Arial" w:hAnsi="Arial" w:eastAsia="Arial"/>
                <w:b w:val="0"/>
                <w:sz w:val="18"/>
              </w:rPr>
              <w:t>Rs. 900,000</w:t>
            </w:r>
          </w:p>
        </w:tc>
        <w:tc>
          <w:tcPr>
            <w:tcW w:type="dxa" w:w="2016"/>
            <w:vAlign w:val="center"/>
          </w:tcPr>
          <w:p>
            <w:r>
              <w:rPr>
                <w:rFonts w:ascii="Arial" w:hAnsi="Arial" w:eastAsia="Arial"/>
                <w:sz w:val="18"/>
              </w:rPr>
            </w:r>
            <w:r>
              <w:rPr>
                <w:rFonts w:ascii="Arial" w:hAnsi="Arial" w:eastAsia="Arial"/>
                <w:b w:val="0"/>
                <w:sz w:val="18"/>
              </w:rPr>
              <w:t>Rs. 2,600,000</w:t>
            </w:r>
          </w:p>
        </w:tc>
      </w:tr>
      <w:tr>
        <w:tc>
          <w:tcPr>
            <w:tcW w:type="dxa" w:w="4608"/>
            <w:vAlign w:val="center"/>
          </w:tcPr>
          <w:p>
            <w:r>
              <w:rPr>
                <w:rFonts w:ascii="Arial" w:hAnsi="Arial" w:eastAsia="Arial"/>
                <w:sz w:val="18"/>
              </w:rPr>
            </w:r>
            <w:r>
              <w:rPr>
                <w:rFonts w:ascii="Arial" w:hAnsi="Arial" w:eastAsia="Arial"/>
                <w:b w:val="0"/>
                <w:sz w:val="18"/>
              </w:rPr>
              <w:t>Assets remaining in the pool</w:t>
            </w:r>
          </w:p>
        </w:tc>
        <w:tc>
          <w:tcPr>
            <w:tcW w:type="dxa" w:w="2016"/>
            <w:vAlign w:val="center"/>
          </w:tcPr>
          <w:p>
            <w:r>
              <w:rPr>
                <w:rFonts w:ascii="Arial" w:hAnsi="Arial" w:eastAsia="Arial"/>
                <w:sz w:val="18"/>
              </w:rPr>
            </w:r>
            <w:r>
              <w:rPr>
                <w:rFonts w:ascii="Arial" w:hAnsi="Arial" w:eastAsia="Arial"/>
                <w:b w:val="0"/>
                <w:sz w:val="18"/>
              </w:rPr>
              <w:t>None</w:t>
            </w:r>
          </w:p>
        </w:tc>
        <w:tc>
          <w:tcPr>
            <w:tcW w:type="dxa" w:w="2016"/>
            <w:vAlign w:val="center"/>
          </w:tcPr>
          <w:p>
            <w:r>
              <w:rPr>
                <w:rFonts w:ascii="Arial" w:hAnsi="Arial" w:eastAsia="Arial"/>
                <w:sz w:val="18"/>
              </w:rPr>
            </w:r>
            <w:r>
              <w:rPr>
                <w:rFonts w:ascii="Arial" w:hAnsi="Arial" w:eastAsia="Arial"/>
                <w:b w:val="0"/>
                <w:sz w:val="18"/>
              </w:rPr>
              <w:t>None</w:t>
            </w:r>
          </w:p>
        </w:tc>
        <w:tc>
          <w:tcPr>
            <w:tcW w:type="dxa" w:w="2016"/>
            <w:vAlign w:val="center"/>
          </w:tcPr>
          <w:p>
            <w:r>
              <w:rPr>
                <w:rFonts w:ascii="Arial" w:hAnsi="Arial" w:eastAsia="Arial"/>
                <w:sz w:val="18"/>
              </w:rPr>
            </w:r>
            <w:r>
              <w:rPr>
                <w:rFonts w:ascii="Arial" w:hAnsi="Arial" w:eastAsia="Arial"/>
                <w:b w:val="0"/>
                <w:sz w:val="18"/>
              </w:rPr>
            </w:r>
          </w:p>
        </w:tc>
      </w:tr>
      <w:tr>
        <w:tc>
          <w:tcPr>
            <w:tcW w:type="dxa" w:w="4608"/>
            <w:vAlign w:val="center"/>
          </w:tcPr>
          <w:p>
            <w:r>
              <w:rPr>
                <w:rFonts w:ascii="Arial" w:hAnsi="Arial" w:eastAsia="Arial"/>
                <w:sz w:val="18"/>
              </w:rPr>
            </w:r>
            <w:r>
              <w:rPr>
                <w:rFonts w:ascii="Arial" w:hAnsi="Arial" w:eastAsia="Arial"/>
                <w:b w:val="0"/>
                <w:sz w:val="18"/>
              </w:rPr>
              <w:t>Amount to be included in income (balancing charge)</w:t>
            </w:r>
          </w:p>
        </w:tc>
        <w:tc>
          <w:tcPr>
            <w:tcW w:type="dxa" w:w="2016"/>
            <w:vAlign w:val="center"/>
          </w:tcPr>
          <w:p>
            <w:r>
              <w:rPr>
                <w:rFonts w:ascii="Arial" w:hAnsi="Arial" w:eastAsia="Arial"/>
                <w:sz w:val="18"/>
              </w:rPr>
            </w:r>
            <w:r>
              <w:rPr>
                <w:rFonts w:ascii="Arial" w:hAnsi="Arial" w:eastAsia="Arial"/>
                <w:b w:val="0"/>
                <w:sz w:val="18"/>
              </w:rPr>
              <w:t>Rs. 100,000</w:t>
            </w:r>
          </w:p>
        </w:tc>
        <w:tc>
          <w:tcPr>
            <w:tcW w:type="dxa" w:w="2016"/>
            <w:vAlign w:val="center"/>
          </w:tcPr>
          <w:p>
            <w:r>
              <w:rPr>
                <w:rFonts w:ascii="Arial" w:hAnsi="Arial" w:eastAsia="Arial"/>
                <w:sz w:val="18"/>
              </w:rPr>
            </w:r>
            <w:r>
              <w:rPr>
                <w:rFonts w:ascii="Arial" w:hAnsi="Arial" w:eastAsia="Arial"/>
                <w:b w:val="0"/>
                <w:sz w:val="18"/>
              </w:rPr>
              <w:t>-</w:t>
            </w:r>
          </w:p>
        </w:tc>
        <w:tc>
          <w:tcPr>
            <w:tcW w:type="dxa" w:w="2016"/>
            <w:vAlign w:val="center"/>
          </w:tcPr>
          <w:p>
            <w:r>
              <w:rPr>
                <w:rFonts w:ascii="Arial" w:hAnsi="Arial" w:eastAsia="Arial"/>
                <w:sz w:val="18"/>
              </w:rPr>
            </w:r>
            <w:r>
              <w:rPr>
                <w:rFonts w:ascii="Arial" w:hAnsi="Arial" w:eastAsia="Arial"/>
                <w:b w:val="0"/>
                <w:sz w:val="18"/>
              </w:rPr>
              <w:t>Rs. 100,000</w:t>
            </w:r>
          </w:p>
        </w:tc>
      </w:tr>
      <w:tr>
        <w:tc>
          <w:tcPr>
            <w:tcW w:type="dxa" w:w="4608"/>
            <w:vAlign w:val="center"/>
          </w:tcPr>
          <w:p>
            <w:r>
              <w:rPr>
                <w:rFonts w:ascii="Arial" w:hAnsi="Arial" w:eastAsia="Arial"/>
                <w:sz w:val="18"/>
              </w:rPr>
            </w:r>
            <w:r>
              <w:rPr>
                <w:rFonts w:ascii="Arial" w:hAnsi="Arial" w:eastAsia="Arial"/>
                <w:b w:val="0"/>
                <w:sz w:val="18"/>
              </w:rPr>
              <w:t>Terminal depreciation on dissolution</w:t>
            </w:r>
          </w:p>
        </w:tc>
        <w:tc>
          <w:tcPr>
            <w:tcW w:type="dxa" w:w="2016"/>
            <w:vAlign w:val="center"/>
          </w:tcPr>
          <w:p>
            <w:r>
              <w:rPr>
                <w:rFonts w:ascii="Arial" w:hAnsi="Arial" w:eastAsia="Arial"/>
                <w:sz w:val="18"/>
              </w:rPr>
            </w:r>
            <w:r>
              <w:rPr>
                <w:rFonts w:ascii="Arial" w:hAnsi="Arial" w:eastAsia="Arial"/>
                <w:b w:val="0"/>
                <w:sz w:val="18"/>
              </w:rPr>
              <w:t>-</w:t>
            </w:r>
          </w:p>
        </w:tc>
        <w:tc>
          <w:tcPr>
            <w:tcW w:type="dxa" w:w="2016"/>
            <w:vAlign w:val="center"/>
          </w:tcPr>
          <w:p>
            <w:r>
              <w:rPr>
                <w:rFonts w:ascii="Arial" w:hAnsi="Arial" w:eastAsia="Arial"/>
                <w:sz w:val="18"/>
              </w:rPr>
            </w:r>
            <w:r>
              <w:rPr>
                <w:rFonts w:ascii="Arial" w:hAnsi="Arial" w:eastAsia="Arial"/>
                <w:b w:val="0"/>
                <w:sz w:val="18"/>
              </w:rPr>
              <w:t>Rs. 150,000</w:t>
            </w:r>
          </w:p>
        </w:tc>
        <w:tc>
          <w:tcPr>
            <w:tcW w:type="dxa" w:w="2016"/>
            <w:vAlign w:val="center"/>
          </w:tcPr>
          <w:p>
            <w:r>
              <w:rPr>
                <w:rFonts w:ascii="Arial" w:hAnsi="Arial" w:eastAsia="Arial"/>
                <w:sz w:val="18"/>
              </w:rPr>
            </w:r>
            <w:r>
              <w:rPr>
                <w:rFonts w:ascii="Arial" w:hAnsi="Arial" w:eastAsia="Arial"/>
                <w:b w:val="0"/>
                <w:sz w:val="18"/>
              </w:rPr>
              <w:t>Rs. 150,000</w:t>
            </w:r>
          </w:p>
        </w:tc>
      </w:tr>
      <w:tr>
        <w:tc>
          <w:tcPr>
            <w:tcW w:type="dxa" w:w="4608"/>
            <w:vAlign w:val="center"/>
          </w:tcPr>
          <w:p>
            <w:r>
              <w:rPr>
                <w:rFonts w:ascii="Arial" w:hAnsi="Arial" w:eastAsia="Arial"/>
                <w:sz w:val="18"/>
              </w:rPr>
            </w:r>
            <w:r>
              <w:rPr>
                <w:rFonts w:ascii="Arial" w:hAnsi="Arial" w:eastAsia="Arial"/>
                <w:b w:val="0"/>
                <w:sz w:val="18"/>
              </w:rPr>
              <w:t>Depreciation basis</w:t>
            </w:r>
          </w:p>
        </w:tc>
        <w:tc>
          <w:tcPr>
            <w:tcW w:type="dxa" w:w="2016"/>
            <w:vAlign w:val="center"/>
          </w:tcPr>
          <w:p>
            <w:r>
              <w:rPr>
                <w:rFonts w:ascii="Arial" w:hAnsi="Arial" w:eastAsia="Arial"/>
                <w:sz w:val="18"/>
              </w:rPr>
            </w:r>
            <w:r>
              <w:rPr>
                <w:rFonts w:ascii="Arial" w:hAnsi="Arial" w:eastAsia="Arial"/>
                <w:b w:val="0"/>
                <w:sz w:val="18"/>
              </w:rPr>
              <w:t>-</w:t>
            </w:r>
          </w:p>
        </w:tc>
        <w:tc>
          <w:tcPr>
            <w:tcW w:type="dxa" w:w="2016"/>
            <w:vAlign w:val="center"/>
          </w:tcPr>
          <w:p>
            <w:r>
              <w:rPr>
                <w:rFonts w:ascii="Arial" w:hAnsi="Arial" w:eastAsia="Arial"/>
                <w:sz w:val="18"/>
              </w:rPr>
            </w:r>
            <w:r>
              <w:rPr>
                <w:rFonts w:ascii="Arial" w:hAnsi="Arial" w:eastAsia="Arial"/>
                <w:b w:val="0"/>
                <w:sz w:val="18"/>
              </w:rPr>
              <w:t>-</w:t>
            </w:r>
          </w:p>
        </w:tc>
        <w:tc>
          <w:tcPr>
            <w:tcW w:type="dxa" w:w="2016"/>
            <w:vAlign w:val="center"/>
          </w:tcPr>
          <w:p>
            <w:r>
              <w:rPr>
                <w:rFonts w:ascii="Arial" w:hAnsi="Arial" w:eastAsia="Arial"/>
                <w:sz w:val="18"/>
              </w:rPr>
            </w:r>
            <w:r>
              <w:rPr>
                <w:rFonts w:ascii="Arial" w:hAnsi="Arial" w:eastAsia="Arial"/>
                <w:b w:val="0"/>
                <w:sz w:val="18"/>
              </w:rPr>
              <w:t>-</w:t>
            </w:r>
          </w:p>
        </w:tc>
      </w:tr>
    </w:tbl>
    <w:p>
      <w:pPr>
        <w:spacing w:after="80" w:line="252" w:lineRule="auto"/>
      </w:pPr>
      <w:r>
        <w:rPr>
          <w:rFonts w:ascii="Arial" w:hAnsi="Arial" w:eastAsia="Arial"/>
          <w:b w:val="0"/>
          <w:i w:val="0"/>
          <w:sz w:val="20"/>
        </w:rPr>
        <w:t>In the above case, because no asset remains in the pool, the income received in excess of the depreciation basis, i.e., the balancing charge, is included in income under section 7(2)(d), and where no asset remains but value is left in the pool, terminal depreciation is allowed under section 4 of Schedule 2.</w:t>
      </w:r>
    </w:p>
    <w:p>
      <w:pPr>
        <w:spacing w:after="80" w:line="252" w:lineRule="auto"/>
      </w:pPr>
      <w:r>
        <w:rPr>
          <w:rFonts w:ascii="Arial" w:hAnsi="Arial" w:eastAsia="Arial"/>
          <w:b w:val="0"/>
          <w:i w:val="0"/>
          <w:sz w:val="20"/>
        </w:rPr>
        <w:t>If assets in a class are sold not at the beginning but during or at the end of the year, repair expense may have been incurred during the year. Where an asset remains in the pool but no amount remains in the pool, and repair and improvement expenses arise, the pool is not dissolved. Such expense is added to the depreciation basis of that asset and depreciation is claimed in the following year.</w:t>
      </w:r>
    </w:p>
    <w:p>
      <w:pPr>
        <w:spacing w:after="80" w:line="252" w:lineRule="auto"/>
      </w:pPr>
      <w:r>
        <w:rPr>
          <w:rFonts w:ascii="Arial" w:hAnsi="Arial" w:eastAsia="Arial"/>
          <w:b w:val="0"/>
          <w:i w:val="0"/>
          <w:sz w:val="20"/>
        </w:rPr>
        <w:t>4(2) Where a person disposes of all assets in a pool of depreciable property before the end of an income year, the pool is treated as dissolved and the following consequences apply:</w:t>
      </w:r>
    </w:p>
    <w:p>
      <w:pPr>
        <w:pStyle w:val="ListBullet"/>
        <w:spacing w:after="80" w:line="252" w:lineRule="auto"/>
      </w:pPr>
      <w:r>
        <w:rPr>
          <w:rFonts w:ascii="Arial" w:hAnsi="Arial" w:eastAsia="Arial"/>
          <w:b w:val="0"/>
          <w:i w:val="0"/>
          <w:sz w:val="20"/>
        </w:rPr>
        <w:t>if, on computing depreciation of assets in the pool using the formula A - B, the amount exceeds the depreciation basis of the pool, the excess is treated as received by the person for that year;</w:t>
      </w:r>
    </w:p>
    <w:p>
      <w:pPr>
        <w:pStyle w:val="ListBullet"/>
        <w:spacing w:after="80" w:line="252" w:lineRule="auto"/>
      </w:pPr>
      <w:r>
        <w:rPr>
          <w:rFonts w:ascii="Arial" w:hAnsi="Arial" w:eastAsia="Arial"/>
          <w:b w:val="0"/>
          <w:i w:val="0"/>
          <w:sz w:val="20"/>
        </w:rPr>
        <w:t>if, using the formula B - A, the depreciation basis exceeds the amount computed for assets in the pool, the excess is allowed to the person as an expense for that year.</w:t>
      </w:r>
    </w:p>
    <w:p>
      <w:pPr>
        <w:spacing w:after="80" w:line="252" w:lineRule="auto"/>
      </w:pPr>
      <w:r>
        <w:rPr>
          <w:rFonts w:ascii="Arial" w:hAnsi="Arial" w:eastAsia="Arial"/>
          <w:b w:val="0"/>
          <w:i w:val="0"/>
          <w:sz w:val="20"/>
        </w:rPr>
        <w:t>For this purpose, A means incomings received or receivable by the person during the year from disposal of the assets. B means the total of: the written down value of the pool for that year; outgoings added to the depreciation basis of the pool during the year; and outgoings to be added to the depreciation basis of the pool in the following year under section 2(5) of Schedule 2.</w:t>
      </w:r>
    </w:p>
    <w:p>
      <w:pPr>
        <w:spacing w:after="80" w:line="252" w:lineRule="auto"/>
      </w:pPr>
      <w:r>
        <w:rPr>
          <w:rFonts w:ascii="Arial" w:hAnsi="Arial" w:eastAsia="Arial"/>
          <w:b/>
          <w:i w:val="0"/>
          <w:sz w:val="20"/>
        </w:rPr>
        <w:t>Example 21.6.9:</w:t>
      </w:r>
    </w:p>
    <w:p>
      <w:pPr>
        <w:spacing w:after="80" w:line="252" w:lineRule="auto"/>
      </w:pPr>
      <w:r>
        <w:rPr>
          <w:rFonts w:ascii="Arial" w:hAnsi="Arial" w:eastAsia="Arial"/>
          <w:b w:val="0"/>
          <w:i w:val="0"/>
          <w:sz w:val="20"/>
        </w:rPr>
        <w:t>Assume that at the end of income year 2079/80 Govinda Prasad had assets in Pool C. He did not add any asset in income year 2080/81. During income year 2080/81 he sold his car for Rs. 1,400,000. The pool’s outgoings and incomings are as follows:</w:t>
      </w:r>
    </w:p>
    <w:tbl>
      <w:tblPr>
        <w:tblStyle w:val="TableGrid"/>
        <w:tblW w:type="auto" w:w="0"/>
        <w:jc w:val="center"/>
        <w:tblLook w:firstColumn="1" w:firstRow="1" w:lastColumn="0" w:lastRow="0" w:noHBand="0" w:noVBand="1" w:val="04A0"/>
      </w:tblPr>
      <w:tblGrid>
        <w:gridCol w:w="5040"/>
        <w:gridCol w:w="5040"/>
      </w:tblGrid>
      <w:tr>
        <w:tc>
          <w:tcPr>
            <w:tcW w:type="dxa" w:w="6480"/>
            <w:vAlign w:val="center"/>
            <w:shd w:fill="D9EAF7"/>
          </w:tcPr>
          <w:p>
            <w:r>
              <w:rPr>
                <w:rFonts w:ascii="Arial" w:hAnsi="Arial" w:eastAsia="Arial"/>
                <w:sz w:val="18"/>
              </w:rPr>
            </w:r>
            <w:r>
              <w:rPr>
                <w:rFonts w:ascii="Arial" w:hAnsi="Arial" w:eastAsia="Arial"/>
                <w:b/>
                <w:sz w:val="18"/>
              </w:rPr>
              <w:t>Particulars</w:t>
            </w:r>
          </w:p>
        </w:tc>
        <w:tc>
          <w:tcPr>
            <w:tcW w:type="dxa" w:w="2880"/>
            <w:vAlign w:val="center"/>
            <w:shd w:fill="D9EAF7"/>
          </w:tcPr>
          <w:p>
            <w:r>
              <w:rPr>
                <w:rFonts w:ascii="Arial" w:hAnsi="Arial" w:eastAsia="Arial"/>
                <w:sz w:val="18"/>
              </w:rPr>
            </w:r>
            <w:r>
              <w:rPr>
                <w:rFonts w:ascii="Arial" w:hAnsi="Arial" w:eastAsia="Arial"/>
                <w:b/>
                <w:sz w:val="18"/>
              </w:rPr>
              <w:t>Amount</w:t>
            </w:r>
          </w:p>
        </w:tc>
      </w:tr>
      <w:tr>
        <w:tc>
          <w:tcPr>
            <w:tcW w:type="dxa" w:w="6480"/>
            <w:vAlign w:val="center"/>
          </w:tcPr>
          <w:p>
            <w:r>
              <w:rPr>
                <w:rFonts w:ascii="Arial" w:hAnsi="Arial" w:eastAsia="Arial"/>
                <w:sz w:val="18"/>
              </w:rPr>
            </w:r>
            <w:r>
              <w:rPr>
                <w:rFonts w:ascii="Arial" w:hAnsi="Arial" w:eastAsia="Arial"/>
                <w:b w:val="0"/>
                <w:sz w:val="18"/>
              </w:rPr>
              <w:t>Total Pool C</w:t>
            </w:r>
          </w:p>
        </w:tc>
        <w:tc>
          <w:tcPr>
            <w:tcW w:type="dxa" w:w="2880"/>
            <w:vAlign w:val="center"/>
          </w:tcPr>
          <w:p>
            <w:r>
              <w:rPr>
                <w:rFonts w:ascii="Arial" w:hAnsi="Arial" w:eastAsia="Arial"/>
                <w:sz w:val="18"/>
              </w:rPr>
            </w:r>
            <w:r>
              <w:rPr>
                <w:rFonts w:ascii="Arial" w:hAnsi="Arial" w:eastAsia="Arial"/>
                <w:b w:val="0"/>
                <w:sz w:val="18"/>
              </w:rPr>
              <w:t>Rs. 1,500,000</w:t>
            </w:r>
          </w:p>
        </w:tc>
      </w:tr>
      <w:tr>
        <w:tc>
          <w:tcPr>
            <w:tcW w:type="dxa" w:w="6480"/>
            <w:vAlign w:val="center"/>
          </w:tcPr>
          <w:p>
            <w:r>
              <w:rPr>
                <w:rFonts w:ascii="Arial" w:hAnsi="Arial" w:eastAsia="Arial"/>
                <w:sz w:val="18"/>
              </w:rPr>
            </w:r>
            <w:r>
              <w:rPr>
                <w:rFonts w:ascii="Arial" w:hAnsi="Arial" w:eastAsia="Arial"/>
                <w:b w:val="0"/>
                <w:sz w:val="18"/>
              </w:rPr>
              <w:t>Depreciation basis for 2079/80</w:t>
            </w:r>
          </w:p>
        </w:tc>
        <w:tc>
          <w:tcPr>
            <w:tcW w:type="dxa" w:w="2880"/>
            <w:vAlign w:val="center"/>
          </w:tcPr>
          <w:p>
            <w:r>
              <w:rPr>
                <w:rFonts w:ascii="Arial" w:hAnsi="Arial" w:eastAsia="Arial"/>
                <w:sz w:val="18"/>
              </w:rPr>
            </w:r>
            <w:r>
              <w:rPr>
                <w:rFonts w:ascii="Arial" w:hAnsi="Arial" w:eastAsia="Arial"/>
                <w:b w:val="0"/>
                <w:sz w:val="18"/>
              </w:rPr>
              <w:t>Rs. 1,500,000</w:t>
            </w:r>
          </w:p>
        </w:tc>
      </w:tr>
      <w:tr>
        <w:tc>
          <w:tcPr>
            <w:tcW w:type="dxa" w:w="6480"/>
            <w:vAlign w:val="center"/>
          </w:tcPr>
          <w:p>
            <w:r>
              <w:rPr>
                <w:rFonts w:ascii="Arial" w:hAnsi="Arial" w:eastAsia="Arial"/>
                <w:sz w:val="18"/>
              </w:rPr>
            </w:r>
            <w:r>
              <w:rPr>
                <w:rFonts w:ascii="Arial" w:hAnsi="Arial" w:eastAsia="Arial"/>
                <w:b w:val="0"/>
                <w:sz w:val="18"/>
              </w:rPr>
              <w:t>Depreciation expense for 2079/80</w:t>
            </w:r>
          </w:p>
        </w:tc>
        <w:tc>
          <w:tcPr>
            <w:tcW w:type="dxa" w:w="2880"/>
            <w:vAlign w:val="center"/>
          </w:tcPr>
          <w:p>
            <w:r>
              <w:rPr>
                <w:rFonts w:ascii="Arial" w:hAnsi="Arial" w:eastAsia="Arial"/>
                <w:sz w:val="18"/>
              </w:rPr>
            </w:r>
            <w:r>
              <w:rPr>
                <w:rFonts w:ascii="Arial" w:hAnsi="Arial" w:eastAsia="Arial"/>
                <w:b w:val="0"/>
                <w:sz w:val="18"/>
              </w:rPr>
              <w:t>Rs. 300,000</w:t>
            </w:r>
          </w:p>
        </w:tc>
      </w:tr>
      <w:tr>
        <w:tc>
          <w:tcPr>
            <w:tcW w:type="dxa" w:w="6480"/>
            <w:vAlign w:val="center"/>
          </w:tcPr>
          <w:p>
            <w:r>
              <w:rPr>
                <w:rFonts w:ascii="Arial" w:hAnsi="Arial" w:eastAsia="Arial"/>
                <w:sz w:val="18"/>
              </w:rPr>
            </w:r>
            <w:r>
              <w:rPr>
                <w:rFonts w:ascii="Arial" w:hAnsi="Arial" w:eastAsia="Arial"/>
                <w:b w:val="0"/>
                <w:sz w:val="18"/>
              </w:rPr>
              <w:t>Balance after depreciation (opening basis for 2080/81)</w:t>
            </w:r>
          </w:p>
        </w:tc>
        <w:tc>
          <w:tcPr>
            <w:tcW w:type="dxa" w:w="2880"/>
            <w:vAlign w:val="center"/>
          </w:tcPr>
          <w:p>
            <w:r>
              <w:rPr>
                <w:rFonts w:ascii="Arial" w:hAnsi="Arial" w:eastAsia="Arial"/>
                <w:sz w:val="18"/>
              </w:rPr>
            </w:r>
            <w:r>
              <w:rPr>
                <w:rFonts w:ascii="Arial" w:hAnsi="Arial" w:eastAsia="Arial"/>
                <w:b w:val="0"/>
                <w:sz w:val="18"/>
              </w:rPr>
              <w:t>Rs. 1,200,000</w:t>
            </w:r>
          </w:p>
        </w:tc>
      </w:tr>
      <w:tr>
        <w:tc>
          <w:tcPr>
            <w:tcW w:type="dxa" w:w="6480"/>
            <w:vAlign w:val="center"/>
          </w:tcPr>
          <w:p>
            <w:r>
              <w:rPr>
                <w:rFonts w:ascii="Arial" w:hAnsi="Arial" w:eastAsia="Arial"/>
                <w:sz w:val="18"/>
              </w:rPr>
            </w:r>
            <w:r>
              <w:rPr>
                <w:rFonts w:ascii="Arial" w:hAnsi="Arial" w:eastAsia="Arial"/>
                <w:b w:val="0"/>
                <w:sz w:val="18"/>
              </w:rPr>
              <w:t>Depreciation basis before adjustment for 2080/81 (outgoings)</w:t>
            </w:r>
          </w:p>
        </w:tc>
        <w:tc>
          <w:tcPr>
            <w:tcW w:type="dxa" w:w="2880"/>
            <w:vAlign w:val="center"/>
          </w:tcPr>
          <w:p>
            <w:r>
              <w:rPr>
                <w:rFonts w:ascii="Arial" w:hAnsi="Arial" w:eastAsia="Arial"/>
                <w:sz w:val="18"/>
              </w:rPr>
            </w:r>
            <w:r>
              <w:rPr>
                <w:rFonts w:ascii="Arial" w:hAnsi="Arial" w:eastAsia="Arial"/>
                <w:b w:val="0"/>
                <w:sz w:val="18"/>
              </w:rPr>
              <w:t>Rs. 1,200,000</w:t>
            </w:r>
          </w:p>
        </w:tc>
      </w:tr>
      <w:tr>
        <w:tc>
          <w:tcPr>
            <w:tcW w:type="dxa" w:w="6480"/>
            <w:vAlign w:val="center"/>
          </w:tcPr>
          <w:p>
            <w:r>
              <w:rPr>
                <w:rFonts w:ascii="Arial" w:hAnsi="Arial" w:eastAsia="Arial"/>
                <w:sz w:val="18"/>
              </w:rPr>
            </w:r>
            <w:r>
              <w:rPr>
                <w:rFonts w:ascii="Arial" w:hAnsi="Arial" w:eastAsia="Arial"/>
                <w:b w:val="0"/>
                <w:sz w:val="18"/>
              </w:rPr>
              <w:t>Amount received from sale of asset (incomings)</w:t>
            </w:r>
          </w:p>
        </w:tc>
        <w:tc>
          <w:tcPr>
            <w:tcW w:type="dxa" w:w="2880"/>
            <w:vAlign w:val="center"/>
          </w:tcPr>
          <w:p>
            <w:r>
              <w:rPr>
                <w:rFonts w:ascii="Arial" w:hAnsi="Arial" w:eastAsia="Arial"/>
                <w:sz w:val="18"/>
              </w:rPr>
            </w:r>
            <w:r>
              <w:rPr>
                <w:rFonts w:ascii="Arial" w:hAnsi="Arial" w:eastAsia="Arial"/>
                <w:b w:val="0"/>
                <w:sz w:val="18"/>
              </w:rPr>
              <w:t>Rs. 1,400,000</w:t>
            </w:r>
          </w:p>
        </w:tc>
      </w:tr>
      <w:tr>
        <w:tc>
          <w:tcPr>
            <w:tcW w:type="dxa" w:w="6480"/>
            <w:vAlign w:val="center"/>
          </w:tcPr>
          <w:p>
            <w:r>
              <w:rPr>
                <w:rFonts w:ascii="Arial" w:hAnsi="Arial" w:eastAsia="Arial"/>
                <w:sz w:val="18"/>
              </w:rPr>
            </w:r>
            <w:r>
              <w:rPr>
                <w:rFonts w:ascii="Arial" w:hAnsi="Arial" w:eastAsia="Arial"/>
                <w:b w:val="0"/>
                <w:sz w:val="18"/>
              </w:rPr>
              <w:t>Amount to be included in income</w:t>
            </w:r>
          </w:p>
        </w:tc>
        <w:tc>
          <w:tcPr>
            <w:tcW w:type="dxa" w:w="2880"/>
            <w:vAlign w:val="center"/>
          </w:tcPr>
          <w:p>
            <w:r>
              <w:rPr>
                <w:rFonts w:ascii="Arial" w:hAnsi="Arial" w:eastAsia="Arial"/>
                <w:sz w:val="18"/>
              </w:rPr>
            </w:r>
            <w:r>
              <w:rPr>
                <w:rFonts w:ascii="Arial" w:hAnsi="Arial" w:eastAsia="Arial"/>
                <w:b w:val="0"/>
                <w:sz w:val="18"/>
              </w:rPr>
              <w:t>Rs. 200,000</w:t>
            </w:r>
          </w:p>
        </w:tc>
      </w:tr>
    </w:tbl>
    <w:p>
      <w:pPr>
        <w:spacing w:after="80" w:line="252" w:lineRule="auto"/>
      </w:pPr>
      <w:r>
        <w:rPr>
          <w:rFonts w:ascii="Arial" w:hAnsi="Arial" w:eastAsia="Arial"/>
          <w:b w:val="0"/>
          <w:i w:val="0"/>
          <w:sz w:val="20"/>
        </w:rPr>
        <w:t>Since incomings exceed the remaining outgoings of the pool, and no other asset remains in that pool, the pool is treated as disposed of and the excess of Rs. 200,000 must be included in investment income. If he had sold the car for only Rs. 1,100,000, the outgoings would have exceeded incomings by Rs. 100,000, and he would have been entitled to claim that amount as expense under section 19 for that income year.</w:t>
      </w:r>
    </w:p>
    <w:p>
      <w:pPr>
        <w:spacing w:after="80" w:line="252" w:lineRule="auto"/>
      </w:pPr>
      <w:r>
        <w:rPr>
          <w:rFonts w:ascii="Arial" w:hAnsi="Arial" w:eastAsia="Arial"/>
          <w:b w:val="0"/>
          <w:i w:val="0"/>
          <w:sz w:val="20"/>
        </w:rPr>
        <w:t>4(3) For purposes of Schedule 2, the written down value of a pool of depreciable property for an income year means:</w:t>
      </w:r>
    </w:p>
    <w:p>
      <w:pPr>
        <w:pStyle w:val="ListBullet"/>
        <w:spacing w:after="80" w:line="252" w:lineRule="auto"/>
      </w:pPr>
      <w:r>
        <w:rPr>
          <w:rFonts w:ascii="Arial" w:hAnsi="Arial" w:eastAsia="Arial"/>
          <w:b w:val="0"/>
          <w:i w:val="0"/>
          <w:sz w:val="20"/>
        </w:rPr>
        <w:t>for Class A, B, C or D, the amount remaining after subtracting any depreciation computed under section 2(2) and 2(6) for that pool for that year from the depreciation basis of the pool at the end of the preceding income year;</w:t>
      </w:r>
    </w:p>
    <w:p>
      <w:pPr>
        <w:pStyle w:val="ListBullet"/>
        <w:spacing w:after="80" w:line="252" w:lineRule="auto"/>
      </w:pPr>
      <w:r>
        <w:rPr>
          <w:rFonts w:ascii="Arial" w:hAnsi="Arial" w:eastAsia="Arial"/>
          <w:b w:val="0"/>
          <w:i w:val="0"/>
          <w:sz w:val="20"/>
        </w:rPr>
        <w:t>for Class E, the amount remaining after subtracting all expenses allowed as deductions under section 2(1) in previous income years from the depreciation basis of the pool at the end of the preceding income year.</w:t>
      </w:r>
    </w:p>
    <w:p>
      <w:pPr>
        <w:spacing w:after="80" w:line="252" w:lineRule="auto"/>
      </w:pPr>
      <w:r>
        <w:rPr>
          <w:rFonts w:ascii="Arial" w:hAnsi="Arial" w:eastAsia="Arial"/>
          <w:b w:val="0"/>
          <w:i w:val="0"/>
          <w:sz w:val="20"/>
        </w:rPr>
        <w:t>The remaining value after deducting depreciation expense for each income year is called the written down value.</w:t>
      </w:r>
    </w:p>
    <w:p>
      <w:pPr>
        <w:spacing w:after="80" w:line="252" w:lineRule="auto"/>
      </w:pPr>
      <w:r>
        <w:rPr>
          <w:rFonts w:ascii="Arial" w:hAnsi="Arial" w:eastAsia="Arial"/>
          <w:b/>
          <w:i w:val="0"/>
          <w:sz w:val="20"/>
        </w:rPr>
        <w:t>Example 21.6.10:</w:t>
      </w:r>
    </w:p>
    <w:p>
      <w:pPr>
        <w:spacing w:after="80" w:line="252" w:lineRule="auto"/>
      </w:pPr>
      <w:r>
        <w:rPr>
          <w:rFonts w:ascii="Arial" w:hAnsi="Arial" w:eastAsia="Arial"/>
          <w:b w:val="0"/>
          <w:i w:val="0"/>
          <w:sz w:val="20"/>
        </w:rPr>
        <w:t>Assume that at the end of income year 2079/80 Govinda Prasad had the following assets in Pool C and no asset was added in income year 2080/81:</w:t>
      </w:r>
    </w:p>
    <w:tbl>
      <w:tblPr>
        <w:tblStyle w:val="TableGrid"/>
        <w:tblW w:type="auto" w:w="0"/>
        <w:jc w:val="center"/>
        <w:tblLook w:firstColumn="1" w:firstRow="1" w:lastColumn="0" w:lastRow="0" w:noHBand="0" w:noVBand="1" w:val="04A0"/>
      </w:tblPr>
      <w:tblGrid>
        <w:gridCol w:w="5040"/>
        <w:gridCol w:w="5040"/>
      </w:tblGrid>
      <w:tr>
        <w:tc>
          <w:tcPr>
            <w:tcW w:type="dxa" w:w="6480"/>
            <w:vAlign w:val="center"/>
            <w:shd w:fill="D9EAF7"/>
          </w:tcPr>
          <w:p>
            <w:r>
              <w:rPr>
                <w:rFonts w:ascii="Arial" w:hAnsi="Arial" w:eastAsia="Arial"/>
                <w:sz w:val="18"/>
              </w:rPr>
            </w:r>
            <w:r>
              <w:rPr>
                <w:rFonts w:ascii="Arial" w:hAnsi="Arial" w:eastAsia="Arial"/>
                <w:b/>
                <w:sz w:val="18"/>
              </w:rPr>
              <w:t>Particulars</w:t>
            </w:r>
          </w:p>
        </w:tc>
        <w:tc>
          <w:tcPr>
            <w:tcW w:type="dxa" w:w="2880"/>
            <w:vAlign w:val="center"/>
            <w:shd w:fill="D9EAF7"/>
          </w:tcPr>
          <w:p>
            <w:r>
              <w:rPr>
                <w:rFonts w:ascii="Arial" w:hAnsi="Arial" w:eastAsia="Arial"/>
                <w:sz w:val="18"/>
              </w:rPr>
            </w:r>
            <w:r>
              <w:rPr>
                <w:rFonts w:ascii="Arial" w:hAnsi="Arial" w:eastAsia="Arial"/>
                <w:b/>
                <w:sz w:val="18"/>
              </w:rPr>
              <w:t>Amount</w:t>
            </w:r>
          </w:p>
        </w:tc>
      </w:tr>
      <w:tr>
        <w:tc>
          <w:tcPr>
            <w:tcW w:type="dxa" w:w="6480"/>
            <w:vAlign w:val="center"/>
          </w:tcPr>
          <w:p>
            <w:r>
              <w:rPr>
                <w:rFonts w:ascii="Arial" w:hAnsi="Arial" w:eastAsia="Arial"/>
                <w:sz w:val="18"/>
              </w:rPr>
            </w:r>
            <w:r>
              <w:rPr>
                <w:rFonts w:ascii="Arial" w:hAnsi="Arial" w:eastAsia="Arial"/>
                <w:b w:val="0"/>
                <w:sz w:val="18"/>
              </w:rPr>
              <w:t>Total Pool C</w:t>
            </w:r>
          </w:p>
        </w:tc>
        <w:tc>
          <w:tcPr>
            <w:tcW w:type="dxa" w:w="2880"/>
            <w:vAlign w:val="center"/>
          </w:tcPr>
          <w:p>
            <w:r>
              <w:rPr>
                <w:rFonts w:ascii="Arial" w:hAnsi="Arial" w:eastAsia="Arial"/>
                <w:sz w:val="18"/>
              </w:rPr>
            </w:r>
            <w:r>
              <w:rPr>
                <w:rFonts w:ascii="Arial" w:hAnsi="Arial" w:eastAsia="Arial"/>
                <w:b w:val="0"/>
                <w:sz w:val="18"/>
              </w:rPr>
              <w:t>Rs. 1,500,000</w:t>
            </w:r>
          </w:p>
        </w:tc>
      </w:tr>
      <w:tr>
        <w:tc>
          <w:tcPr>
            <w:tcW w:type="dxa" w:w="6480"/>
            <w:vAlign w:val="center"/>
          </w:tcPr>
          <w:p>
            <w:r>
              <w:rPr>
                <w:rFonts w:ascii="Arial" w:hAnsi="Arial" w:eastAsia="Arial"/>
                <w:sz w:val="18"/>
              </w:rPr>
            </w:r>
            <w:r>
              <w:rPr>
                <w:rFonts w:ascii="Arial" w:hAnsi="Arial" w:eastAsia="Arial"/>
                <w:b w:val="0"/>
                <w:sz w:val="18"/>
              </w:rPr>
              <w:t>Depreciation basis for 2079/80</w:t>
            </w:r>
          </w:p>
        </w:tc>
        <w:tc>
          <w:tcPr>
            <w:tcW w:type="dxa" w:w="2880"/>
            <w:vAlign w:val="center"/>
          </w:tcPr>
          <w:p>
            <w:r>
              <w:rPr>
                <w:rFonts w:ascii="Arial" w:hAnsi="Arial" w:eastAsia="Arial"/>
                <w:sz w:val="18"/>
              </w:rPr>
            </w:r>
            <w:r>
              <w:rPr>
                <w:rFonts w:ascii="Arial" w:hAnsi="Arial" w:eastAsia="Arial"/>
                <w:b w:val="0"/>
                <w:sz w:val="18"/>
              </w:rPr>
              <w:t>Rs. 1,500,000</w:t>
            </w:r>
          </w:p>
        </w:tc>
      </w:tr>
      <w:tr>
        <w:tc>
          <w:tcPr>
            <w:tcW w:type="dxa" w:w="6480"/>
            <w:vAlign w:val="center"/>
          </w:tcPr>
          <w:p>
            <w:r>
              <w:rPr>
                <w:rFonts w:ascii="Arial" w:hAnsi="Arial" w:eastAsia="Arial"/>
                <w:sz w:val="18"/>
              </w:rPr>
            </w:r>
            <w:r>
              <w:rPr>
                <w:rFonts w:ascii="Arial" w:hAnsi="Arial" w:eastAsia="Arial"/>
                <w:b w:val="0"/>
                <w:sz w:val="18"/>
              </w:rPr>
              <w:t>Depreciation expense for 2079/80</w:t>
            </w:r>
          </w:p>
        </w:tc>
        <w:tc>
          <w:tcPr>
            <w:tcW w:type="dxa" w:w="2880"/>
            <w:vAlign w:val="center"/>
          </w:tcPr>
          <w:p>
            <w:r>
              <w:rPr>
                <w:rFonts w:ascii="Arial" w:hAnsi="Arial" w:eastAsia="Arial"/>
                <w:sz w:val="18"/>
              </w:rPr>
            </w:r>
            <w:r>
              <w:rPr>
                <w:rFonts w:ascii="Arial" w:hAnsi="Arial" w:eastAsia="Arial"/>
                <w:b w:val="0"/>
                <w:sz w:val="18"/>
              </w:rPr>
              <w:t>Rs. 300,000</w:t>
            </w:r>
          </w:p>
        </w:tc>
      </w:tr>
      <w:tr>
        <w:tc>
          <w:tcPr>
            <w:tcW w:type="dxa" w:w="6480"/>
            <w:vAlign w:val="center"/>
          </w:tcPr>
          <w:p>
            <w:r>
              <w:rPr>
                <w:rFonts w:ascii="Arial" w:hAnsi="Arial" w:eastAsia="Arial"/>
                <w:sz w:val="18"/>
              </w:rPr>
            </w:r>
            <w:r>
              <w:rPr>
                <w:rFonts w:ascii="Arial" w:hAnsi="Arial" w:eastAsia="Arial"/>
                <w:b w:val="0"/>
                <w:sz w:val="18"/>
              </w:rPr>
              <w:t>Written down value</w:t>
            </w:r>
          </w:p>
        </w:tc>
        <w:tc>
          <w:tcPr>
            <w:tcW w:type="dxa" w:w="2880"/>
            <w:vAlign w:val="center"/>
          </w:tcPr>
          <w:p>
            <w:r>
              <w:rPr>
                <w:rFonts w:ascii="Arial" w:hAnsi="Arial" w:eastAsia="Arial"/>
                <w:sz w:val="18"/>
              </w:rPr>
            </w:r>
            <w:r>
              <w:rPr>
                <w:rFonts w:ascii="Arial" w:hAnsi="Arial" w:eastAsia="Arial"/>
                <w:b w:val="0"/>
                <w:sz w:val="18"/>
              </w:rPr>
              <w:t>Rs. 1,200,000</w:t>
            </w:r>
          </w:p>
        </w:tc>
      </w:tr>
    </w:tbl>
    <w:p>
      <w:pPr>
        <w:pStyle w:val="Heading2"/>
        <w:spacing w:after="80" w:line="252" w:lineRule="auto"/>
      </w:pPr>
      <w:r>
        <w:rPr>
          <w:rFonts w:ascii="Arial" w:hAnsi="Arial" w:eastAsia="Arial"/>
          <w:b w:val="0"/>
          <w:i w:val="0"/>
          <w:sz w:val="20"/>
        </w:rPr>
        <w:t>21.7 Foreign Income Tax Paid</w:t>
      </w:r>
    </w:p>
    <w:p>
      <w:pPr>
        <w:spacing w:after="80" w:line="252" w:lineRule="auto"/>
      </w:pPr>
      <w:r>
        <w:rPr>
          <w:rFonts w:ascii="Arial" w:hAnsi="Arial" w:eastAsia="Arial"/>
          <w:b w:val="0"/>
          <w:i w:val="0"/>
          <w:sz w:val="20"/>
        </w:rPr>
        <w:t>The Income Tax Act, 2058 provides that where a resident person has foreign income and income tax has been paid abroad on that income, foreign tax adjustment may be claimed within the limit of the average rate of tax in Nepal. However, if a resident person has paid foreign tax on foreign income during an income year, section 71(4) allows the person, instead of claiming foreign tax adjustment against the tax payable after including both the foreign income and Nepal-source income, to claim as an expense the amount of tax paid abroad.</w:t>
      </w:r>
    </w:p>
    <w:p>
      <w:pPr>
        <w:spacing w:after="80" w:line="252" w:lineRule="auto"/>
      </w:pPr>
      <w:r>
        <w:rPr>
          <w:rFonts w:ascii="Arial" w:hAnsi="Arial" w:eastAsia="Arial"/>
          <w:b w:val="0"/>
          <w:i w:val="0"/>
          <w:sz w:val="20"/>
        </w:rPr>
        <w:t>71(4) Notwithstanding subsection (1), for an income year, a person may waive the claim for foreign tax adjustment available for that year and instead claim as an expense the amount of foreign income tax in respect of which such credit facility is available.</w:t>
      </w:r>
    </w:p>
    <w:p>
      <w:pPr>
        <w:pStyle w:val="Heading2"/>
        <w:spacing w:after="80" w:line="252" w:lineRule="auto"/>
      </w:pPr>
      <w:r>
        <w:rPr>
          <w:rFonts w:ascii="Arial" w:hAnsi="Arial" w:eastAsia="Arial"/>
          <w:b w:val="0"/>
          <w:i w:val="0"/>
          <w:sz w:val="20"/>
        </w:rPr>
        <w:t>21.8 Loss from Investment</w:t>
      </w:r>
    </w:p>
    <w:p>
      <w:pPr>
        <w:spacing w:after="80" w:line="252" w:lineRule="auto"/>
      </w:pPr>
      <w:r>
        <w:rPr>
          <w:rFonts w:ascii="Arial" w:hAnsi="Arial" w:eastAsia="Arial"/>
          <w:b w:val="0"/>
          <w:i w:val="0"/>
          <w:sz w:val="20"/>
        </w:rPr>
        <w:t>Section 20 of the Act provides for deduction of loss from investment as follows:</w:t>
      </w:r>
    </w:p>
    <w:p>
      <w:pPr>
        <w:spacing w:after="80" w:line="252" w:lineRule="auto"/>
      </w:pPr>
      <w:r>
        <w:rPr>
          <w:rFonts w:ascii="Arial" w:hAnsi="Arial" w:eastAsia="Arial"/>
          <w:b w:val="0"/>
          <w:i w:val="0"/>
          <w:sz w:val="20"/>
        </w:rPr>
        <w:t>20(1) For the purpose of computing income from business or investment for an income year, a person may deduct the following losses:</w:t>
      </w:r>
    </w:p>
    <w:p>
      <w:pPr>
        <w:pStyle w:val="ListBullet"/>
        <w:spacing w:after="80" w:line="252" w:lineRule="auto"/>
      </w:pPr>
      <w:r>
        <w:rPr>
          <w:rFonts w:ascii="Arial" w:hAnsi="Arial" w:eastAsia="Arial"/>
          <w:b w:val="0"/>
          <w:i w:val="0"/>
          <w:sz w:val="20"/>
        </w:rPr>
        <w:t>any unrelieved loss for that year incurred by the person from any other business; and</w:t>
      </w:r>
    </w:p>
    <w:p>
      <w:pPr>
        <w:pStyle w:val="ListBullet"/>
        <w:spacing w:after="80" w:line="252" w:lineRule="auto"/>
      </w:pPr>
      <w:r>
        <w:rPr>
          <w:rFonts w:ascii="Arial" w:hAnsi="Arial" w:eastAsia="Arial"/>
          <w:b w:val="0"/>
          <w:i w:val="0"/>
          <w:sz w:val="20"/>
        </w:rPr>
        <w:t>unrelieved losses of the previous seven income years incurred by that person from any business.</w:t>
      </w:r>
    </w:p>
    <w:p>
      <w:pPr>
        <w:spacing w:after="80" w:line="252" w:lineRule="auto"/>
      </w:pPr>
      <w:r>
        <w:rPr>
          <w:rFonts w:ascii="Arial" w:hAnsi="Arial" w:eastAsia="Arial"/>
          <w:b w:val="0"/>
          <w:i w:val="0"/>
          <w:sz w:val="20"/>
        </w:rPr>
        <w:t>Provided that, in the case of a project for construction and operation of public infrastructure to be transferred to the Government of Nepal, a project for construction, generation and transmission of electricity, and an entity carrying out petroleum operations under the Nepal Petroleum Act, 2040, unrelieved losses of the previous twelve years may be deducted.</w:t>
      </w:r>
    </w:p>
    <w:p>
      <w:pPr>
        <w:spacing w:after="80" w:line="252" w:lineRule="auto"/>
      </w:pPr>
      <w:r>
        <w:rPr>
          <w:rFonts w:ascii="Arial" w:hAnsi="Arial" w:eastAsia="Arial"/>
          <w:b w:val="0"/>
          <w:i w:val="0"/>
          <w:sz w:val="20"/>
        </w:rPr>
        <w:t>Accordingly, for computing income from business or investment in an income year, unrelieved loss from another business for that year and unrelieved business losses of the previous seven income years may be deducted. In this sense, business loss may be claimed as deduction against investment income. However, investment loss cannot be claimed against business income. Similarly, loss from business or investment cannot be reduced from employment income.</w:t>
      </w:r>
    </w:p>
    <w:p>
      <w:pPr>
        <w:spacing w:after="80" w:line="252" w:lineRule="auto"/>
      </w:pPr>
      <w:r>
        <w:rPr>
          <w:rFonts w:ascii="Arial" w:hAnsi="Arial" w:eastAsia="Arial"/>
          <w:b/>
          <w:i w:val="0"/>
          <w:sz w:val="20"/>
        </w:rPr>
        <w:t>Example 21.8.1:</w:t>
      </w:r>
    </w:p>
    <w:p>
      <w:pPr>
        <w:spacing w:after="80" w:line="252" w:lineRule="auto"/>
      </w:pPr>
      <w:r>
        <w:rPr>
          <w:rFonts w:ascii="Arial" w:hAnsi="Arial" w:eastAsia="Arial"/>
          <w:b w:val="0"/>
          <w:i w:val="0"/>
          <w:sz w:val="20"/>
        </w:rPr>
        <w:t>Assume that Ganesh Bahadur incurred a loss of Rs. 1,000,000 from a hotel business in income year 2080/81. During the same year, he sold shares of a listed company, which was investment income, and earned a gain of Rs. 1,500,000. In computing the net gain from disposal of shares for that income year, he may claim deduction of the hotel business loss of Rs. 1,000,000, resulting in a net gain of Rs. 500,000. Conversely, investment loss cannot be claimed as a deduction against income from the hotel business.</w:t>
      </w:r>
    </w:p>
    <w:p>
      <w:pPr>
        <w:spacing w:after="80" w:line="252" w:lineRule="auto"/>
      </w:pPr>
      <w:r>
        <w:rPr>
          <w:rFonts w:ascii="Arial" w:hAnsi="Arial" w:eastAsia="Arial"/>
          <w:b w:val="0"/>
          <w:i w:val="0"/>
          <w:sz w:val="20"/>
        </w:rPr>
        <w:t>20(2) For the purpose of computing income from investment in an income year, a person may deduct the unrelieved loss incurred during that year from any other investment and the unrelieved losses of the previous seven income years incurred by that person from that investment or any other investment.</w:t>
      </w:r>
    </w:p>
    <w:p>
      <w:pPr>
        <w:spacing w:after="80" w:line="252" w:lineRule="auto"/>
      </w:pPr>
      <w:r>
        <w:rPr>
          <w:rFonts w:ascii="Arial" w:hAnsi="Arial" w:eastAsia="Arial"/>
          <w:b w:val="0"/>
          <w:i w:val="0"/>
          <w:sz w:val="20"/>
        </w:rPr>
        <w:t>Thus, in computing investment income, a person may deduct the current year unrelieved loss from another investment and the unrelieved investment losses of the previous seven income years from that or any other investment.</w:t>
      </w:r>
    </w:p>
    <w:p>
      <w:pPr>
        <w:spacing w:after="80" w:line="252" w:lineRule="auto"/>
      </w:pPr>
      <w:r>
        <w:rPr>
          <w:rFonts w:ascii="Arial" w:hAnsi="Arial" w:eastAsia="Arial"/>
          <w:b/>
          <w:i w:val="0"/>
          <w:sz w:val="20"/>
        </w:rPr>
        <w:t>Example 21.8.2:</w:t>
      </w:r>
    </w:p>
    <w:p>
      <w:pPr>
        <w:spacing w:after="80" w:line="252" w:lineRule="auto"/>
      </w:pPr>
      <w:r>
        <w:rPr>
          <w:rFonts w:ascii="Arial" w:hAnsi="Arial" w:eastAsia="Arial"/>
          <w:b w:val="0"/>
          <w:i w:val="0"/>
          <w:sz w:val="20"/>
        </w:rPr>
        <w:t>Assume that in income year 2079/80 Ganesh Bahadur sold shares of a listed company, which was investment income, and incurred a loss of Rs. 600,000 that could not be adjusted in that year. In income year 2080/81 he sold land, a non-business taxable asset, for Rs. 10,000,000 and earned a gain of Rs. 2,000,000. In computing the net gain from disposal of the non-business taxable asset for that year, he may deduct the investment loss of Rs. 600,000 from income year 2079/80, resulting in a net gain of Rs. 1,400,000.</w:t>
      </w:r>
    </w:p>
    <w:p>
      <w:pPr>
        <w:spacing w:after="80" w:line="252" w:lineRule="auto"/>
      </w:pPr>
      <w:r>
        <w:rPr>
          <w:rFonts w:ascii="Arial" w:hAnsi="Arial" w:eastAsia="Arial"/>
          <w:b w:val="0"/>
          <w:i w:val="0"/>
          <w:sz w:val="20"/>
        </w:rPr>
        <w:t>20(3) Subject to subsections (1) and (2), and for the purposes of those subsections, an unrelieved loss suffered by a person in relation to a foreign source may be deducted only in computing income from that foreign source; and an unrelieved loss suffered in earning non-taxable income may be deducted only in computing that person’s non-taxable income.</w:t>
      </w:r>
    </w:p>
    <w:p>
      <w:pPr>
        <w:spacing w:after="80" w:line="252" w:lineRule="auto"/>
      </w:pPr>
      <w:r>
        <w:rPr>
          <w:rFonts w:ascii="Arial" w:hAnsi="Arial" w:eastAsia="Arial"/>
          <w:b w:val="0"/>
          <w:i w:val="0"/>
          <w:sz w:val="20"/>
        </w:rPr>
        <w:t>Thus, a loss from investment in Pakistan may be deducted only from income from investment in Pakistan.</w:t>
      </w:r>
    </w:p>
    <w:p>
      <w:pPr>
        <w:spacing w:after="80" w:line="252" w:lineRule="auto"/>
      </w:pPr>
      <w:r>
        <w:rPr>
          <w:rFonts w:ascii="Arial" w:hAnsi="Arial" w:eastAsia="Arial"/>
          <w:b w:val="0"/>
          <w:i w:val="0"/>
          <w:sz w:val="20"/>
        </w:rPr>
        <w:t>20(7) In computing the loss suffered by a person from a business or investment in an income year, without applying this section, the loss is the excess of deductible amounts over the amounts included in computing the person’s income from business or investment.</w:t>
      </w:r>
    </w:p>
    <w:p>
      <w:pPr>
        <w:spacing w:after="80" w:line="252" w:lineRule="auto"/>
      </w:pPr>
      <w:r>
        <w:rPr>
          <w:rFonts w:ascii="Arial" w:hAnsi="Arial" w:eastAsia="Arial"/>
          <w:b w:val="0"/>
          <w:i w:val="0"/>
          <w:sz w:val="20"/>
        </w:rPr>
        <w:t>20(8) If a person has obtained full tax exemption on business or investment income in an income year, the loss incurred in that income year may not be carried forward to a subsequent income year.</w:t>
      </w:r>
    </w:p>
    <w:tbl>
      <w:tblPr>
        <w:tblStyle w:val="TableGrid"/>
        <w:tblW w:type="auto" w:w="0"/>
        <w:jc w:val="center"/>
        <w:tblLook w:firstColumn="1" w:firstRow="1" w:lastColumn="0" w:lastRow="0" w:noHBand="0" w:noVBand="1" w:val="04A0"/>
      </w:tblPr>
      <w:tblGrid>
        <w:gridCol w:w="5040"/>
        <w:gridCol w:w="5040"/>
      </w:tblGrid>
      <w:tr>
        <w:tc>
          <w:tcPr>
            <w:tcW w:type="dxa" w:w="6480"/>
            <w:vAlign w:val="center"/>
            <w:shd w:fill="D9EAF7"/>
          </w:tcPr>
          <w:p>
            <w:r>
              <w:rPr>
                <w:rFonts w:ascii="Arial" w:hAnsi="Arial" w:eastAsia="Arial"/>
                <w:sz w:val="18"/>
              </w:rPr>
            </w:r>
            <w:r>
              <w:rPr>
                <w:rFonts w:ascii="Arial" w:hAnsi="Arial" w:eastAsia="Arial"/>
                <w:b/>
                <w:sz w:val="18"/>
              </w:rPr>
              <w:t>Particulars</w:t>
            </w:r>
          </w:p>
        </w:tc>
        <w:tc>
          <w:tcPr>
            <w:tcW w:type="dxa" w:w="2880"/>
            <w:vAlign w:val="center"/>
            <w:shd w:fill="D9EAF7"/>
          </w:tcPr>
          <w:p>
            <w:r>
              <w:rPr>
                <w:rFonts w:ascii="Arial" w:hAnsi="Arial" w:eastAsia="Arial"/>
                <w:sz w:val="18"/>
              </w:rPr>
            </w:r>
            <w:r>
              <w:rPr>
                <w:rFonts w:ascii="Arial" w:hAnsi="Arial" w:eastAsia="Arial"/>
                <w:b/>
                <w:sz w:val="18"/>
              </w:rPr>
              <w:t>Amount</w:t>
            </w:r>
          </w:p>
        </w:tc>
      </w:tr>
      <w:tr>
        <w:tc>
          <w:tcPr>
            <w:tcW w:type="dxa" w:w="6480"/>
            <w:vAlign w:val="center"/>
          </w:tcPr>
          <w:p>
            <w:r>
              <w:rPr>
                <w:rFonts w:ascii="Arial" w:hAnsi="Arial" w:eastAsia="Arial"/>
                <w:sz w:val="18"/>
              </w:rPr>
            </w:r>
            <w:r>
              <w:rPr>
                <w:rFonts w:ascii="Arial" w:hAnsi="Arial" w:eastAsia="Arial"/>
                <w:b w:val="0"/>
                <w:sz w:val="18"/>
              </w:rPr>
              <w:t>Income to be included, assume</w:t>
            </w:r>
          </w:p>
        </w:tc>
        <w:tc>
          <w:tcPr>
            <w:tcW w:type="dxa" w:w="2880"/>
            <w:vAlign w:val="center"/>
          </w:tcPr>
          <w:p>
            <w:r>
              <w:rPr>
                <w:rFonts w:ascii="Arial" w:hAnsi="Arial" w:eastAsia="Arial"/>
                <w:sz w:val="18"/>
              </w:rPr>
            </w:r>
            <w:r>
              <w:rPr>
                <w:rFonts w:ascii="Arial" w:hAnsi="Arial" w:eastAsia="Arial"/>
                <w:b w:val="0"/>
                <w:sz w:val="18"/>
              </w:rPr>
              <w:t>Rs. 10,000,000</w:t>
            </w:r>
          </w:p>
        </w:tc>
      </w:tr>
      <w:tr>
        <w:tc>
          <w:tcPr>
            <w:tcW w:type="dxa" w:w="6480"/>
            <w:vAlign w:val="center"/>
          </w:tcPr>
          <w:p>
            <w:r>
              <w:rPr>
                <w:rFonts w:ascii="Arial" w:hAnsi="Arial" w:eastAsia="Arial"/>
                <w:sz w:val="18"/>
              </w:rPr>
            </w:r>
            <w:r>
              <w:rPr>
                <w:rFonts w:ascii="Arial" w:hAnsi="Arial" w:eastAsia="Arial"/>
                <w:b w:val="0"/>
                <w:sz w:val="18"/>
              </w:rPr>
              <w:t>Amounts to be deducted, assume</w:t>
            </w:r>
          </w:p>
        </w:tc>
        <w:tc>
          <w:tcPr>
            <w:tcW w:type="dxa" w:w="2880"/>
            <w:vAlign w:val="center"/>
          </w:tcPr>
          <w:p>
            <w:r>
              <w:rPr>
                <w:rFonts w:ascii="Arial" w:hAnsi="Arial" w:eastAsia="Arial"/>
                <w:sz w:val="18"/>
              </w:rPr>
            </w:r>
            <w:r>
              <w:rPr>
                <w:rFonts w:ascii="Arial" w:hAnsi="Arial" w:eastAsia="Arial"/>
                <w:b w:val="0"/>
                <w:sz w:val="18"/>
              </w:rPr>
              <w:t>Rs. 11,000,000</w:t>
            </w:r>
          </w:p>
        </w:tc>
      </w:tr>
      <w:tr>
        <w:tc>
          <w:tcPr>
            <w:tcW w:type="dxa" w:w="6480"/>
            <w:vAlign w:val="center"/>
          </w:tcPr>
          <w:p>
            <w:r>
              <w:rPr>
                <w:rFonts w:ascii="Arial" w:hAnsi="Arial" w:eastAsia="Arial"/>
                <w:sz w:val="18"/>
              </w:rPr>
            </w:r>
            <w:r>
              <w:rPr>
                <w:rFonts w:ascii="Arial" w:hAnsi="Arial" w:eastAsia="Arial"/>
                <w:b w:val="0"/>
                <w:sz w:val="18"/>
              </w:rPr>
              <w:t>Unrelieved loss</w:t>
            </w:r>
          </w:p>
        </w:tc>
        <w:tc>
          <w:tcPr>
            <w:tcW w:type="dxa" w:w="2880"/>
            <w:vAlign w:val="center"/>
          </w:tcPr>
          <w:p>
            <w:r>
              <w:rPr>
                <w:rFonts w:ascii="Arial" w:hAnsi="Arial" w:eastAsia="Arial"/>
                <w:sz w:val="18"/>
              </w:rPr>
            </w:r>
            <w:r>
              <w:rPr>
                <w:rFonts w:ascii="Arial" w:hAnsi="Arial" w:eastAsia="Arial"/>
                <w:b w:val="0"/>
                <w:sz w:val="18"/>
              </w:rPr>
              <w:t>Rs. 1,000,000</w:t>
            </w:r>
          </w:p>
        </w:tc>
      </w:tr>
    </w:tbl>
    <w:p>
      <w:pPr>
        <w:spacing w:after="80" w:line="252" w:lineRule="auto"/>
      </w:pPr>
      <w:r>
        <w:rPr>
          <w:rFonts w:ascii="Arial" w:hAnsi="Arial" w:eastAsia="Arial"/>
          <w:b w:val="0"/>
          <w:i w:val="0"/>
          <w:sz w:val="20"/>
        </w:rPr>
        <w:t>Where a person’s income is fully exempt from tax, loss incurred in such business or investment cannot be deducted from income of another business or investment. For example, loss from a business fully exempt under section 11 of the Act cannot be claimed as deduction in computing income from another business or investment, and such loss cannot be carried forward.</w:t>
      </w:r>
    </w:p>
    <w:p>
      <w:pPr>
        <w:pStyle w:val="Heading3"/>
        <w:spacing w:after="80" w:line="252" w:lineRule="auto"/>
      </w:pPr>
      <w:r>
        <w:rPr>
          <w:rFonts w:ascii="Arial" w:hAnsi="Arial" w:eastAsia="Arial"/>
          <w:b w:val="0"/>
          <w:i w:val="0"/>
          <w:sz w:val="20"/>
        </w:rPr>
        <w:t>Diagram: Situations for set-off of losses</w:t>
      </w:r>
    </w:p>
    <w:p>
      <w:pPr>
        <w:spacing w:after="80" w:line="252" w:lineRule="auto"/>
      </w:pPr>
      <w:r>
        <w:rPr>
          <w:rFonts w:ascii="Arial" w:hAnsi="Arial" w:eastAsia="Arial"/>
          <w:b w:val="0"/>
          <w:i w:val="0"/>
          <w:sz w:val="20"/>
        </w:rPr>
        <w:t>The directive illustrates the following broad relationships for loss adjustment:</w:t>
      </w:r>
    </w:p>
    <w:tbl>
      <w:tblPr>
        <w:tblStyle w:val="TableGrid"/>
        <w:tblW w:type="auto" w:w="0"/>
        <w:jc w:val="center"/>
        <w:tblLook w:firstColumn="1" w:firstRow="1" w:lastColumn="0" w:lastRow="0" w:noHBand="0" w:noVBand="1" w:val="04A0"/>
      </w:tblPr>
      <w:tblGrid>
        <w:gridCol w:w="5040"/>
        <w:gridCol w:w="5040"/>
      </w:tblGrid>
      <w:tr>
        <w:tc>
          <w:tcPr>
            <w:tcW w:type="dxa" w:w="3456"/>
            <w:vAlign w:val="center"/>
            <w:shd w:fill="D9EAF7"/>
          </w:tcPr>
          <w:p>
            <w:r>
              <w:rPr>
                <w:rFonts w:ascii="Arial" w:hAnsi="Arial" w:eastAsia="Arial"/>
                <w:sz w:val="18"/>
              </w:rPr>
            </w:r>
            <w:r>
              <w:rPr>
                <w:rFonts w:ascii="Arial" w:hAnsi="Arial" w:eastAsia="Arial"/>
                <w:b/>
                <w:sz w:val="18"/>
              </w:rPr>
              <w:t>Loss / Source</w:t>
            </w:r>
          </w:p>
        </w:tc>
        <w:tc>
          <w:tcPr>
            <w:tcW w:type="dxa" w:w="6048"/>
            <w:vAlign w:val="center"/>
            <w:shd w:fill="D9EAF7"/>
          </w:tcPr>
          <w:p>
            <w:r>
              <w:rPr>
                <w:rFonts w:ascii="Arial" w:hAnsi="Arial" w:eastAsia="Arial"/>
                <w:sz w:val="18"/>
              </w:rPr>
            </w:r>
            <w:r>
              <w:rPr>
                <w:rFonts w:ascii="Arial" w:hAnsi="Arial" w:eastAsia="Arial"/>
                <w:b/>
                <w:sz w:val="18"/>
              </w:rPr>
              <w:t>Can be adjusted against</w:t>
            </w:r>
          </w:p>
        </w:tc>
      </w:tr>
      <w:tr>
        <w:tc>
          <w:tcPr>
            <w:tcW w:type="dxa" w:w="3456"/>
            <w:vAlign w:val="center"/>
          </w:tcPr>
          <w:p>
            <w:r>
              <w:rPr>
                <w:rFonts w:ascii="Arial" w:hAnsi="Arial" w:eastAsia="Arial"/>
                <w:sz w:val="18"/>
              </w:rPr>
            </w:r>
            <w:r>
              <w:rPr>
                <w:rFonts w:ascii="Arial" w:hAnsi="Arial" w:eastAsia="Arial"/>
                <w:b w:val="0"/>
                <w:sz w:val="18"/>
              </w:rPr>
              <w:t>Business loss</w:t>
            </w:r>
          </w:p>
        </w:tc>
        <w:tc>
          <w:tcPr>
            <w:tcW w:type="dxa" w:w="6048"/>
            <w:vAlign w:val="center"/>
          </w:tcPr>
          <w:p>
            <w:r>
              <w:rPr>
                <w:rFonts w:ascii="Arial" w:hAnsi="Arial" w:eastAsia="Arial"/>
                <w:sz w:val="18"/>
              </w:rPr>
            </w:r>
            <w:r>
              <w:rPr>
                <w:rFonts w:ascii="Arial" w:hAnsi="Arial" w:eastAsia="Arial"/>
                <w:b w:val="0"/>
                <w:sz w:val="18"/>
              </w:rPr>
              <w:t>Business income and investment income, subject to the Act.</w:t>
            </w:r>
          </w:p>
        </w:tc>
      </w:tr>
      <w:tr>
        <w:tc>
          <w:tcPr>
            <w:tcW w:type="dxa" w:w="3456"/>
            <w:vAlign w:val="center"/>
          </w:tcPr>
          <w:p>
            <w:r>
              <w:rPr>
                <w:rFonts w:ascii="Arial" w:hAnsi="Arial" w:eastAsia="Arial"/>
                <w:sz w:val="18"/>
              </w:rPr>
            </w:r>
            <w:r>
              <w:rPr>
                <w:rFonts w:ascii="Arial" w:hAnsi="Arial" w:eastAsia="Arial"/>
                <w:b w:val="0"/>
                <w:sz w:val="18"/>
              </w:rPr>
              <w:t>Investment loss</w:t>
            </w:r>
          </w:p>
        </w:tc>
        <w:tc>
          <w:tcPr>
            <w:tcW w:type="dxa" w:w="6048"/>
            <w:vAlign w:val="center"/>
          </w:tcPr>
          <w:p>
            <w:r>
              <w:rPr>
                <w:rFonts w:ascii="Arial" w:hAnsi="Arial" w:eastAsia="Arial"/>
                <w:sz w:val="18"/>
              </w:rPr>
            </w:r>
            <w:r>
              <w:rPr>
                <w:rFonts w:ascii="Arial" w:hAnsi="Arial" w:eastAsia="Arial"/>
                <w:b w:val="0"/>
                <w:sz w:val="18"/>
              </w:rPr>
              <w:t>Investment income only; not business income.</w:t>
            </w:r>
          </w:p>
        </w:tc>
      </w:tr>
      <w:tr>
        <w:tc>
          <w:tcPr>
            <w:tcW w:type="dxa" w:w="3456"/>
            <w:vAlign w:val="center"/>
          </w:tcPr>
          <w:p>
            <w:r>
              <w:rPr>
                <w:rFonts w:ascii="Arial" w:hAnsi="Arial" w:eastAsia="Arial"/>
                <w:sz w:val="18"/>
              </w:rPr>
            </w:r>
            <w:r>
              <w:rPr>
                <w:rFonts w:ascii="Arial" w:hAnsi="Arial" w:eastAsia="Arial"/>
                <w:b w:val="0"/>
                <w:sz w:val="18"/>
              </w:rPr>
              <w:t>Foreign-source loss</w:t>
            </w:r>
          </w:p>
        </w:tc>
        <w:tc>
          <w:tcPr>
            <w:tcW w:type="dxa" w:w="6048"/>
            <w:vAlign w:val="center"/>
          </w:tcPr>
          <w:p>
            <w:r>
              <w:rPr>
                <w:rFonts w:ascii="Arial" w:hAnsi="Arial" w:eastAsia="Arial"/>
                <w:sz w:val="18"/>
              </w:rPr>
            </w:r>
            <w:r>
              <w:rPr>
                <w:rFonts w:ascii="Arial" w:hAnsi="Arial" w:eastAsia="Arial"/>
                <w:b w:val="0"/>
                <w:sz w:val="18"/>
              </w:rPr>
              <w:t>Income from the same foreign source only.</w:t>
            </w:r>
          </w:p>
        </w:tc>
      </w:tr>
      <w:tr>
        <w:tc>
          <w:tcPr>
            <w:tcW w:type="dxa" w:w="3456"/>
            <w:vAlign w:val="center"/>
          </w:tcPr>
          <w:p>
            <w:r>
              <w:rPr>
                <w:rFonts w:ascii="Arial" w:hAnsi="Arial" w:eastAsia="Arial"/>
                <w:sz w:val="18"/>
              </w:rPr>
            </w:r>
            <w:r>
              <w:rPr>
                <w:rFonts w:ascii="Arial" w:hAnsi="Arial" w:eastAsia="Arial"/>
                <w:b w:val="0"/>
                <w:sz w:val="18"/>
              </w:rPr>
              <w:t>Non-taxable income loss</w:t>
            </w:r>
          </w:p>
        </w:tc>
        <w:tc>
          <w:tcPr>
            <w:tcW w:type="dxa" w:w="6048"/>
            <w:vAlign w:val="center"/>
          </w:tcPr>
          <w:p>
            <w:r>
              <w:rPr>
                <w:rFonts w:ascii="Arial" w:hAnsi="Arial" w:eastAsia="Arial"/>
                <w:sz w:val="18"/>
              </w:rPr>
            </w:r>
            <w:r>
              <w:rPr>
                <w:rFonts w:ascii="Arial" w:hAnsi="Arial" w:eastAsia="Arial"/>
                <w:b w:val="0"/>
                <w:sz w:val="18"/>
              </w:rPr>
              <w:t>Non-taxable income only.</w:t>
            </w:r>
          </w:p>
        </w:tc>
      </w:tr>
    </w:tbl>
    <w:p>
      <w:pPr>
        <w:pStyle w:val="Heading2"/>
        <w:spacing w:after="80" w:line="252" w:lineRule="auto"/>
      </w:pPr>
      <w:r>
        <w:rPr>
          <w:rFonts w:ascii="Arial" w:hAnsi="Arial" w:eastAsia="Arial"/>
          <w:b w:val="0"/>
          <w:i w:val="0"/>
          <w:sz w:val="20"/>
        </w:rPr>
        <w:t>21.9 Deductible Donation Amount</w:t>
      </w:r>
    </w:p>
    <w:p>
      <w:pPr>
        <w:spacing w:after="80" w:line="252" w:lineRule="auto"/>
      </w:pPr>
      <w:r>
        <w:rPr>
          <w:rFonts w:ascii="Arial" w:hAnsi="Arial" w:eastAsia="Arial"/>
          <w:b w:val="0"/>
          <w:i w:val="0"/>
          <w:sz w:val="20"/>
        </w:rPr>
        <w:t>Section 12 of the Income Tax Act, 2058 provides that amounts spent as donations may be claimed as deductions as follows:</w:t>
      </w:r>
    </w:p>
    <w:p>
      <w:pPr>
        <w:spacing w:after="80" w:line="252" w:lineRule="auto"/>
      </w:pPr>
      <w:r>
        <w:rPr>
          <w:rFonts w:ascii="Arial" w:hAnsi="Arial" w:eastAsia="Arial"/>
          <w:b w:val="0"/>
          <w:i w:val="0"/>
          <w:sz w:val="20"/>
        </w:rPr>
        <w:t>(1) In computing taxable income for an income year, a person may claim deduction for the amount of donation or gift given to a organization entitled to enjoy exemption approved by the Department for the purpose of this section.</w:t>
      </w:r>
    </w:p>
    <w:p>
      <w:pPr>
        <w:spacing w:after="80" w:line="252" w:lineRule="auto"/>
      </w:pPr>
      <w:r>
        <w:rPr>
          <w:rFonts w:ascii="Arial" w:hAnsi="Arial" w:eastAsia="Arial"/>
          <w:b w:val="0"/>
          <w:i w:val="0"/>
          <w:sz w:val="20"/>
        </w:rPr>
        <w:t>(2) Notwithstanding subsection (1), the deductible expense under that subsection for an income year shall not exceed the lower of Rs. 100,000 or five percent of the person’s adjusted taxable income for that year.</w:t>
      </w:r>
    </w:p>
    <w:p>
      <w:pPr>
        <w:spacing w:after="80" w:line="252" w:lineRule="auto"/>
      </w:pPr>
      <w:r>
        <w:rPr>
          <w:rFonts w:ascii="Arial" w:hAnsi="Arial" w:eastAsia="Arial"/>
          <w:b w:val="0"/>
          <w:i w:val="0"/>
          <w:sz w:val="20"/>
        </w:rPr>
        <w:t>To claim deduction under this provision, the donation must have been given to a organization entitled to enjoy exemption approved by the Department or Office. Organizations entitled to enjoy exemption particularly include charitable organizations, religious organizations and NGOs carrying out social work.</w:t>
      </w:r>
    </w:p>
    <w:p>
      <w:pPr>
        <w:spacing w:after="80" w:line="252" w:lineRule="auto"/>
      </w:pPr>
      <w:r>
        <w:rPr>
          <w:rFonts w:ascii="Arial" w:hAnsi="Arial" w:eastAsia="Arial"/>
          <w:b w:val="0"/>
          <w:i w:val="0"/>
          <w:sz w:val="20"/>
        </w:rPr>
        <w:t>(3) Notwithstanding subsections (1) and (2), in special circumstances the Government of Nepal may, by publishing a notice in the Nepal Gazette, prescribe that an amount spent or donated by a person for a specified purpose may be deducted wholly or partly as an expense in determining that person’s income.</w:t>
      </w:r>
    </w:p>
    <w:p>
      <w:pPr>
        <w:spacing w:after="80" w:line="252" w:lineRule="auto"/>
      </w:pPr>
      <w:r>
        <w:rPr>
          <w:rFonts w:ascii="Arial" w:hAnsi="Arial" w:eastAsia="Arial"/>
          <w:b w:val="0"/>
          <w:i w:val="0"/>
          <w:sz w:val="20"/>
        </w:rPr>
        <w:t>Under section 2(ka na 1) of the Act, adjusted taxable income means taxable income computed without deducting donations under section 12 and without deducting interest under section 14(2), pollution control expenses under section 17, and research and development expenses under section 18. For taxpayers who do not have interest under section 14(2), pollution control expenses under section 17 or research and development expenses under section 18, adjusted taxable income is generally assessable income after deducting retirement contributions, if any.</w:t>
      </w:r>
    </w:p>
    <w:p>
      <w:pPr>
        <w:pStyle w:val="Heading2"/>
        <w:spacing w:after="80" w:line="252" w:lineRule="auto"/>
      </w:pPr>
      <w:r>
        <w:rPr>
          <w:rFonts w:ascii="Arial" w:hAnsi="Arial" w:eastAsia="Arial"/>
          <w:b w:val="0"/>
          <w:i w:val="0"/>
          <w:sz w:val="20"/>
        </w:rPr>
        <w:t>21.10 Expenses for Heritage Conservation and Development of Sports</w:t>
      </w:r>
    </w:p>
    <w:p>
      <w:pPr>
        <w:spacing w:after="80" w:line="252" w:lineRule="auto"/>
      </w:pPr>
      <w:r>
        <w:rPr>
          <w:rFonts w:ascii="Arial" w:hAnsi="Arial" w:eastAsia="Arial"/>
          <w:b w:val="0"/>
          <w:i w:val="0"/>
          <w:sz w:val="20"/>
        </w:rPr>
        <w:t>Section 12A of the Act provides as follows in relation to expenses for conservation of heritage and development of sports:</w:t>
      </w:r>
    </w:p>
    <w:p>
      <w:pPr>
        <w:spacing w:after="80" w:line="252" w:lineRule="auto"/>
      </w:pPr>
      <w:r>
        <w:rPr>
          <w:rFonts w:ascii="Arial" w:hAnsi="Arial" w:eastAsia="Arial"/>
          <w:b w:val="0"/>
          <w:i w:val="0"/>
          <w:sz w:val="20"/>
        </w:rPr>
        <w:t>12A. Where a company, with prior approval of the Department, incurs expenses during an income year for conservation and promotion of ancient, religious and cultural heritage located in Nepal, or for construction of public physical infrastructure for sports, the company may claim deduction, in computing taxable income for that year, of an amount up to Rs. 1,000,000 or ten percent of assessable income, whichever is lower.</w:t>
      </w:r>
    </w:p>
    <w:p>
      <w:pPr>
        <w:spacing w:after="80" w:line="252" w:lineRule="auto"/>
      </w:pPr>
      <w:r>
        <w:rPr>
          <w:rFonts w:ascii="Arial" w:hAnsi="Arial" w:eastAsia="Arial"/>
          <w:b w:val="0"/>
          <w:i w:val="0"/>
          <w:sz w:val="20"/>
        </w:rPr>
        <w:t>A company may claim deduction from assessable income for expenses incurred in conserving and promoting ancient, religious and cultural heritage within Nepal or constructing public physical infrastructure for sports on the following basis:</w:t>
      </w:r>
    </w:p>
    <w:p>
      <w:pPr>
        <w:pStyle w:val="ListBullet"/>
        <w:spacing w:after="80" w:line="252" w:lineRule="auto"/>
      </w:pPr>
      <w:r>
        <w:rPr>
          <w:rFonts w:ascii="Arial" w:hAnsi="Arial" w:eastAsia="Arial"/>
          <w:b w:val="0"/>
          <w:i w:val="0"/>
          <w:sz w:val="20"/>
        </w:rPr>
        <w:t>Prior approval must be obtained from the Department. While seeking such approval, the company must apply to the Department through the concerned Office at least seven days before incurring the expense, specifying the purpose of the expense, estimated amount, time limit and manner of spending, such as direct payment to the concerned body, work by itself, or work through a contract. The Office must make a decision on the application and inform the taxpayer of the decision.</w:t>
      </w:r>
    </w:p>
    <w:p>
      <w:pPr>
        <w:pStyle w:val="ListBullet"/>
        <w:spacing w:after="80" w:line="252" w:lineRule="auto"/>
      </w:pPr>
      <w:r>
        <w:rPr>
          <w:rFonts w:ascii="Arial" w:hAnsi="Arial" w:eastAsia="Arial"/>
          <w:b w:val="0"/>
          <w:i w:val="0"/>
          <w:sz w:val="20"/>
        </w:rPr>
        <w:t>The permissible limit is not more than Rs. 1,000,000, or not more than ten percent of assessable income, whichever is lower.</w:t>
      </w:r>
    </w:p>
    <w:p>
      <w:pPr>
        <w:pStyle w:val="Heading2"/>
        <w:spacing w:after="80" w:line="252" w:lineRule="auto"/>
      </w:pPr>
      <w:r>
        <w:rPr>
          <w:rFonts w:ascii="Arial" w:hAnsi="Arial" w:eastAsia="Arial"/>
          <w:b w:val="0"/>
          <w:i w:val="0"/>
          <w:sz w:val="20"/>
        </w:rPr>
        <w:t>21.11 Contribution to the Prime Minister Disaster Relief Fund and Reconstruction Fund Established by the Government of Nepal</w:t>
      </w:r>
    </w:p>
    <w:p>
      <w:pPr>
        <w:spacing w:after="80" w:line="252" w:lineRule="auto"/>
      </w:pPr>
      <w:r>
        <w:rPr>
          <w:rFonts w:ascii="Arial" w:hAnsi="Arial" w:eastAsia="Arial"/>
          <w:b w:val="0"/>
          <w:i w:val="0"/>
          <w:sz w:val="20"/>
        </w:rPr>
        <w:t>Section 12B of the Act provides as follows regarding deduction of amounts contributed to the Prime Minister Disaster Relief Fund and the Reconstruction Fund established by the Government of Nepal:</w:t>
      </w:r>
    </w:p>
    <w:p>
      <w:pPr>
        <w:spacing w:after="80" w:line="252" w:lineRule="auto"/>
      </w:pPr>
      <w:r>
        <w:rPr>
          <w:rFonts w:ascii="Arial" w:hAnsi="Arial" w:eastAsia="Arial"/>
          <w:b w:val="0"/>
          <w:i w:val="0"/>
          <w:sz w:val="20"/>
        </w:rPr>
        <w:t>12B. A person may, in computing taxable income for an income year, deduct the amount contributed during that year to the Prime Minister Disaster Relief Fund and the Reconstruction Fund established by the Government of Nepal.</w:t>
      </w:r>
    </w:p>
    <w:p>
      <w:pPr>
        <w:pStyle w:val="Heading2"/>
        <w:spacing w:after="80" w:line="252" w:lineRule="auto"/>
      </w:pPr>
      <w:r>
        <w:rPr>
          <w:rFonts w:ascii="Arial" w:hAnsi="Arial" w:eastAsia="Arial"/>
          <w:b w:val="0"/>
          <w:i w:val="0"/>
          <w:sz w:val="20"/>
        </w:rPr>
        <w:t>21.12 Seed Capital Given to Start-up Business</w:t>
      </w:r>
    </w:p>
    <w:p>
      <w:pPr>
        <w:spacing w:after="80" w:line="252" w:lineRule="auto"/>
      </w:pPr>
      <w:r>
        <w:rPr>
          <w:rFonts w:ascii="Arial" w:hAnsi="Arial" w:eastAsia="Arial"/>
          <w:b w:val="0"/>
          <w:i w:val="0"/>
          <w:sz w:val="20"/>
        </w:rPr>
        <w:t>Section 12C of the Act provides as follows regarding deduction of seed capital given to start-up businesses:</w:t>
      </w:r>
    </w:p>
    <w:p>
      <w:pPr>
        <w:spacing w:after="80" w:line="252" w:lineRule="auto"/>
      </w:pPr>
      <w:r>
        <w:rPr>
          <w:rFonts w:ascii="Arial" w:hAnsi="Arial" w:eastAsia="Arial"/>
          <w:b w:val="0"/>
          <w:i w:val="0"/>
          <w:sz w:val="20"/>
        </w:rPr>
        <w:t>12C. Where a person provides seed capital as a grant of up to Rs. 100,000 per business to up to five start-up businesses other than associated persons, the amount may be deducted as an expense in computing taxable income.</w:t>
      </w:r>
    </w:p>
    <w:p>
      <w:pPr>
        <w:pStyle w:val="Heading2"/>
        <w:spacing w:after="80" w:line="252" w:lineRule="auto"/>
      </w:pPr>
      <w:r>
        <w:rPr>
          <w:rFonts w:ascii="Arial" w:hAnsi="Arial" w:eastAsia="Arial"/>
          <w:b w:val="0"/>
          <w:i w:val="0"/>
          <w:sz w:val="20"/>
        </w:rPr>
        <w:t>21.13 Deductible Retirement Contribution Amount</w:t>
      </w:r>
    </w:p>
    <w:p>
      <w:pPr>
        <w:spacing w:after="80" w:line="252" w:lineRule="auto"/>
      </w:pPr>
      <w:r>
        <w:rPr>
          <w:rFonts w:ascii="Arial" w:hAnsi="Arial" w:eastAsia="Arial"/>
          <w:b w:val="0"/>
          <w:i w:val="0"/>
          <w:sz w:val="20"/>
        </w:rPr>
        <w:t>Under section 63(2) of the Act, a natural person may claim deduction from income for retirement contributions made to an approved retirement fund during an income year. However, under section 63(3) and Rule 21, the person may deduct from taxable income an amount up to the lower of Rs. 500,000 or one-third of assessable income. Contributions made to an unapproved retirement fund are not deductible from income.</w:t>
      </w:r>
    </w:p>
    <w:p>
      <w:pPr>
        <w:pStyle w:val="Heading2"/>
        <w:spacing w:after="80" w:line="252" w:lineRule="auto"/>
      </w:pPr>
      <w:r>
        <w:rPr>
          <w:rFonts w:ascii="Arial" w:hAnsi="Arial" w:eastAsia="Arial"/>
          <w:b w:val="0"/>
          <w:i w:val="0"/>
          <w:sz w:val="20"/>
        </w:rPr>
        <w:t>21.14 Bonus Expense Deduction</w:t>
      </w:r>
    </w:p>
    <w:p>
      <w:pPr>
        <w:spacing w:after="80" w:line="252" w:lineRule="auto"/>
      </w:pPr>
      <w:r>
        <w:rPr>
          <w:rFonts w:ascii="Arial" w:hAnsi="Arial" w:eastAsia="Arial"/>
          <w:b w:val="0"/>
          <w:i w:val="0"/>
          <w:sz w:val="20"/>
        </w:rPr>
        <w:t>Bonus expense deduction must be dealt with as stated in Chapter 18.13 of this Directive.</w:t>
      </w:r>
    </w:p>
    <w:p>
      <w:pPr>
        <w:pStyle w:val="Heading2"/>
        <w:spacing w:after="80" w:line="252" w:lineRule="auto"/>
      </w:pPr>
      <w:r>
        <w:rPr>
          <w:rFonts w:ascii="Arial" w:hAnsi="Arial" w:eastAsia="Arial"/>
          <w:b w:val="0"/>
          <w:i w:val="0"/>
          <w:sz w:val="20"/>
        </w:rPr>
        <w:t>21.15 Expenses Not Deductible</w:t>
      </w:r>
    </w:p>
    <w:p>
      <w:pPr>
        <w:spacing w:after="80" w:line="252" w:lineRule="auto"/>
      </w:pPr>
      <w:r>
        <w:rPr>
          <w:rFonts w:ascii="Arial" w:hAnsi="Arial" w:eastAsia="Arial"/>
          <w:b w:val="0"/>
          <w:i w:val="0"/>
          <w:sz w:val="20"/>
        </w:rPr>
        <w:t>Although the Income Tax Act, 2058 generally allows deduction of expenses incurred by a person in relation to earning investment income when computing investment income, section 21 sets out special provisions under which certain expenses are not deductible. The relevant provisions are as follows:</w:t>
      </w:r>
    </w:p>
    <w:p>
      <w:pPr>
        <w:spacing w:after="80" w:line="252" w:lineRule="auto"/>
      </w:pPr>
      <w:r>
        <w:rPr>
          <w:rFonts w:ascii="Arial" w:hAnsi="Arial" w:eastAsia="Arial"/>
          <w:b w:val="0"/>
          <w:i w:val="0"/>
          <w:sz w:val="20"/>
        </w:rPr>
        <w:t>21(1) Notwithstanding anything elsewhere in this Act, no person may deduct the following expenses or amounts for the purpose of computing income from business, employment or investment for any income year:</w:t>
      </w:r>
    </w:p>
    <w:p>
      <w:pPr>
        <w:pStyle w:val="ListBullet"/>
        <w:spacing w:after="80" w:line="252" w:lineRule="auto"/>
      </w:pPr>
      <w:r>
        <w:rPr>
          <w:rFonts w:ascii="Arial" w:hAnsi="Arial" w:eastAsia="Arial"/>
          <w:b w:val="0"/>
          <w:i w:val="0"/>
          <w:sz w:val="20"/>
        </w:rPr>
        <w:t>expenses of a domestic or personal nature;</w:t>
      </w:r>
    </w:p>
    <w:p>
      <w:pPr>
        <w:pStyle w:val="ListBullet"/>
        <w:spacing w:after="80" w:line="252" w:lineRule="auto"/>
      </w:pPr>
      <w:r>
        <w:rPr>
          <w:rFonts w:ascii="Arial" w:hAnsi="Arial" w:eastAsia="Arial"/>
          <w:b w:val="0"/>
          <w:i w:val="0"/>
          <w:sz w:val="20"/>
        </w:rPr>
        <w:t>tax payable under this Act and fines and similar charges paid to the government of any country or to any local body of such government for violation of any law or of rules or regulations made under that law. However, tax collected under section 95A(7) that could not be adjusted in the income year, and taxes paid to Provincial Government and Local Level, may be deducted as expenses;</w:t>
      </w:r>
    </w:p>
    <w:p>
      <w:pPr>
        <w:pStyle w:val="ListBullet"/>
        <w:spacing w:after="80" w:line="252" w:lineRule="auto"/>
      </w:pPr>
      <w:r>
        <w:rPr>
          <w:rFonts w:ascii="Arial" w:hAnsi="Arial" w:eastAsia="Arial"/>
          <w:b w:val="0"/>
          <w:i w:val="0"/>
          <w:sz w:val="20"/>
        </w:rPr>
        <w:t>expenses incurred to the extent they relate to earning amounts exempt under section 10 or amounts subject to final withholding tax;</w:t>
      </w:r>
    </w:p>
    <w:p>
      <w:pPr>
        <w:pStyle w:val="ListBullet"/>
        <w:spacing w:after="80" w:line="252" w:lineRule="auto"/>
      </w:pPr>
      <w:r>
        <w:rPr>
          <w:rFonts w:ascii="Arial" w:hAnsi="Arial" w:eastAsia="Arial"/>
          <w:b w:val="0"/>
          <w:i w:val="0"/>
          <w:sz w:val="20"/>
        </w:rPr>
        <w:t>expenses for payments referred to in subsection (2);</w:t>
      </w:r>
    </w:p>
    <w:p>
      <w:pPr>
        <w:pStyle w:val="ListBullet"/>
        <w:spacing w:after="80" w:line="252" w:lineRule="auto"/>
      </w:pPr>
      <w:r>
        <w:rPr>
          <w:rFonts w:ascii="Arial" w:hAnsi="Arial" w:eastAsia="Arial"/>
          <w:b w:val="0"/>
          <w:i w:val="0"/>
          <w:sz w:val="20"/>
        </w:rPr>
        <w:t>remuneration and wage expenses paid to employees and workers who have not obtained a Permanent Account Number, except casual wage payments up to Rs. 3,000;</w:t>
      </w:r>
    </w:p>
    <w:p>
      <w:pPr>
        <w:pStyle w:val="ListBullet"/>
        <w:spacing w:after="80" w:line="252" w:lineRule="auto"/>
      </w:pPr>
      <w:r>
        <w:rPr>
          <w:rFonts w:ascii="Arial" w:hAnsi="Arial" w:eastAsia="Arial"/>
          <w:b w:val="0"/>
          <w:i w:val="0"/>
          <w:sz w:val="20"/>
        </w:rPr>
        <w:t>expenses supported by invoices exceeding Rs. 2,000 that do not mention a Permanent Account Number. Provided that, in direct purchases of agricultural, forest, animal and other household products from a natural person not carrying on business, such purchase expense shall be valid even if the seller has not obtained a Permanent Account Number;</w:t>
      </w:r>
    </w:p>
    <w:p>
      <w:pPr>
        <w:pStyle w:val="ListBullet"/>
        <w:spacing w:after="80" w:line="252" w:lineRule="auto"/>
      </w:pPr>
      <w:r>
        <w:rPr>
          <w:rFonts w:ascii="Arial" w:hAnsi="Arial" w:eastAsia="Arial"/>
          <w:b w:val="0"/>
          <w:i w:val="0"/>
          <w:sz w:val="20"/>
        </w:rPr>
        <w:t>distribution of profit by an entity;</w:t>
      </w:r>
    </w:p>
    <w:p>
      <w:pPr>
        <w:pStyle w:val="ListBullet"/>
        <w:spacing w:after="80" w:line="252" w:lineRule="auto"/>
      </w:pPr>
      <w:r>
        <w:rPr>
          <w:rFonts w:ascii="Arial" w:hAnsi="Arial" w:eastAsia="Arial"/>
          <w:b w:val="0"/>
          <w:i w:val="0"/>
          <w:sz w:val="20"/>
        </w:rPr>
        <w:t>remuneration exceeding Rs. 25,000 per person per month that is not paid through a bank; and</w:t>
      </w:r>
    </w:p>
    <w:p>
      <w:pPr>
        <w:pStyle w:val="ListBullet"/>
        <w:spacing w:after="80" w:line="252" w:lineRule="auto"/>
      </w:pPr>
      <w:r>
        <w:rPr>
          <w:rFonts w:ascii="Arial" w:hAnsi="Arial" w:eastAsia="Arial"/>
          <w:b w:val="0"/>
          <w:i w:val="0"/>
          <w:sz w:val="20"/>
        </w:rPr>
        <w:t>any other amounts not allowed as deductions under this Chapter or Chapters 6, 7, 10, 11, 12 or 13, even if not specifically described in the preceding clauses as non-deductible.</w:t>
      </w:r>
    </w:p>
    <w:p>
      <w:pPr>
        <w:spacing w:after="80" w:line="252" w:lineRule="auto"/>
      </w:pPr>
      <w:r>
        <w:rPr>
          <w:rFonts w:ascii="Arial" w:hAnsi="Arial" w:eastAsia="Arial"/>
          <w:b w:val="0"/>
          <w:i w:val="0"/>
          <w:sz w:val="20"/>
        </w:rPr>
        <w:t>21(2) A person whose annual turnover in an income year exceeds Rs. 2,000,000 may not deduct any cash payment exceeding Rs. 50,000 at one time during that income year, except in the following cases:</w:t>
      </w:r>
    </w:p>
    <w:p>
      <w:pPr>
        <w:pStyle w:val="ListBullet"/>
        <w:spacing w:after="80" w:line="252" w:lineRule="auto"/>
      </w:pPr>
      <w:r>
        <w:rPr>
          <w:rFonts w:ascii="Arial" w:hAnsi="Arial" w:eastAsia="Arial"/>
          <w:b w:val="0"/>
          <w:i w:val="0"/>
          <w:sz w:val="20"/>
        </w:rPr>
        <w:t>payment made to the Government of Nepal, a constitutional body, a corporation owned by the Government of Nepal, or a bank or financial institution;</w:t>
      </w:r>
    </w:p>
    <w:p>
      <w:pPr>
        <w:pStyle w:val="ListBullet"/>
        <w:spacing w:after="80" w:line="252" w:lineRule="auto"/>
      </w:pPr>
      <w:r>
        <w:rPr>
          <w:rFonts w:ascii="Arial" w:hAnsi="Arial" w:eastAsia="Arial"/>
          <w:b w:val="0"/>
          <w:i w:val="0"/>
          <w:sz w:val="20"/>
        </w:rPr>
        <w:t>payment made to a farmer or producer producing primary agricultural products, and payment for such products even if primary processing has been done by the farmer himself or herself;</w:t>
      </w:r>
    </w:p>
    <w:p>
      <w:pPr>
        <w:pStyle w:val="ListBullet"/>
        <w:spacing w:after="80" w:line="252" w:lineRule="auto"/>
      </w:pPr>
      <w:r>
        <w:rPr>
          <w:rFonts w:ascii="Arial" w:hAnsi="Arial" w:eastAsia="Arial"/>
          <w:b w:val="0"/>
          <w:i w:val="0"/>
          <w:sz w:val="20"/>
        </w:rPr>
        <w:t>payment of retirement contribution or retirement payment;</w:t>
      </w:r>
    </w:p>
    <w:p>
      <w:pPr>
        <w:pStyle w:val="ListBullet"/>
        <w:spacing w:after="80" w:line="252" w:lineRule="auto"/>
      </w:pPr>
      <w:r>
        <w:rPr>
          <w:rFonts w:ascii="Arial" w:hAnsi="Arial" w:eastAsia="Arial"/>
          <w:b w:val="0"/>
          <w:i w:val="0"/>
          <w:sz w:val="20"/>
        </w:rPr>
        <w:t>payment made in a place where banking services are not available;</w:t>
      </w:r>
    </w:p>
    <w:p>
      <w:pPr>
        <w:pStyle w:val="ListBullet"/>
        <w:spacing w:after="80" w:line="252" w:lineRule="auto"/>
      </w:pPr>
      <w:r>
        <w:rPr>
          <w:rFonts w:ascii="Arial" w:hAnsi="Arial" w:eastAsia="Arial"/>
          <w:b w:val="0"/>
          <w:i w:val="0"/>
          <w:sz w:val="20"/>
        </w:rPr>
        <w:t>payment made on a day when banking services are closed or payment that has to be made in cash because of unavoidable necessity; or</w:t>
      </w:r>
    </w:p>
    <w:p>
      <w:pPr>
        <w:pStyle w:val="ListBullet"/>
        <w:spacing w:after="80" w:line="252" w:lineRule="auto"/>
      </w:pPr>
      <w:r>
        <w:rPr>
          <w:rFonts w:ascii="Arial" w:hAnsi="Arial" w:eastAsia="Arial"/>
          <w:b w:val="0"/>
          <w:i w:val="0"/>
          <w:sz w:val="20"/>
        </w:rPr>
        <w:t>amount deposited in the bank account of the payee.</w:t>
      </w:r>
    </w:p>
    <w:p>
      <w:pPr>
        <w:spacing w:after="80" w:line="252" w:lineRule="auto"/>
      </w:pPr>
      <w:r>
        <w:rPr>
          <w:rFonts w:ascii="Arial" w:hAnsi="Arial" w:eastAsia="Arial"/>
          <w:b w:val="0"/>
          <w:i w:val="0"/>
          <w:sz w:val="20"/>
        </w:rPr>
        <w:t>21(3) Subject to sections 14, 15, 16, 17, 18, 19, 20 and 71, no amount may be deducted for capital expenditure or foreign income tax.</w:t>
      </w:r>
    </w:p>
    <w:p>
      <w:pPr>
        <w:spacing w:after="80" w:line="252" w:lineRule="auto"/>
      </w:pPr>
      <w:r>
        <w:rPr>
          <w:rFonts w:ascii="Arial" w:hAnsi="Arial" w:eastAsia="Arial"/>
          <w:b w:val="0"/>
          <w:i w:val="0"/>
          <w:sz w:val="20"/>
        </w:rPr>
        <w:t>Explanation: For this section:</w:t>
      </w:r>
    </w:p>
    <w:p>
      <w:pPr>
        <w:spacing w:after="80" w:line="252" w:lineRule="auto"/>
      </w:pPr>
      <w:r>
        <w:rPr>
          <w:rFonts w:ascii="Arial" w:hAnsi="Arial" w:eastAsia="Arial"/>
          <w:b w:val="0"/>
          <w:i w:val="0"/>
          <w:sz w:val="20"/>
        </w:rPr>
        <w:t>(a) "Expenses of a domestic or personal nature" means the following expenses:</w:t>
      </w:r>
    </w:p>
    <w:p>
      <w:pPr>
        <w:pStyle w:val="ListBullet"/>
        <w:spacing w:after="80" w:line="252" w:lineRule="auto"/>
      </w:pPr>
      <w:r>
        <w:rPr>
          <w:rFonts w:ascii="Arial" w:hAnsi="Arial" w:eastAsia="Arial"/>
          <w:b w:val="0"/>
          <w:i w:val="0"/>
          <w:sz w:val="20"/>
        </w:rPr>
        <w:t>private expenses of a natural person, including interest on debt to the extent the borrowed amount is used for personal purposes; expenses for the natural person such as accommodation, food, refreshments, entertainment or other leisure activities; commuting expenses between home and the place where business or investment is operated, except travel in the course of business or investment; expenses for clothes for a natural person, except clothes not suitable for wear outside working time; and expenses for education or training. However, only expenses for education directly related to business or investment that do not lead to a degree or diploma may be deducted;</w:t>
      </w:r>
    </w:p>
    <w:p>
      <w:pPr>
        <w:pStyle w:val="ListBullet"/>
        <w:spacing w:after="80" w:line="252" w:lineRule="auto"/>
      </w:pPr>
      <w:r>
        <w:rPr>
          <w:rFonts w:ascii="Arial" w:hAnsi="Arial" w:eastAsia="Arial"/>
          <w:b w:val="0"/>
          <w:i w:val="0"/>
          <w:sz w:val="20"/>
        </w:rPr>
        <w:t>expenses incurred in relation to payments made by a person to a natural person and expenses incurred for a third person, except and to the extent that: the payment is included in computing the natural person’s income; the natural person has made reciprocal payment to that person equal to the market value of the payment received; or the payment is of a minor amount prescribed as difficult to account for or administratively impractical.</w:t>
      </w:r>
    </w:p>
    <w:p>
      <w:pPr>
        <w:spacing w:after="80" w:line="252" w:lineRule="auto"/>
      </w:pPr>
      <w:r>
        <w:rPr>
          <w:rFonts w:ascii="Arial" w:hAnsi="Arial" w:eastAsia="Arial"/>
          <w:b w:val="0"/>
          <w:i w:val="0"/>
          <w:sz w:val="20"/>
        </w:rPr>
        <w:t>(b) "Place where banking services are available" means a place where banking services are available within a ten-kilometre radius of that place.</w:t>
      </w:r>
    </w:p>
    <w:p>
      <w:pPr>
        <w:spacing w:after="80" w:line="252" w:lineRule="auto"/>
      </w:pPr>
      <w:r>
        <w:rPr>
          <w:rFonts w:ascii="Arial" w:hAnsi="Arial" w:eastAsia="Arial"/>
          <w:b w:val="0"/>
          <w:i w:val="0"/>
          <w:sz w:val="20"/>
        </w:rPr>
        <w:t>(c) "Cash payment" means a payment other than a payment made through a bank or financial institution by letter of credit, account payee cheque, draft, payment order, telegraphic transfer, money transfer including hundi deposited into a bank account, payment through a digital wallet approved by Nepal Rastra Bank, or other transfer between banks or financial institutions.</w:t>
      </w:r>
    </w:p>
    <w:p>
      <w:pPr>
        <w:spacing w:after="80" w:line="252" w:lineRule="auto"/>
      </w:pPr>
      <w:r>
        <w:rPr>
          <w:rFonts w:ascii="Arial" w:hAnsi="Arial" w:eastAsia="Arial"/>
          <w:b w:val="0"/>
          <w:i w:val="0"/>
          <w:sz w:val="20"/>
        </w:rPr>
        <w:t>(d) "Capital expenditure" means the following expenses:</w:t>
      </w:r>
    </w:p>
    <w:p>
      <w:pPr>
        <w:pStyle w:val="ListBullet"/>
        <w:spacing w:after="80" w:line="252" w:lineRule="auto"/>
      </w:pPr>
      <w:r>
        <w:rPr>
          <w:rFonts w:ascii="Arial" w:hAnsi="Arial" w:eastAsia="Arial"/>
          <w:b w:val="0"/>
          <w:i w:val="0"/>
          <w:sz w:val="20"/>
        </w:rPr>
        <w:t>expenses relating to feasibility study, exploration and development of natural resources;</w:t>
      </w:r>
    </w:p>
    <w:p>
      <w:pPr>
        <w:pStyle w:val="ListBullet"/>
        <w:spacing w:after="80" w:line="252" w:lineRule="auto"/>
      </w:pPr>
      <w:r>
        <w:rPr>
          <w:rFonts w:ascii="Arial" w:hAnsi="Arial" w:eastAsia="Arial"/>
          <w:b w:val="0"/>
          <w:i w:val="0"/>
          <w:sz w:val="20"/>
        </w:rPr>
        <w:t>expenses incurred to acquire an asset with a useful life of more than twelve months; or</w:t>
      </w:r>
    </w:p>
    <w:p>
      <w:pPr>
        <w:pStyle w:val="ListBullet"/>
        <w:spacing w:after="80" w:line="252" w:lineRule="auto"/>
      </w:pPr>
      <w:r>
        <w:rPr>
          <w:rFonts w:ascii="Arial" w:hAnsi="Arial" w:eastAsia="Arial"/>
          <w:b w:val="0"/>
          <w:i w:val="0"/>
          <w:sz w:val="20"/>
        </w:rPr>
        <w:t>expenses incurred in disposing of a liability.</w:t>
      </w:r>
    </w:p>
    <w:p>
      <w:r>
        <w:br w:type="page"/>
      </w:r>
    </w:p>
    <w:p>
      <w:pPr>
        <w:pStyle w:val="Title"/>
        <w:jc w:val="center"/>
      </w:pPr>
      <w:r>
        <w:rPr>
          <w:b w:val="0"/>
          <w:i w:val="0"/>
        </w:rPr>
        <w:t>Income Tax Directive, 2066 (with Fifth Amendment, 2081)</w:t>
      </w:r>
    </w:p>
    <w:p>
      <w:pPr>
        <w:pStyle w:val="Title"/>
        <w:jc w:val="center"/>
      </w:pPr>
      <w:r>
        <w:rPr>
          <w:b w:val="0"/>
          <w:i w:val="0"/>
        </w:rPr>
        <w:t>English Translation - Part 22</w:t>
      </w:r>
    </w:p>
    <w:p>
      <w:pPr>
        <w:pStyle w:val="Heading1"/>
        <w:jc w:val="center"/>
      </w:pPr>
      <w:r>
        <w:rPr>
          <w:b w:val="0"/>
          <w:i w:val="0"/>
        </w:rPr>
        <w:t>Chapter 22: Gain on Disposal of Asset and Liability</w:t>
      </w:r>
    </w:p>
    <w:p>
      <w:pPr>
        <w:jc w:val="center"/>
      </w:pPr>
      <w:r>
        <w:rPr>
          <w:b w:val="0"/>
          <w:i/>
        </w:rPr>
        <w:t>Source pages: Directive pages 445-482</w:t>
      </w:r>
    </w:p>
    <w:p>
      <w:r>
        <w:rPr>
          <w:b w:val="0"/>
          <w:i/>
        </w:rPr>
        <w:t>Note: This translation preserves the meaning, sequence, section numbering, examples and tabular presentation of the Nepali directive as far as practicable in Word format. Statutory terminology has been aligned with the official English terminology of the Income Tax Act, 2002 (2058) where applicable.</w:t>
      </w:r>
    </w:p>
    <w:p>
      <w:r>
        <w:br w:type="page"/>
      </w:r>
    </w:p>
    <w:p>
      <w:pPr>
        <w:pStyle w:val="Heading1"/>
        <w:jc w:val="center"/>
      </w:pPr>
      <w:r>
        <w:rPr>
          <w:b w:val="0"/>
          <w:i w:val="0"/>
        </w:rPr>
        <w:t>Chapter 22</w:t>
      </w:r>
    </w:p>
    <w:p>
      <w:pPr>
        <w:pStyle w:val="Heading1"/>
        <w:jc w:val="center"/>
      </w:pPr>
      <w:r>
        <w:rPr>
          <w:b w:val="0"/>
          <w:i w:val="0"/>
        </w:rPr>
        <w:t>Gain on Disposal of Asset and Liability</w:t>
      </w:r>
    </w:p>
    <w:p>
      <w:pPr>
        <w:pStyle w:val="Heading2"/>
      </w:pPr>
      <w:r>
        <w:rPr>
          <w:b w:val="0"/>
          <w:i w:val="0"/>
        </w:rPr>
        <w:t>22.1 Introduction</w:t>
      </w:r>
    </w:p>
    <w:p>
      <w:r>
        <w:rPr>
          <w:b w:val="0"/>
          <w:i w:val="0"/>
        </w:rPr>
        <w:t>The Income Tax Act, 2058 provides that the net gain arising from the disposal of a person's asset or liability is to be included in income. Depending on the nature of the person's transaction, such income may be income from business or income from investment. Chapter 8 of the Act sets out the circumstances in which assets and liabilities are treated as disposed of, and the different rules for the related incomings and outgoings.</w:t>
      </w:r>
    </w:p>
    <w:p>
      <w:r>
        <w:rPr>
          <w:b w:val="0"/>
          <w:i w:val="0"/>
        </w:rPr>
        <w:t>This chapter explains the concept of gain and net gain from disposal of an asset or liability. It also explains circumstances where, although no immediate income or deduction may arise for income tax purposes, incomings and outgoings of such transactions or transfers must still be determined. Examples include transfer between husband and wife and transfer after the death of a natural person. The objective of this chapter is to explain the different situations in which an asset or liability is disposed of or is deemed to be disposed of.</w:t>
      </w:r>
    </w:p>
    <w:p>
      <w:pPr>
        <w:pStyle w:val="Heading2"/>
      </w:pPr>
      <w:r>
        <w:rPr>
          <w:b w:val="0"/>
          <w:i w:val="0"/>
        </w:rPr>
        <w:t>22.2 Main Definitions</w:t>
      </w:r>
    </w:p>
    <w:p>
      <w:r>
        <w:rPr>
          <w:b w:val="0"/>
          <w:i w:val="0"/>
        </w:rPr>
        <w:t>The following definitions are important for this chapter.</w:t>
      </w:r>
    </w:p>
    <w:p>
      <w:pPr>
        <w:pStyle w:val="Heading3"/>
      </w:pPr>
      <w:r>
        <w:rPr>
          <w:b w:val="0"/>
          <w:i w:val="0"/>
        </w:rPr>
        <w:t>22.2.1 Asset</w:t>
      </w:r>
    </w:p>
    <w:p>
      <w:r>
        <w:rPr>
          <w:b w:val="0"/>
          <w:i w:val="0"/>
        </w:rPr>
        <w:t>The term asset means tangible or intangible property of any kind. It includes currency, goodwill, know-how, property, ownership or interest in a foreign branch of a person, a right to earn income or to receive income in the future, and a part of any such property. Section 2(kagha) of the Act defines asset in this sense.</w:t>
      </w:r>
    </w:p>
    <w:tbl>
      <w:tblPr>
        <w:tblStyle w:val="TableGrid"/>
        <w:tblW w:type="auto" w:w="0"/>
        <w:jc w:val="center"/>
        <w:tblLook w:firstColumn="1" w:firstRow="1" w:lastColumn="0" w:lastRow="0" w:noHBand="0" w:noVBand="1" w:val="04A0"/>
      </w:tblPr>
      <w:tblGrid>
        <w:gridCol w:w="3298"/>
        <w:gridCol w:w="3298"/>
        <w:gridCol w:w="3298"/>
      </w:tblGrid>
      <w:tr>
        <w:trPr>
          <w:tblHeader w:val="true"/>
        </w:trPr>
        <w:tc>
          <w:tcPr>
            <w:tcW w:type="dxa" w:w="3298"/>
            <w:vAlign w:val="top"/>
            <w:shd w:fill="D9EAF7"/>
          </w:tcPr>
          <w:p>
            <w:r/>
            <w:r>
              <w:rPr>
                <w:b/>
                <w:sz w:val="18"/>
              </w:rPr>
              <w:t>Type of asset</w:t>
            </w:r>
          </w:p>
        </w:tc>
        <w:tc>
          <w:tcPr>
            <w:tcW w:type="dxa" w:w="3298"/>
            <w:vAlign w:val="top"/>
            <w:shd w:fill="D9EAF7"/>
          </w:tcPr>
          <w:p>
            <w:r/>
            <w:r>
              <w:rPr>
                <w:b/>
                <w:sz w:val="18"/>
              </w:rPr>
              <w:t>Relevant provision</w:t>
            </w:r>
          </w:p>
        </w:tc>
        <w:tc>
          <w:tcPr>
            <w:tcW w:type="dxa" w:w="3298"/>
            <w:vAlign w:val="top"/>
            <w:shd w:fill="D9EAF7"/>
          </w:tcPr>
          <w:p>
            <w:r/>
            <w:r>
              <w:rPr>
                <w:b/>
                <w:sz w:val="18"/>
              </w:rPr>
              <w:t>Tax treatment on disposal</w:t>
            </w:r>
          </w:p>
        </w:tc>
      </w:tr>
      <w:tr>
        <w:tc>
          <w:tcPr>
            <w:tcW w:type="dxa" w:w="3298"/>
            <w:vAlign w:val="top"/>
          </w:tcPr>
          <w:p>
            <w:r>
              <w:t>Stock-in-trade</w:t>
            </w:r>
            <w:r>
              <w:rPr>
                <w:b w:val="0"/>
                <w:sz w:val="18"/>
              </w:rPr>
            </w:r>
          </w:p>
        </w:tc>
        <w:tc>
          <w:tcPr>
            <w:tcW w:type="dxa" w:w="3298"/>
            <w:vAlign w:val="top"/>
          </w:tcPr>
          <w:p>
            <w:r/>
            <w:r>
              <w:rPr>
                <w:b w:val="0"/>
                <w:sz w:val="18"/>
              </w:rPr>
              <w:t>Section 2(kaña); Sections 7(2)(b), 7(2)(d), 9(2)(c), 15</w:t>
            </w:r>
          </w:p>
        </w:tc>
        <w:tc>
          <w:tcPr>
            <w:tcW w:type="dxa" w:w="3298"/>
            <w:vAlign w:val="top"/>
          </w:tcPr>
          <w:p>
            <w:r>
              <w:t>Amounts received are included in income. Cost of stock-in-trade is allowed as an expense according to the Act.</w:t>
            </w:r>
            <w:r>
              <w:rPr>
                <w:b w:val="0"/>
                <w:sz w:val="18"/>
              </w:rPr>
            </w:r>
          </w:p>
        </w:tc>
      </w:tr>
      <w:tr>
        <w:tc>
          <w:tcPr>
            <w:tcW w:type="dxa" w:w="3298"/>
            <w:vAlign w:val="top"/>
          </w:tcPr>
          <w:p>
            <w:r>
              <w:t>Depreciable property</w:t>
            </w:r>
            <w:r>
              <w:rPr>
                <w:b w:val="0"/>
                <w:sz w:val="18"/>
              </w:rPr>
            </w:r>
          </w:p>
        </w:tc>
        <w:tc>
          <w:tcPr>
            <w:tcW w:type="dxa" w:w="3298"/>
            <w:vAlign w:val="top"/>
          </w:tcPr>
          <w:p>
            <w:r/>
            <w:r>
              <w:rPr>
                <w:b w:val="0"/>
                <w:sz w:val="18"/>
              </w:rPr>
              <w:t>Section 2(ka); Schedule 2, section 4(2)(a)</w:t>
            </w:r>
          </w:p>
        </w:tc>
        <w:tc>
          <w:tcPr>
            <w:tcW w:type="dxa" w:w="3298"/>
            <w:vAlign w:val="top"/>
          </w:tcPr>
          <w:p>
            <w:r/>
            <w:r>
              <w:rPr>
                <w:b w:val="0"/>
                <w:sz w:val="18"/>
              </w:rPr>
              <w:t>Excess over the depreciation basis is included in income under section 7(2)(d) or 9(2)(c), as applicable.</w:t>
            </w:r>
          </w:p>
        </w:tc>
      </w:tr>
      <w:tr>
        <w:tc>
          <w:tcPr>
            <w:tcW w:type="dxa" w:w="3298"/>
            <w:vAlign w:val="top"/>
          </w:tcPr>
          <w:p>
            <w:r/>
            <w:r>
              <w:rPr>
                <w:b w:val="0"/>
                <w:sz w:val="18"/>
              </w:rPr>
              <w:t>Business asset</w:t>
            </w:r>
          </w:p>
        </w:tc>
        <w:tc>
          <w:tcPr>
            <w:tcW w:type="dxa" w:w="3298"/>
            <w:vAlign w:val="top"/>
          </w:tcPr>
          <w:p>
            <w:r/>
            <w:r>
              <w:rPr>
                <w:b w:val="0"/>
                <w:sz w:val="18"/>
              </w:rPr>
              <w:t>Section 2(kaṭa); Section 7(2)(c); Section 36(1)</w:t>
            </w:r>
          </w:p>
        </w:tc>
        <w:tc>
          <w:tcPr>
            <w:tcW w:type="dxa" w:w="3298"/>
            <w:vAlign w:val="top"/>
          </w:tcPr>
          <w:p>
            <w:r/>
            <w:r>
              <w:rPr>
                <w:b w:val="0"/>
                <w:sz w:val="18"/>
              </w:rPr>
              <w:t>Net gain is included in business income. Net loss is not deducted from business income except through the rules for carry-forward in section 36(1).</w:t>
            </w:r>
          </w:p>
        </w:tc>
      </w:tr>
      <w:tr>
        <w:tc>
          <w:tcPr>
            <w:tcW w:type="dxa" w:w="3298"/>
            <w:vAlign w:val="top"/>
          </w:tcPr>
          <w:p>
            <w:r>
              <w:t>Non-business taxable asset</w:t>
            </w:r>
            <w:r>
              <w:rPr>
                <w:b w:val="0"/>
                <w:sz w:val="18"/>
              </w:rPr>
            </w:r>
          </w:p>
        </w:tc>
        <w:tc>
          <w:tcPr>
            <w:tcW w:type="dxa" w:w="3298"/>
            <w:vAlign w:val="top"/>
          </w:tcPr>
          <w:p>
            <w:r/>
            <w:r>
              <w:rPr>
                <w:b w:val="0"/>
                <w:sz w:val="18"/>
              </w:rPr>
              <w:t>Section 2(da); Section 9(2)(b); Section 36(2)</w:t>
            </w:r>
          </w:p>
        </w:tc>
        <w:tc>
          <w:tcPr>
            <w:tcW w:type="dxa" w:w="3298"/>
            <w:vAlign w:val="top"/>
          </w:tcPr>
          <w:p>
            <w:r/>
            <w:r>
              <w:rPr>
                <w:b w:val="0"/>
                <w:sz w:val="18"/>
              </w:rPr>
              <w:t>Net gain is included in investment income. Net loss is considered only in computing capital gain and may be carried forward as provided by the Act.</w:t>
            </w:r>
          </w:p>
        </w:tc>
      </w:tr>
      <w:tr>
        <w:tc>
          <w:tcPr>
            <w:tcW w:type="dxa" w:w="3298"/>
            <w:vAlign w:val="top"/>
          </w:tcPr>
          <w:p>
            <w:r/>
            <w:r>
              <w:rPr>
                <w:b w:val="0"/>
                <w:sz w:val="18"/>
              </w:rPr>
              <w:t>Other personal asset</w:t>
            </w:r>
          </w:p>
        </w:tc>
        <w:tc>
          <w:tcPr>
            <w:tcW w:type="dxa" w:w="3298"/>
            <w:vAlign w:val="top"/>
          </w:tcPr>
          <w:p>
            <w:r>
              <w:t>Not within non-business taxable asset for a natural person</w:t>
            </w:r>
            <w:r>
              <w:rPr>
                <w:b w:val="0"/>
                <w:sz w:val="18"/>
              </w:rPr>
            </w:r>
          </w:p>
        </w:tc>
        <w:tc>
          <w:tcPr>
            <w:tcW w:type="dxa" w:w="3298"/>
            <w:vAlign w:val="top"/>
          </w:tcPr>
          <w:p>
            <w:r/>
            <w:r>
              <w:rPr>
                <w:b w:val="0"/>
                <w:sz w:val="18"/>
              </w:rPr>
              <w:t>Generally no income tax effect on capital-gain computation.</w:t>
            </w:r>
          </w:p>
        </w:tc>
      </w:tr>
    </w:tbl>
    <w:p/>
    <w:p>
      <w:pPr>
        <w:pStyle w:val="Heading3"/>
      </w:pPr>
      <w:r>
        <w:rPr>
          <w:b w:val="0"/>
          <w:i w:val="0"/>
        </w:rPr>
        <w:t>22.2.2 Stock-in-Trade</w:t>
      </w:r>
    </w:p>
    <w:p>
      <w:r>
        <w:rPr>
          <w:b w:val="0"/>
          <w:i w:val="0"/>
        </w:rPr>
        <w:t>Stock-in-trade means assets owned by a person and held for sale in the ordinary course of a regular business conducted by that person, assets in the course of work-in-progress, and materials to be incorporated in assets. The term does not include assets in foreign currency. Assets held directly or indirectly for sale in a business are stock-in-trade. The character of an item depends on the business of the person. Furniture is stock-in-trade for a furniture dealer, but it may be a depreciable property for another person.</w:t>
      </w:r>
    </w:p>
    <w:p>
      <w:pPr>
        <w:pStyle w:val="Heading3"/>
      </w:pPr>
      <w:r>
        <w:rPr>
          <w:b w:val="0"/>
          <w:i w:val="0"/>
        </w:rPr>
        <w:t>22.2.3 Depreciable Property</w:t>
      </w:r>
    </w:p>
    <w:p>
      <w:r>
        <w:rPr>
          <w:b w:val="0"/>
          <w:i w:val="0"/>
        </w:rPr>
        <w:t>A depreciable property means an asset used in a business or investment for earning income and whose value decreases because of wear and tear, ageing, or the passage of time. Stock-in-trade is excluded. Whether an item is depreciable depends on its use in the business or investment. A furniture item held for sale by a furniture dealer is stock-in-trade, but the same item used in another business may be a depreciable property.</w:t>
      </w:r>
    </w:p>
    <w:p>
      <w:pPr>
        <w:pStyle w:val="Heading3"/>
      </w:pPr>
      <w:r>
        <w:rPr>
          <w:b w:val="0"/>
          <w:i w:val="0"/>
        </w:rPr>
        <w:t>22.2.4 Business Asset</w:t>
      </w:r>
    </w:p>
    <w:p>
      <w:r>
        <w:rPr>
          <w:b w:val="0"/>
          <w:i w:val="0"/>
        </w:rPr>
        <w:t>A business asset means an asset used in a business, excluding stock-in-trade and depreciable property of the business. Business assets include, among other things, land used in the business, receivables, advances, cash and bank balances owned by and legally available to the business.</w:t>
      </w:r>
    </w:p>
    <w:p>
      <w:pPr>
        <w:pStyle w:val="Heading3"/>
      </w:pPr>
      <w:r>
        <w:rPr>
          <w:b w:val="0"/>
          <w:i w:val="0"/>
        </w:rPr>
        <w:t>22.2.5 Non-business Taxable Asset</w:t>
      </w:r>
    </w:p>
    <w:p>
      <w:r>
        <w:rPr>
          <w:b w:val="0"/>
          <w:i w:val="0"/>
        </w:rPr>
        <w:t>A non-business taxable asset means land, building, or an interest or security in an entity, except the following:</w:t>
      </w:r>
    </w:p>
    <w:p>
      <w:pPr>
        <w:pStyle w:val="ListBullet"/>
      </w:pPr>
      <w:r>
        <w:rPr>
          <w:b w:val="0"/>
          <w:i w:val="0"/>
        </w:rPr>
        <w:t>a business asset, depreciable property or stock-in-trade;</w:t>
      </w:r>
    </w:p>
    <w:p>
      <w:pPr>
        <w:pStyle w:val="ListBullet"/>
      </w:pPr>
      <w:r>
        <w:rPr>
          <w:b w:val="0"/>
          <w:i w:val="0"/>
        </w:rPr>
        <w:t>a personal residential building of a natural person that has been owned continuously for ten years or more and in which that person has resided continuously or intermittently for a total period of ten years or more;</w:t>
      </w:r>
    </w:p>
    <w:p>
      <w:pPr>
        <w:pStyle w:val="ListBullet"/>
      </w:pPr>
      <w:r>
        <w:rPr>
          <w:b w:val="0"/>
          <w:i w:val="0"/>
        </w:rPr>
        <w:t>an interest of a beneficiary in a retirement fund;</w:t>
      </w:r>
    </w:p>
    <w:p>
      <w:pPr>
        <w:pStyle w:val="ListBullet"/>
      </w:pPr>
      <w:r>
        <w:rPr>
          <w:b w:val="0"/>
          <w:i w:val="0"/>
        </w:rPr>
        <w:t>land, house and land, or personal building disposed of by a natural person for less than Rs. 1,000,000; and</w:t>
      </w:r>
    </w:p>
    <w:p>
      <w:pPr>
        <w:pStyle w:val="ListBullet"/>
      </w:pPr>
      <w:r>
        <w:rPr>
          <w:b w:val="0"/>
          <w:i w:val="0"/>
        </w:rPr>
        <w:t>property transferred within three generations by a mode other than purchase and sale.</w:t>
      </w:r>
    </w:p>
    <w:p>
      <w:r>
        <w:rPr>
          <w:b w:val="0"/>
          <w:i w:val="0"/>
        </w:rPr>
        <w:t>For this purpose, a personal building includes the building, the land occupied by the building and either additional land equal to the area occupied by the building or one ropani of land, whichever is less. Gold, silver, motor vehicles and similar assets are not non-business taxable assets merely because they are personal assets. Shares, debentures and similar interests in an entity generally fall within the concept, unless another provision characterises them differently.</w:t>
      </w:r>
    </w:p>
    <w:p>
      <w:r>
        <w:rPr>
          <w:b w:val="0"/>
          <w:i w:val="0"/>
        </w:rPr>
        <w:t>Property transferred within three generations by partition, inheritance, gift or similar modes is excluded. However, if a transfer by gift or similar process is made by a person outside three generations, or if there is an ordinary purchase and sale even within three generations, the property may be treated as a non-business taxable asset if the other conditions are satisfied.</w:t>
      </w:r>
    </w:p>
    <w:p>
      <w:pPr>
        <w:pStyle w:val="Heading3"/>
      </w:pPr>
      <w:r>
        <w:rPr>
          <w:b w:val="0"/>
          <w:i w:val="0"/>
        </w:rPr>
        <w:t>22.2.6 Disposal</w:t>
      </w:r>
    </w:p>
    <w:p>
      <w:r>
        <w:rPr>
          <w:b w:val="0"/>
          <w:i w:val="0"/>
        </w:rPr>
        <w:t>Disposal includes sale or transfer of an asset or liability as provided in section 40. In the case of an asset, disposal occurs when ownership is removed by sale, instalment sale, merger into another asset or liability, destruction, loss, partition, transfer of title, exchange, surrender, expiry or any other method. In the case of a liability, disposal occurs when the person is relieved of the liability through payment, settlement, cancellation, merger into another asset or liability, termination or any other method.</w:t>
      </w:r>
    </w:p>
    <w:p>
      <w:pPr>
        <w:pStyle w:val="ListBullet"/>
      </w:pPr>
      <w:r>
        <w:rPr>
          <w:b w:val="0"/>
          <w:i w:val="0"/>
        </w:rPr>
        <w:t>For assets, disposal includes distribution, merger with another asset or liability, instalment sale, financial lease, cancellation, destruction, loss, expiry or surrender.</w:t>
      </w:r>
    </w:p>
    <w:p>
      <w:pPr>
        <w:pStyle w:val="ListBullet"/>
      </w:pPr>
      <w:r>
        <w:rPr>
          <w:b w:val="0"/>
          <w:i w:val="0"/>
        </w:rPr>
        <w:t>For liabilities, disposal includes settlement, cancellation, release, termination or merger with another liability or asset.</w:t>
      </w:r>
    </w:p>
    <w:p>
      <w:pPr>
        <w:pStyle w:val="ListBullet"/>
      </w:pPr>
      <w:r>
        <w:rPr>
          <w:b w:val="0"/>
          <w:i w:val="0"/>
        </w:rPr>
        <w:t>A natural person is deemed to have disposed of assets and liabilities immediately before death.</w:t>
      </w:r>
    </w:p>
    <w:p>
      <w:pPr>
        <w:pStyle w:val="ListBullet"/>
      </w:pPr>
      <w:r>
        <w:rPr>
          <w:b w:val="0"/>
          <w:i w:val="0"/>
        </w:rPr>
        <w:t>When amounts are derived or expenditure is incurred with respect to an asset, or when the asset becomes stock-in-trade or a depreciable property, the Act may deem a disposal to occur for the relevant tax purpose.</w:t>
      </w:r>
    </w:p>
    <w:p>
      <w:pPr>
        <w:pStyle w:val="Heading2"/>
      </w:pPr>
      <w:r>
        <w:rPr>
          <w:b w:val="0"/>
          <w:i w:val="0"/>
        </w:rPr>
        <w:t>22.3 Net Gain from Assets and Liabilities</w:t>
      </w:r>
    </w:p>
    <w:p>
      <w:r>
        <w:rPr>
          <w:b w:val="0"/>
          <w:i w:val="0"/>
        </w:rPr>
        <w:t>Section 36 deals with the computation of net gain from assets and liabilities. For a business, the net gain from disposal of business assets or liabilities for an income year is computed by taking the total gains from such disposals during the year and deducting: losses from disposal of business assets or liabilities during the same year; unrelieved net losses of any other business of the person for that year; and unrelieved net losses of the business or any other business of that person from prior years. Losses not deductible because of the time limit under section 20(7) are also considered according to the Act.</w:t>
      </w:r>
    </w:p>
    <w:p>
      <w:r>
        <w:rPr>
          <w:b w:val="0"/>
          <w:i w:val="0"/>
        </w:rPr>
        <w:t>In formula form, net gain from business assets and liabilities is: total gains from disposal during the year minus current-year disposal losses, current-year unrelieved business losses, prior-year unrelieved business losses and other losses allowed by section 36.</w:t>
      </w:r>
    </w:p>
    <w:p>
      <w:pPr>
        <w:pStyle w:val="Heading3"/>
      </w:pPr>
      <w:r>
        <w:rPr>
          <w:b w:val="0"/>
          <w:i w:val="0"/>
        </w:rPr>
        <w:t>Example 22.3.1</w:t>
      </w:r>
    </w:p>
    <w:p>
      <w:r>
        <w:rPr>
          <w:b w:val="0"/>
          <w:i w:val="0"/>
        </w:rPr>
        <w:t>Suleman has two businesses: Suleman Kirana and Suleman Furniture Trade. In income year 2065/66, the kirana business has a net loss of Rs. 200,000. The furniture business has a current-year unrelieved loss of Rs. 300,000 and a prior-year unrelieved loss of Rs. 200,000 from income year 2064/65. During 2065/66, land used in the furniture business is sold for Rs. 5,000,000. The land had been purchased four years earlier for Rs. 2,000,000.</w:t>
      </w:r>
    </w:p>
    <w:tbl>
      <w:tblPr>
        <w:tblStyle w:val="TableGrid"/>
        <w:tblW w:type="auto" w:w="0"/>
        <w:jc w:val="center"/>
        <w:tblLook w:firstColumn="1" w:firstRow="1" w:lastColumn="0" w:lastRow="0" w:noHBand="0" w:noVBand="1" w:val="04A0"/>
      </w:tblPr>
      <w:tblGrid>
        <w:gridCol w:w="4946"/>
        <w:gridCol w:w="4946"/>
      </w:tblGrid>
      <w:tr>
        <w:trPr>
          <w:tblHeader w:val="true"/>
        </w:trPr>
        <w:tc>
          <w:tcPr>
            <w:tcW w:type="dxa" w:w="4946"/>
            <w:vAlign w:val="top"/>
            <w:shd w:fill="D9EAF7"/>
          </w:tcPr>
          <w:p>
            <w:r/>
            <w:r>
              <w:rPr>
                <w:b/>
                <w:sz w:val="18"/>
              </w:rPr>
              <w:t>Particulars</w:t>
            </w:r>
          </w:p>
        </w:tc>
        <w:tc>
          <w:tcPr>
            <w:tcW w:type="dxa" w:w="4946"/>
            <w:vAlign w:val="top"/>
            <w:shd w:fill="D9EAF7"/>
          </w:tcPr>
          <w:p>
            <w:r/>
            <w:r>
              <w:rPr>
                <w:b/>
                <w:sz w:val="18"/>
              </w:rPr>
              <w:t>Amount</w:t>
            </w:r>
          </w:p>
        </w:tc>
      </w:tr>
      <w:tr>
        <w:tc>
          <w:tcPr>
            <w:tcW w:type="dxa" w:w="4946"/>
            <w:vAlign w:val="top"/>
          </w:tcPr>
          <w:p>
            <w:r/>
            <w:r>
              <w:rPr>
                <w:b w:val="0"/>
                <w:sz w:val="18"/>
              </w:rPr>
              <w:t>Sale of land - incoming</w:t>
            </w:r>
          </w:p>
        </w:tc>
        <w:tc>
          <w:tcPr>
            <w:tcW w:type="dxa" w:w="4946"/>
            <w:vAlign w:val="top"/>
          </w:tcPr>
          <w:p>
            <w:r/>
            <w:r>
              <w:rPr>
                <w:b w:val="0"/>
                <w:sz w:val="18"/>
              </w:rPr>
              <w:t>Rs. 5,000,000</w:t>
            </w:r>
          </w:p>
        </w:tc>
      </w:tr>
      <w:tr>
        <w:tc>
          <w:tcPr>
            <w:tcW w:type="dxa" w:w="4946"/>
            <w:vAlign w:val="top"/>
          </w:tcPr>
          <w:p>
            <w:r/>
            <w:r>
              <w:rPr>
                <w:b w:val="0"/>
                <w:sz w:val="18"/>
              </w:rPr>
              <w:t>Less: cost of land - outgoing</w:t>
            </w:r>
          </w:p>
        </w:tc>
        <w:tc>
          <w:tcPr>
            <w:tcW w:type="dxa" w:w="4946"/>
            <w:vAlign w:val="top"/>
          </w:tcPr>
          <w:p>
            <w:r/>
            <w:r>
              <w:rPr>
                <w:b w:val="0"/>
                <w:sz w:val="18"/>
              </w:rPr>
              <w:t>Rs. 2,000,000</w:t>
            </w:r>
          </w:p>
        </w:tc>
      </w:tr>
      <w:tr>
        <w:tc>
          <w:tcPr>
            <w:tcW w:type="dxa" w:w="4946"/>
            <w:vAlign w:val="top"/>
          </w:tcPr>
          <w:p>
            <w:r/>
            <w:r>
              <w:rPr>
                <w:b w:val="0"/>
                <w:sz w:val="18"/>
              </w:rPr>
              <w:t>Gain before loss adjustment</w:t>
            </w:r>
          </w:p>
        </w:tc>
        <w:tc>
          <w:tcPr>
            <w:tcW w:type="dxa" w:w="4946"/>
            <w:vAlign w:val="top"/>
          </w:tcPr>
          <w:p>
            <w:r/>
            <w:r>
              <w:rPr>
                <w:b w:val="0"/>
                <w:sz w:val="18"/>
              </w:rPr>
              <w:t>Rs. 3,000,000</w:t>
            </w:r>
          </w:p>
        </w:tc>
      </w:tr>
      <w:tr>
        <w:tc>
          <w:tcPr>
            <w:tcW w:type="dxa" w:w="4946"/>
            <w:vAlign w:val="top"/>
          </w:tcPr>
          <w:p>
            <w:r/>
            <w:r>
              <w:rPr>
                <w:b w:val="0"/>
                <w:sz w:val="18"/>
              </w:rPr>
              <w:t>Less: current-year business losses</w:t>
            </w:r>
          </w:p>
        </w:tc>
        <w:tc>
          <w:tcPr>
            <w:tcW w:type="dxa" w:w="4946"/>
            <w:vAlign w:val="top"/>
          </w:tcPr>
          <w:p>
            <w:r/>
            <w:r>
              <w:rPr>
                <w:b w:val="0"/>
                <w:sz w:val="18"/>
              </w:rPr>
              <w:t>Rs. 500,000</w:t>
            </w:r>
          </w:p>
        </w:tc>
      </w:tr>
      <w:tr>
        <w:tc>
          <w:tcPr>
            <w:tcW w:type="dxa" w:w="4946"/>
            <w:vAlign w:val="top"/>
          </w:tcPr>
          <w:p>
            <w:r/>
            <w:r>
              <w:rPr>
                <w:b w:val="0"/>
                <w:sz w:val="18"/>
              </w:rPr>
              <w:t>Less: prior-year business loss</w:t>
            </w:r>
          </w:p>
        </w:tc>
        <w:tc>
          <w:tcPr>
            <w:tcW w:type="dxa" w:w="4946"/>
            <w:vAlign w:val="top"/>
          </w:tcPr>
          <w:p>
            <w:r/>
            <w:r>
              <w:rPr>
                <w:b w:val="0"/>
                <w:sz w:val="18"/>
              </w:rPr>
              <w:t>Rs. 200,000</w:t>
            </w:r>
          </w:p>
        </w:tc>
      </w:tr>
      <w:tr>
        <w:tc>
          <w:tcPr>
            <w:tcW w:type="dxa" w:w="4946"/>
            <w:vAlign w:val="top"/>
          </w:tcPr>
          <w:p>
            <w:r/>
            <w:r>
              <w:rPr>
                <w:b w:val="0"/>
                <w:sz w:val="18"/>
              </w:rPr>
              <w:t>Net gain</w:t>
            </w:r>
          </w:p>
        </w:tc>
        <w:tc>
          <w:tcPr>
            <w:tcW w:type="dxa" w:w="4946"/>
            <w:vAlign w:val="top"/>
          </w:tcPr>
          <w:p>
            <w:r/>
            <w:r>
              <w:rPr>
                <w:b w:val="0"/>
                <w:sz w:val="18"/>
              </w:rPr>
              <w:t>Rs. 2,300,000</w:t>
            </w:r>
          </w:p>
        </w:tc>
      </w:tr>
    </w:tbl>
    <w:p/>
    <w:p>
      <w:r>
        <w:rPr>
          <w:b w:val="0"/>
          <w:i w:val="0"/>
        </w:rPr>
        <w:t>The net gain from disposal of the business asset is included in business income under section 7(2)(c).</w:t>
      </w:r>
    </w:p>
    <w:p>
      <w:r>
        <w:rPr>
          <w:b w:val="0"/>
          <w:i w:val="0"/>
        </w:rPr>
        <w:t>For an investment, the net gain from disposal of a non-business taxable asset is computed by taking all gains from disposal of such assets and deducting losses from disposal of such assets during the year, unrelieved net losses from other business or investment during the year, and unrelieved net losses from prior years as permitted by the Act.</w:t>
      </w:r>
    </w:p>
    <w:p>
      <w:pPr>
        <w:pStyle w:val="Heading3"/>
      </w:pPr>
      <w:r>
        <w:rPr>
          <w:b w:val="0"/>
          <w:i w:val="0"/>
        </w:rPr>
        <w:t>Example 22.3.2</w:t>
      </w:r>
    </w:p>
    <w:p>
      <w:r>
        <w:rPr>
          <w:b w:val="0"/>
          <w:i w:val="0"/>
        </w:rPr>
        <w:t>Suleman, a natural person, has a loss of Rs. 200,000 from sale of shares in income year 2065/66. His furniture business has a current-year unrelieved loss of Rs. 300,000 and a prior-year loss of Rs. 200,000. He sells personal land, treated as a non-business taxable asset, for Rs. 6,000,000. The land cost Rs. 2,000,000.</w:t>
      </w:r>
    </w:p>
    <w:tbl>
      <w:tblPr>
        <w:tblStyle w:val="TableGrid"/>
        <w:tblW w:type="auto" w:w="0"/>
        <w:jc w:val="center"/>
        <w:tblLook w:firstColumn="1" w:firstRow="1" w:lastColumn="0" w:lastRow="0" w:noHBand="0" w:noVBand="1" w:val="04A0"/>
      </w:tblPr>
      <w:tblGrid>
        <w:gridCol w:w="4946"/>
        <w:gridCol w:w="4946"/>
      </w:tblGrid>
      <w:tr>
        <w:trPr>
          <w:tblHeader w:val="true"/>
        </w:trPr>
        <w:tc>
          <w:tcPr>
            <w:tcW w:type="dxa" w:w="4946"/>
            <w:vAlign w:val="top"/>
            <w:shd w:fill="D9EAF7"/>
          </w:tcPr>
          <w:p>
            <w:r/>
            <w:r>
              <w:rPr>
                <w:b/>
                <w:sz w:val="18"/>
              </w:rPr>
              <w:t>Particulars</w:t>
            </w:r>
          </w:p>
        </w:tc>
        <w:tc>
          <w:tcPr>
            <w:tcW w:type="dxa" w:w="4946"/>
            <w:vAlign w:val="top"/>
            <w:shd w:fill="D9EAF7"/>
          </w:tcPr>
          <w:p>
            <w:r/>
            <w:r>
              <w:rPr>
                <w:b/>
                <w:sz w:val="18"/>
              </w:rPr>
              <w:t>Amount</w:t>
            </w:r>
          </w:p>
        </w:tc>
      </w:tr>
      <w:tr>
        <w:tc>
          <w:tcPr>
            <w:tcW w:type="dxa" w:w="4946"/>
            <w:vAlign w:val="top"/>
          </w:tcPr>
          <w:p>
            <w:r/>
            <w:r>
              <w:rPr>
                <w:b w:val="0"/>
                <w:sz w:val="18"/>
              </w:rPr>
              <w:t>Sale of land</w:t>
            </w:r>
          </w:p>
        </w:tc>
        <w:tc>
          <w:tcPr>
            <w:tcW w:type="dxa" w:w="4946"/>
            <w:vAlign w:val="top"/>
          </w:tcPr>
          <w:p>
            <w:r/>
            <w:r>
              <w:rPr>
                <w:b w:val="0"/>
                <w:sz w:val="18"/>
              </w:rPr>
              <w:t>Rs. 6,000,000</w:t>
            </w:r>
          </w:p>
        </w:tc>
      </w:tr>
      <w:tr>
        <w:tc>
          <w:tcPr>
            <w:tcW w:type="dxa" w:w="4946"/>
            <w:vAlign w:val="top"/>
          </w:tcPr>
          <w:p>
            <w:r/>
            <w:r>
              <w:rPr>
                <w:b w:val="0"/>
                <w:sz w:val="18"/>
              </w:rPr>
              <w:t>Less: cost of land</w:t>
            </w:r>
          </w:p>
        </w:tc>
        <w:tc>
          <w:tcPr>
            <w:tcW w:type="dxa" w:w="4946"/>
            <w:vAlign w:val="top"/>
          </w:tcPr>
          <w:p>
            <w:r/>
            <w:r>
              <w:rPr>
                <w:b w:val="0"/>
                <w:sz w:val="18"/>
              </w:rPr>
              <w:t>Rs. 2,000,000</w:t>
            </w:r>
          </w:p>
        </w:tc>
      </w:tr>
      <w:tr>
        <w:tc>
          <w:tcPr>
            <w:tcW w:type="dxa" w:w="4946"/>
            <w:vAlign w:val="top"/>
          </w:tcPr>
          <w:p>
            <w:r/>
            <w:r>
              <w:rPr>
                <w:b w:val="0"/>
                <w:sz w:val="18"/>
              </w:rPr>
              <w:t>Gain</w:t>
            </w:r>
          </w:p>
        </w:tc>
        <w:tc>
          <w:tcPr>
            <w:tcW w:type="dxa" w:w="4946"/>
            <w:vAlign w:val="top"/>
          </w:tcPr>
          <w:p>
            <w:r/>
            <w:r>
              <w:rPr>
                <w:b w:val="0"/>
                <w:sz w:val="18"/>
              </w:rPr>
              <w:t>Rs. 4,000,000</w:t>
            </w:r>
          </w:p>
        </w:tc>
      </w:tr>
      <w:tr>
        <w:tc>
          <w:tcPr>
            <w:tcW w:type="dxa" w:w="4946"/>
            <w:vAlign w:val="top"/>
          </w:tcPr>
          <w:p>
            <w:r>
              <w:t>Less: loss from disposal of non-business taxable assets in the year</w:t>
            </w:r>
            <w:r>
              <w:rPr>
                <w:b w:val="0"/>
                <w:sz w:val="18"/>
              </w:rPr>
            </w:r>
          </w:p>
        </w:tc>
        <w:tc>
          <w:tcPr>
            <w:tcW w:type="dxa" w:w="4946"/>
            <w:vAlign w:val="top"/>
          </w:tcPr>
          <w:p>
            <w:r/>
            <w:r>
              <w:rPr>
                <w:b w:val="0"/>
                <w:sz w:val="18"/>
              </w:rPr>
              <w:t>Rs. 200,000</w:t>
            </w:r>
          </w:p>
        </w:tc>
      </w:tr>
      <w:tr>
        <w:tc>
          <w:tcPr>
            <w:tcW w:type="dxa" w:w="4946"/>
            <w:vAlign w:val="top"/>
          </w:tcPr>
          <w:p>
            <w:r/>
            <w:r>
              <w:rPr>
                <w:b w:val="0"/>
                <w:sz w:val="18"/>
              </w:rPr>
              <w:t>Less: current-year business loss</w:t>
            </w:r>
          </w:p>
        </w:tc>
        <w:tc>
          <w:tcPr>
            <w:tcW w:type="dxa" w:w="4946"/>
            <w:vAlign w:val="top"/>
          </w:tcPr>
          <w:p>
            <w:r/>
            <w:r>
              <w:rPr>
                <w:b w:val="0"/>
                <w:sz w:val="18"/>
              </w:rPr>
              <w:t>Rs. 300,000</w:t>
            </w:r>
          </w:p>
        </w:tc>
      </w:tr>
      <w:tr>
        <w:tc>
          <w:tcPr>
            <w:tcW w:type="dxa" w:w="4946"/>
            <w:vAlign w:val="top"/>
          </w:tcPr>
          <w:p>
            <w:r/>
            <w:r>
              <w:rPr>
                <w:b w:val="0"/>
                <w:sz w:val="18"/>
              </w:rPr>
              <w:t>Less: prior-year business loss</w:t>
            </w:r>
          </w:p>
        </w:tc>
        <w:tc>
          <w:tcPr>
            <w:tcW w:type="dxa" w:w="4946"/>
            <w:vAlign w:val="top"/>
          </w:tcPr>
          <w:p>
            <w:r/>
            <w:r>
              <w:rPr>
                <w:b w:val="0"/>
                <w:sz w:val="18"/>
              </w:rPr>
              <w:t>Rs. 200,000</w:t>
            </w:r>
          </w:p>
        </w:tc>
      </w:tr>
      <w:tr>
        <w:tc>
          <w:tcPr>
            <w:tcW w:type="dxa" w:w="4946"/>
            <w:vAlign w:val="top"/>
          </w:tcPr>
          <w:p>
            <w:r/>
            <w:r>
              <w:rPr>
                <w:b w:val="0"/>
                <w:sz w:val="18"/>
              </w:rPr>
              <w:t>Net gain</w:t>
            </w:r>
          </w:p>
        </w:tc>
        <w:tc>
          <w:tcPr>
            <w:tcW w:type="dxa" w:w="4946"/>
            <w:vAlign w:val="top"/>
          </w:tcPr>
          <w:p>
            <w:r/>
            <w:r>
              <w:rPr>
                <w:b w:val="0"/>
                <w:sz w:val="18"/>
              </w:rPr>
              <w:t>Rs. 3,300,000</w:t>
            </w:r>
          </w:p>
        </w:tc>
      </w:tr>
    </w:tbl>
    <w:p/>
    <w:p>
      <w:r>
        <w:rPr>
          <w:b w:val="0"/>
          <w:i w:val="0"/>
        </w:rPr>
        <w:t>The net gain from a non-business taxable asset used in investment is included in investment income under section 9(2)(b).</w:t>
      </w:r>
    </w:p>
    <w:p>
      <w:r>
        <w:rPr>
          <w:b w:val="0"/>
          <w:i w:val="0"/>
        </w:rPr>
        <w:t>Loss from a foreign-source asset or liability is deductible only against foreign-source gain as permitted by section 36. Computations of foreign-source gains and losses are made separately on a per-country basis.</w:t>
      </w:r>
    </w:p>
    <w:p>
      <w:pPr>
        <w:pStyle w:val="Heading3"/>
      </w:pPr>
      <w:r>
        <w:rPr>
          <w:b w:val="0"/>
          <w:i w:val="0"/>
        </w:rPr>
        <w:t>Example 22.3.3</w:t>
      </w:r>
    </w:p>
    <w:p>
      <w:r>
        <w:rPr>
          <w:b w:val="0"/>
          <w:i w:val="0"/>
        </w:rPr>
        <w:t>Suleman, a resident natural person, has a Rs. 500,000 loss from sale of shares situated in India, a Rs. 200,000 loss from a business in Nepal, and a Rs. 300,000 loss from a furniture industry in India. He had a prior-year unrelieved loss of Rs. 2,000,000 from sale of business land in India. In the current year, another land of the Indian industry is sold for Rs. 6,000,000 and had cost Rs. 2,000,000.</w:t>
      </w:r>
    </w:p>
    <w:tbl>
      <w:tblPr>
        <w:tblStyle w:val="TableGrid"/>
        <w:tblW w:type="auto" w:w="0"/>
        <w:jc w:val="center"/>
        <w:tblLook w:firstColumn="1" w:firstRow="1" w:lastColumn="0" w:lastRow="0" w:noHBand="0" w:noVBand="1" w:val="04A0"/>
      </w:tblPr>
      <w:tblGrid>
        <w:gridCol w:w="4946"/>
        <w:gridCol w:w="4946"/>
      </w:tblGrid>
      <w:tr>
        <w:trPr>
          <w:tblHeader w:val="true"/>
        </w:trPr>
        <w:tc>
          <w:tcPr>
            <w:tcW w:type="dxa" w:w="4946"/>
            <w:vAlign w:val="top"/>
            <w:shd w:fill="D9EAF7"/>
          </w:tcPr>
          <w:p>
            <w:r/>
            <w:r>
              <w:rPr>
                <w:b/>
                <w:sz w:val="18"/>
              </w:rPr>
              <w:t>Particulars</w:t>
            </w:r>
          </w:p>
        </w:tc>
        <w:tc>
          <w:tcPr>
            <w:tcW w:type="dxa" w:w="4946"/>
            <w:vAlign w:val="top"/>
            <w:shd w:fill="D9EAF7"/>
          </w:tcPr>
          <w:p>
            <w:r/>
            <w:r>
              <w:rPr>
                <w:b/>
                <w:sz w:val="18"/>
              </w:rPr>
              <w:t>Amount</w:t>
            </w:r>
          </w:p>
        </w:tc>
      </w:tr>
      <w:tr>
        <w:tc>
          <w:tcPr>
            <w:tcW w:type="dxa" w:w="4946"/>
            <w:vAlign w:val="top"/>
          </w:tcPr>
          <w:p>
            <w:r/>
            <w:r>
              <w:rPr>
                <w:b w:val="0"/>
                <w:sz w:val="18"/>
              </w:rPr>
              <w:t>Sale of land in India</w:t>
            </w:r>
          </w:p>
        </w:tc>
        <w:tc>
          <w:tcPr>
            <w:tcW w:type="dxa" w:w="4946"/>
            <w:vAlign w:val="top"/>
          </w:tcPr>
          <w:p>
            <w:r/>
            <w:r>
              <w:rPr>
                <w:b w:val="0"/>
                <w:sz w:val="18"/>
              </w:rPr>
              <w:t>Rs. 6,000,000</w:t>
            </w:r>
          </w:p>
        </w:tc>
      </w:tr>
      <w:tr>
        <w:tc>
          <w:tcPr>
            <w:tcW w:type="dxa" w:w="4946"/>
            <w:vAlign w:val="top"/>
          </w:tcPr>
          <w:p>
            <w:r/>
            <w:r>
              <w:rPr>
                <w:b w:val="0"/>
                <w:sz w:val="18"/>
              </w:rPr>
              <w:t>Less: cost of land</w:t>
            </w:r>
          </w:p>
        </w:tc>
        <w:tc>
          <w:tcPr>
            <w:tcW w:type="dxa" w:w="4946"/>
            <w:vAlign w:val="top"/>
          </w:tcPr>
          <w:p>
            <w:r/>
            <w:r>
              <w:rPr>
                <w:b w:val="0"/>
                <w:sz w:val="18"/>
              </w:rPr>
              <w:t>Rs. 2,000,000</w:t>
            </w:r>
          </w:p>
        </w:tc>
      </w:tr>
      <w:tr>
        <w:tc>
          <w:tcPr>
            <w:tcW w:type="dxa" w:w="4946"/>
            <w:vAlign w:val="top"/>
          </w:tcPr>
          <w:p>
            <w:r/>
            <w:r>
              <w:rPr>
                <w:b w:val="0"/>
                <w:sz w:val="18"/>
              </w:rPr>
              <w:t>Gain</w:t>
            </w:r>
          </w:p>
        </w:tc>
        <w:tc>
          <w:tcPr>
            <w:tcW w:type="dxa" w:w="4946"/>
            <w:vAlign w:val="top"/>
          </w:tcPr>
          <w:p>
            <w:r/>
            <w:r>
              <w:rPr>
                <w:b w:val="0"/>
                <w:sz w:val="18"/>
              </w:rPr>
              <w:t>Rs. 4,000,000</w:t>
            </w:r>
          </w:p>
        </w:tc>
      </w:tr>
      <w:tr>
        <w:tc>
          <w:tcPr>
            <w:tcW w:type="dxa" w:w="4946"/>
            <w:vAlign w:val="top"/>
          </w:tcPr>
          <w:p>
            <w:r/>
            <w:r>
              <w:rPr>
                <w:b w:val="0"/>
                <w:sz w:val="18"/>
              </w:rPr>
              <w:t>Less: loss of Indian furniture industry</w:t>
            </w:r>
          </w:p>
        </w:tc>
        <w:tc>
          <w:tcPr>
            <w:tcW w:type="dxa" w:w="4946"/>
            <w:vAlign w:val="top"/>
          </w:tcPr>
          <w:p>
            <w:r/>
            <w:r>
              <w:rPr>
                <w:b w:val="0"/>
                <w:sz w:val="18"/>
              </w:rPr>
              <w:t>Rs. 300,000</w:t>
            </w:r>
          </w:p>
        </w:tc>
      </w:tr>
      <w:tr>
        <w:tc>
          <w:tcPr>
            <w:tcW w:type="dxa" w:w="4946"/>
            <w:vAlign w:val="top"/>
          </w:tcPr>
          <w:p>
            <w:r/>
            <w:r>
              <w:rPr>
                <w:b w:val="0"/>
                <w:sz w:val="18"/>
              </w:rPr>
              <w:t>Less: prior-year loss from Indian business asset</w:t>
            </w:r>
          </w:p>
        </w:tc>
        <w:tc>
          <w:tcPr>
            <w:tcW w:type="dxa" w:w="4946"/>
            <w:vAlign w:val="top"/>
          </w:tcPr>
          <w:p>
            <w:r/>
            <w:r>
              <w:rPr>
                <w:b w:val="0"/>
                <w:sz w:val="18"/>
              </w:rPr>
              <w:t>Rs. 2,000,000</w:t>
            </w:r>
          </w:p>
        </w:tc>
      </w:tr>
      <w:tr>
        <w:tc>
          <w:tcPr>
            <w:tcW w:type="dxa" w:w="4946"/>
            <w:vAlign w:val="top"/>
          </w:tcPr>
          <w:p>
            <w:r/>
            <w:r>
              <w:rPr>
                <w:b w:val="0"/>
                <w:sz w:val="18"/>
              </w:rPr>
              <w:t>Less: loss from Indian shares</w:t>
            </w:r>
          </w:p>
        </w:tc>
        <w:tc>
          <w:tcPr>
            <w:tcW w:type="dxa" w:w="4946"/>
            <w:vAlign w:val="top"/>
          </w:tcPr>
          <w:p>
            <w:r/>
            <w:r>
              <w:rPr>
                <w:b w:val="0"/>
                <w:sz w:val="18"/>
              </w:rPr>
              <w:t>Rs. 500,000</w:t>
            </w:r>
          </w:p>
        </w:tc>
      </w:tr>
      <w:tr>
        <w:tc>
          <w:tcPr>
            <w:tcW w:type="dxa" w:w="4946"/>
            <w:vAlign w:val="top"/>
          </w:tcPr>
          <w:p>
            <w:r/>
            <w:r>
              <w:rPr>
                <w:b w:val="0"/>
                <w:sz w:val="18"/>
              </w:rPr>
              <w:t>Less: loss from Nepal-source business</w:t>
            </w:r>
          </w:p>
        </w:tc>
        <w:tc>
          <w:tcPr>
            <w:tcW w:type="dxa" w:w="4946"/>
            <w:vAlign w:val="top"/>
          </w:tcPr>
          <w:p>
            <w:r/>
            <w:r>
              <w:rPr>
                <w:b w:val="0"/>
                <w:sz w:val="18"/>
              </w:rPr>
              <w:t>Rs. 200,000</w:t>
            </w:r>
          </w:p>
        </w:tc>
      </w:tr>
      <w:tr>
        <w:tc>
          <w:tcPr>
            <w:tcW w:type="dxa" w:w="4946"/>
            <w:vAlign w:val="top"/>
          </w:tcPr>
          <w:p>
            <w:r/>
            <w:r>
              <w:rPr>
                <w:b w:val="0"/>
                <w:sz w:val="18"/>
              </w:rPr>
              <w:t>Net gain shown in the directive</w:t>
            </w:r>
          </w:p>
        </w:tc>
        <w:tc>
          <w:tcPr>
            <w:tcW w:type="dxa" w:w="4946"/>
            <w:vAlign w:val="top"/>
          </w:tcPr>
          <w:p>
            <w:r/>
            <w:r>
              <w:rPr>
                <w:b w:val="0"/>
                <w:sz w:val="18"/>
              </w:rPr>
              <w:t>Rs. 1,000,000</w:t>
            </w:r>
          </w:p>
        </w:tc>
      </w:tr>
    </w:tbl>
    <w:p/>
    <w:p>
      <w:r>
        <w:rPr>
          <w:b w:val="0"/>
          <w:i w:val="0"/>
        </w:rPr>
        <w:t>Where a loss may be deducted in more than one computation, the person may choose the computation in which the loss or part of the loss is deducted. If more than one foreign country is involved, the foreign-source computation is made separately for each country.</w:t>
      </w:r>
    </w:p>
    <w:p>
      <w:pPr>
        <w:pStyle w:val="Heading3"/>
      </w:pPr>
      <w:r>
        <w:rPr>
          <w:b w:val="0"/>
          <w:i w:val="0"/>
        </w:rPr>
        <w:t>Example 22.3.4</w:t>
      </w:r>
    </w:p>
    <w:p>
      <w:r>
        <w:rPr>
          <w:b w:val="0"/>
          <w:i w:val="0"/>
        </w:rPr>
        <w:t>If a person has a Rs. 50,000 gain from disposal of a business asset, a Rs. 30,000 prior-year loss from disposal of business assets, and a Rs. 10,000 foreign-source asset loss, the Rs. 30,000 prior-year business disposal loss may be deducted against the Nepal-source gain, but the Rs. 10,000 foreign-source loss may not be deducted from the Nepal-source gain. Foreign-source gains and losses are computed separately by country.</w:t>
      </w:r>
    </w:p>
    <w:p>
      <w:pPr>
        <w:pStyle w:val="Heading2"/>
      </w:pPr>
      <w:r>
        <w:rPr>
          <w:b w:val="0"/>
          <w:i w:val="0"/>
        </w:rPr>
        <w:t>22.4 Gain and Loss from Assets and Liabilities</w:t>
      </w:r>
    </w:p>
    <w:p>
      <w:r>
        <w:rPr>
          <w:b w:val="0"/>
          <w:i w:val="0"/>
        </w:rPr>
        <w:t>Under section 37, a gain from disposal of an asset or liability is the excess of the total incomings over the total outgoings at the time of disposal. A loss is the excess of the total outgoings over the total incomings. Thus, gain or loss is determined by comparing the incomings derived from the disposal with the outgoings relating to the asset or liability.</w:t>
      </w:r>
    </w:p>
    <w:p>
      <w:pPr>
        <w:pStyle w:val="Heading3"/>
      </w:pPr>
      <w:r>
        <w:rPr>
          <w:b w:val="0"/>
          <w:i w:val="0"/>
        </w:rPr>
        <w:t>Example 22.4.1</w:t>
      </w:r>
    </w:p>
    <w:p>
      <w:r>
        <w:rPr>
          <w:b w:val="0"/>
          <w:i w:val="0"/>
        </w:rPr>
        <w:t>A natural person sells a house constructed one year earlier. The cost of land and construction up to the time of sale is Rs. 12,000,000. Selling expenses are Rs. 20,000. Total outgoings are therefore Rs. 12,020,000.</w:t>
      </w:r>
    </w:p>
    <w:p>
      <w:pPr>
        <w:pStyle w:val="ListBullet"/>
      </w:pPr>
      <w:r>
        <w:rPr>
          <w:b w:val="0"/>
          <w:i w:val="0"/>
        </w:rPr>
        <w:t>If the sale proceeds are Rs. 12,500,000, gain is Rs. 480,000.</w:t>
      </w:r>
    </w:p>
    <w:p>
      <w:pPr>
        <w:pStyle w:val="ListBullet"/>
      </w:pPr>
      <w:r>
        <w:rPr>
          <w:b w:val="0"/>
          <w:i w:val="0"/>
        </w:rPr>
        <w:t>If the sale proceeds are Rs. 11,900,000, loss is Rs. 120,000.</w:t>
      </w:r>
    </w:p>
    <w:p>
      <w:pPr>
        <w:pStyle w:val="Heading2"/>
      </w:pPr>
      <w:r>
        <w:rPr>
          <w:b w:val="0"/>
          <w:i w:val="0"/>
        </w:rPr>
        <w:t>22.5 Outgoings and Net Outgoings for Assets and Liabilities</w:t>
      </w:r>
    </w:p>
    <w:p>
      <w:r>
        <w:rPr>
          <w:b w:val="0"/>
          <w:i w:val="0"/>
        </w:rPr>
        <w:t>Section 38 provides that outgoings for an asset or liability include costs incurred to acquire the asset, costs of construction or production, amounts included in income because of acquisition of the asset, costs incurred in taking ownership or bearing the liability, costs of alteration, improvement and repair, costs incurred on disposal, and incidental costs of acquisition, assumption and disposal. However, expenses disallowed by section 21(1)(a) to (e) and expenses deductible in computing income are not included again as outgoings.</w:t>
      </w:r>
    </w:p>
    <w:p>
      <w:r>
        <w:rPr>
          <w:b w:val="0"/>
          <w:i w:val="0"/>
        </w:rPr>
        <w:t>Accordingly, outgoings include amounts paid at inception, amounts paid during the holding period, amounts paid on disposal, and amounts on which tax was paid because the asset or liability was received. Private expenses and expenses not related to the asset or liability are excluded.</w:t>
      </w:r>
    </w:p>
    <w:p>
      <w:pPr>
        <w:pStyle w:val="Heading3"/>
      </w:pPr>
      <w:r>
        <w:rPr>
          <w:b w:val="0"/>
          <w:i w:val="0"/>
        </w:rPr>
        <w:t>Example 22.5.1</w:t>
      </w:r>
    </w:p>
    <w:p>
      <w:r>
        <w:rPr>
          <w:b w:val="0"/>
          <w:i w:val="0"/>
        </w:rPr>
        <w:t>Gopal Sapkota bought land in income year 2060/61 for Rs. 4,000,000. He paid broker commission of Rs. 200,000, document and registration expenses of Rs. 175,000, and Rs. 300,000 for a compound wall. He borrowed from a bank and paid interest of Rs. 700,000 up to the sale date. In income year 2066/67 he sold the land for Rs. 10,000,000 and paid selling commission of Rs. 300,000. He also spent Rs. 50,000 on a party for friends to celebrate the purchase of the land.</w:t>
      </w:r>
    </w:p>
    <w:tbl>
      <w:tblPr>
        <w:tblStyle w:val="TableGrid"/>
        <w:tblW w:type="auto" w:w="0"/>
        <w:jc w:val="center"/>
        <w:tblLook w:firstColumn="1" w:firstRow="1" w:lastColumn="0" w:lastRow="0" w:noHBand="0" w:noVBand="1" w:val="04A0"/>
      </w:tblPr>
      <w:tblGrid>
        <w:gridCol w:w="4946"/>
        <w:gridCol w:w="4946"/>
      </w:tblGrid>
      <w:tr>
        <w:trPr>
          <w:tblHeader w:val="true"/>
        </w:trPr>
        <w:tc>
          <w:tcPr>
            <w:tcW w:type="dxa" w:w="4946"/>
            <w:vAlign w:val="top"/>
            <w:shd w:fill="D9EAF7"/>
          </w:tcPr>
          <w:p>
            <w:r/>
            <w:r>
              <w:rPr>
                <w:b/>
                <w:sz w:val="18"/>
              </w:rPr>
              <w:t>Particulars included in outgoings</w:t>
            </w:r>
          </w:p>
        </w:tc>
        <w:tc>
          <w:tcPr>
            <w:tcW w:type="dxa" w:w="4946"/>
            <w:vAlign w:val="top"/>
            <w:shd w:fill="D9EAF7"/>
          </w:tcPr>
          <w:p>
            <w:r/>
            <w:r>
              <w:rPr>
                <w:b/>
                <w:sz w:val="18"/>
              </w:rPr>
              <w:t>Amount</w:t>
            </w:r>
          </w:p>
        </w:tc>
      </w:tr>
      <w:tr>
        <w:tc>
          <w:tcPr>
            <w:tcW w:type="dxa" w:w="4946"/>
            <w:vAlign w:val="top"/>
          </w:tcPr>
          <w:p>
            <w:r/>
            <w:r>
              <w:rPr>
                <w:b w:val="0"/>
                <w:sz w:val="18"/>
              </w:rPr>
              <w:t>Purchase price of land</w:t>
            </w:r>
          </w:p>
        </w:tc>
        <w:tc>
          <w:tcPr>
            <w:tcW w:type="dxa" w:w="4946"/>
            <w:vAlign w:val="top"/>
          </w:tcPr>
          <w:p>
            <w:r/>
            <w:r>
              <w:rPr>
                <w:b w:val="0"/>
                <w:sz w:val="18"/>
              </w:rPr>
              <w:t>Rs. 4,000,000</w:t>
            </w:r>
          </w:p>
        </w:tc>
      </w:tr>
      <w:tr>
        <w:tc>
          <w:tcPr>
            <w:tcW w:type="dxa" w:w="4946"/>
            <w:vAlign w:val="top"/>
          </w:tcPr>
          <w:p>
            <w:r/>
            <w:r>
              <w:rPr>
                <w:b w:val="0"/>
                <w:sz w:val="18"/>
              </w:rPr>
              <w:t>Broker commission on purchase</w:t>
            </w:r>
          </w:p>
        </w:tc>
        <w:tc>
          <w:tcPr>
            <w:tcW w:type="dxa" w:w="4946"/>
            <w:vAlign w:val="top"/>
          </w:tcPr>
          <w:p>
            <w:r/>
            <w:r>
              <w:rPr>
                <w:b w:val="0"/>
                <w:sz w:val="18"/>
              </w:rPr>
              <w:t>Rs. 200,000</w:t>
            </w:r>
          </w:p>
        </w:tc>
      </w:tr>
      <w:tr>
        <w:tc>
          <w:tcPr>
            <w:tcW w:type="dxa" w:w="4946"/>
            <w:vAlign w:val="top"/>
          </w:tcPr>
          <w:p>
            <w:r/>
            <w:r>
              <w:rPr>
                <w:b w:val="0"/>
                <w:sz w:val="18"/>
              </w:rPr>
              <w:t>Document and registration expenses</w:t>
            </w:r>
          </w:p>
        </w:tc>
        <w:tc>
          <w:tcPr>
            <w:tcW w:type="dxa" w:w="4946"/>
            <w:vAlign w:val="top"/>
          </w:tcPr>
          <w:p>
            <w:r/>
            <w:r>
              <w:rPr>
                <w:b w:val="0"/>
                <w:sz w:val="18"/>
              </w:rPr>
              <w:t>Rs. 175,000</w:t>
            </w:r>
          </w:p>
        </w:tc>
      </w:tr>
      <w:tr>
        <w:tc>
          <w:tcPr>
            <w:tcW w:type="dxa" w:w="4946"/>
            <w:vAlign w:val="top"/>
          </w:tcPr>
          <w:p>
            <w:r/>
            <w:r>
              <w:rPr>
                <w:b w:val="0"/>
                <w:sz w:val="18"/>
              </w:rPr>
              <w:t>Compound wall</w:t>
            </w:r>
          </w:p>
        </w:tc>
        <w:tc>
          <w:tcPr>
            <w:tcW w:type="dxa" w:w="4946"/>
            <w:vAlign w:val="top"/>
          </w:tcPr>
          <w:p>
            <w:r/>
            <w:r>
              <w:rPr>
                <w:b w:val="0"/>
                <w:sz w:val="18"/>
              </w:rPr>
              <w:t>Rs. 300,000</w:t>
            </w:r>
          </w:p>
        </w:tc>
      </w:tr>
      <w:tr>
        <w:tc>
          <w:tcPr>
            <w:tcW w:type="dxa" w:w="4946"/>
            <w:vAlign w:val="top"/>
          </w:tcPr>
          <w:p>
            <w:r/>
            <w:r>
              <w:rPr>
                <w:b w:val="0"/>
                <w:sz w:val="18"/>
              </w:rPr>
              <w:t>Interest related to purchase/holding of the land</w:t>
            </w:r>
          </w:p>
        </w:tc>
        <w:tc>
          <w:tcPr>
            <w:tcW w:type="dxa" w:w="4946"/>
            <w:vAlign w:val="top"/>
          </w:tcPr>
          <w:p>
            <w:r/>
            <w:r>
              <w:rPr>
                <w:b w:val="0"/>
                <w:sz w:val="18"/>
              </w:rPr>
              <w:t>Rs. 700,000</w:t>
            </w:r>
          </w:p>
        </w:tc>
      </w:tr>
      <w:tr>
        <w:tc>
          <w:tcPr>
            <w:tcW w:type="dxa" w:w="4946"/>
            <w:vAlign w:val="top"/>
          </w:tcPr>
          <w:p>
            <w:r/>
            <w:r>
              <w:rPr>
                <w:b w:val="0"/>
                <w:sz w:val="18"/>
              </w:rPr>
              <w:t>Broker commission on sale</w:t>
            </w:r>
          </w:p>
        </w:tc>
        <w:tc>
          <w:tcPr>
            <w:tcW w:type="dxa" w:w="4946"/>
            <w:vAlign w:val="top"/>
          </w:tcPr>
          <w:p>
            <w:r/>
            <w:r>
              <w:rPr>
                <w:b w:val="0"/>
                <w:sz w:val="18"/>
              </w:rPr>
              <w:t>Rs. 300,000</w:t>
            </w:r>
          </w:p>
        </w:tc>
      </w:tr>
      <w:tr>
        <w:tc>
          <w:tcPr>
            <w:tcW w:type="dxa" w:w="4946"/>
            <w:vAlign w:val="top"/>
          </w:tcPr>
          <w:p>
            <w:r/>
            <w:r>
              <w:rPr>
                <w:b w:val="0"/>
                <w:sz w:val="18"/>
              </w:rPr>
              <w:t>Personal celebration expense</w:t>
            </w:r>
          </w:p>
        </w:tc>
        <w:tc>
          <w:tcPr>
            <w:tcW w:type="dxa" w:w="4946"/>
            <w:vAlign w:val="top"/>
          </w:tcPr>
          <w:p>
            <w:r/>
            <w:r>
              <w:rPr>
                <w:b w:val="0"/>
                <w:sz w:val="18"/>
              </w:rPr>
              <w:t>Not included</w:t>
            </w:r>
          </w:p>
        </w:tc>
      </w:tr>
      <w:tr>
        <w:tc>
          <w:tcPr>
            <w:tcW w:type="dxa" w:w="4946"/>
            <w:vAlign w:val="top"/>
          </w:tcPr>
          <w:p>
            <w:r/>
            <w:r>
              <w:rPr>
                <w:b w:val="0"/>
                <w:sz w:val="18"/>
              </w:rPr>
              <w:t>Total outgoings included</w:t>
            </w:r>
          </w:p>
        </w:tc>
        <w:tc>
          <w:tcPr>
            <w:tcW w:type="dxa" w:w="4946"/>
            <w:vAlign w:val="top"/>
          </w:tcPr>
          <w:p>
            <w:r/>
            <w:r>
              <w:rPr>
                <w:b w:val="0"/>
                <w:sz w:val="18"/>
              </w:rPr>
              <w:t>Rs. 5,675,000</w:t>
            </w:r>
          </w:p>
        </w:tc>
      </w:tr>
    </w:tbl>
    <w:p/>
    <w:p>
      <w:pPr>
        <w:pStyle w:val="Heading3"/>
      </w:pPr>
      <w:r>
        <w:rPr>
          <w:b w:val="0"/>
          <w:i w:val="0"/>
        </w:rPr>
        <w:t>Example 22.5.2</w:t>
      </w:r>
    </w:p>
    <w:p>
      <w:r>
        <w:rPr>
          <w:b w:val="0"/>
          <w:i w:val="0"/>
        </w:rPr>
        <w:t>Where a foreign government provides a residence in Nepal to its citizen Michel and he later transfers an interest in that asset, the value included in Michel's income because of the receipt of the asset is included in the cost base/outgoings of that asset, to the extent permitted by the Act. This prevents the same value from being taxed again without corresponding recognition of cost.</w:t>
      </w:r>
    </w:p>
    <w:p>
      <w:pPr>
        <w:pStyle w:val="Heading3"/>
      </w:pPr>
      <w:r>
        <w:rPr>
          <w:b w:val="0"/>
          <w:i w:val="0"/>
        </w:rPr>
        <w:t>Example 22.5.3</w:t>
      </w:r>
    </w:p>
    <w:p>
      <w:r>
        <w:rPr>
          <w:b w:val="0"/>
          <w:i w:val="0"/>
        </w:rPr>
        <w:t>Gopesh and Company Pvt. Ltd. pays Rs. 4,000,000 for land and bears additional acquisition costs. When computing gain or loss on disposal, the acquisition cost, registration and related incidental expenses that are not otherwise deducted are included in the outgoings. Expenses already deducted in computing business income are not included again in the cost base.</w:t>
      </w:r>
    </w:p>
    <w:p>
      <w:r>
        <w:rPr>
          <w:b w:val="0"/>
          <w:i w:val="0"/>
        </w:rPr>
        <w:t>Net outgoings are obtained by reducing total outgoings by any amounts already treated under other provisions in a manner that would otherwise duplicate relief. The directive stresses that the cost base should be determined only once and should not allow double deduction.</w:t>
      </w:r>
    </w:p>
    <w:p>
      <w:pPr>
        <w:pStyle w:val="Heading2"/>
      </w:pPr>
      <w:r>
        <w:rPr>
          <w:b w:val="0"/>
          <w:i w:val="0"/>
        </w:rPr>
        <w:t>22.6 Incomings and Net Incomings for Assets and Liabilities</w:t>
      </w:r>
    </w:p>
    <w:p>
      <w:r>
        <w:rPr>
          <w:b w:val="0"/>
          <w:i w:val="0"/>
        </w:rPr>
        <w:t>Section 39 deals with incomings. Incomings for an asset or liability generally include amounts derived by a person from owning the asset or bearing the liability and amounts derived on disposal. Amounts received as compensation, insurance proceeds, indemnities, or other consideration related to the asset or liability may be included. Incomings also include amounts included in income because a liability is assumed or discharged, as applicable.</w:t>
      </w:r>
    </w:p>
    <w:p>
      <w:r>
        <w:rPr>
          <w:b w:val="0"/>
          <w:i w:val="0"/>
        </w:rPr>
        <w:t>In computing gain or loss, only amounts related to the relevant asset or liability are included. Amounts already included in income under another provision in a way that would duplicate taxation are dealt with according to the Act. Net incomings are determined after applying these adjustment rules.</w:t>
      </w:r>
    </w:p>
    <w:p>
      <w:pPr>
        <w:pStyle w:val="Heading2"/>
      </w:pPr>
      <w:r>
        <w:rPr>
          <w:b w:val="0"/>
          <w:i w:val="0"/>
        </w:rPr>
        <w:t>22.7 Disposal of Asset or Liability</w:t>
      </w:r>
    </w:p>
    <w:p>
      <w:r>
        <w:rPr>
          <w:b w:val="0"/>
          <w:i w:val="0"/>
        </w:rPr>
        <w:t>Section 40 explains when an asset or liability is disposed of. A person disposes of an asset when the person's ownership in the asset is removed. This includes distribution of the asset, merger of the asset with another asset or liability, sale under instalment sale, lease under a financial lease, cancellation, destruction, loss, expiry or surrender. A person disposes of a liability when that person ceases to bear the liability, including by settlement, cancellation, release, discharge, merger or termination.</w:t>
      </w:r>
    </w:p>
    <w:p>
      <w:r>
        <w:rPr>
          <w:b w:val="0"/>
          <w:i w:val="0"/>
        </w:rPr>
        <w:t>The directive also explains several deemed disposals. A natural person is treated as disposing of assets and liabilities immediately before death. An asset may be treated as disposed of when incomings and outgoings relating to it are fully realised, when it begins to be treated as stock-in-trade, or when it begins to be treated as a depreciable property. Similar character changes may trigger the computation required by the Act.</w:t>
      </w:r>
    </w:p>
    <w:p>
      <w:pPr>
        <w:pStyle w:val="Heading3"/>
      </w:pPr>
      <w:r>
        <w:rPr>
          <w:b w:val="0"/>
          <w:i w:val="0"/>
        </w:rPr>
        <w:t>Example 22.7.1</w:t>
      </w:r>
    </w:p>
    <w:p>
      <w:r>
        <w:rPr>
          <w:b w:val="0"/>
          <w:i w:val="0"/>
        </w:rPr>
        <w:t>Medico Nepal Pvt. Ltd. is a pharmaceutical producer. If an asset used by the company is destroyed or otherwise removed from its ownership, the relevant disposal rules apply. Amounts received as compensation or insurance are treated as incomings and the remaining cost base is treated as outgoings according to sections 37 to 40.</w:t>
      </w:r>
    </w:p>
    <w:p>
      <w:pPr>
        <w:pStyle w:val="Heading3"/>
      </w:pPr>
      <w:r>
        <w:rPr>
          <w:b w:val="0"/>
          <w:i w:val="0"/>
        </w:rPr>
        <w:t>Example 22.7.2</w:t>
      </w:r>
    </w:p>
    <w:p>
      <w:r>
        <w:rPr>
          <w:b w:val="0"/>
          <w:i w:val="0"/>
        </w:rPr>
        <w:t>Mahendra Malla had purchased land in Nepalgunj for Rs. 10,000,000 on 2064/3/15. If the land is sold or transferred, the disposal occurs at the time ownership is transferred and gain or loss is computed by comparing the incomings with the outgoings.</w:t>
      </w:r>
    </w:p>
    <w:p>
      <w:pPr>
        <w:pStyle w:val="Heading3"/>
      </w:pPr>
      <w:r>
        <w:rPr>
          <w:b w:val="0"/>
          <w:i w:val="0"/>
        </w:rPr>
        <w:t>Example 22.7.3</w:t>
      </w:r>
    </w:p>
    <w:p>
      <w:r>
        <w:rPr>
          <w:b w:val="0"/>
          <w:i w:val="0"/>
        </w:rPr>
        <w:t>Where a company has a depreciation pool at the beginning of the year and disposes of a depreciable property belonging to that pool, the amount derived on disposal is dealt with under Schedule 2. The excess over the depreciation basis may be included in income, and the remaining pool is adjusted under the depreciation rules.</w:t>
      </w:r>
    </w:p>
    <w:p>
      <w:pPr>
        <w:pStyle w:val="Heading3"/>
      </w:pPr>
      <w:r>
        <w:rPr>
          <w:b w:val="0"/>
          <w:i w:val="0"/>
        </w:rPr>
        <w:t>Example 22.7.4</w:t>
      </w:r>
    </w:p>
    <w:p>
      <w:r>
        <w:rPr>
          <w:b w:val="0"/>
          <w:i w:val="0"/>
        </w:rPr>
        <w:t>Suntali and Company Pvt. Ltd. is a real estate company. Houses or land held for sale by a real estate business are generally stock-in-trade. The sale of such assets is treated as sale of stock-in-trade, not as disposal of a non-business taxable asset. The character of the asset depends on the purpose and manner of holding it.</w:t>
      </w:r>
    </w:p>
    <w:p>
      <w:pPr>
        <w:pStyle w:val="Heading3"/>
      </w:pPr>
      <w:r>
        <w:rPr>
          <w:b w:val="0"/>
          <w:i w:val="0"/>
        </w:rPr>
        <w:t>Example 22.7.5</w:t>
      </w:r>
    </w:p>
    <w:p>
      <w:r>
        <w:rPr>
          <w:b w:val="0"/>
          <w:i w:val="0"/>
        </w:rPr>
        <w:t>If Shailesh was a resident of Nepal up to income year 2064/65 and thereafter ceases to be a resident, the Act may deem a disposal of certain assets or liabilities at the time of the change, subject to the retention rules explained in section 22.8.</w:t>
      </w:r>
    </w:p>
    <w:p>
      <w:pPr>
        <w:pStyle w:val="Heading2"/>
      </w:pPr>
      <w:r>
        <w:rPr>
          <w:b w:val="0"/>
          <w:i w:val="0"/>
        </w:rPr>
        <w:t>22.8 Disposal with Retention of Asset or Liability</w:t>
      </w:r>
    </w:p>
    <w:p>
      <w:r>
        <w:rPr>
          <w:b w:val="0"/>
          <w:i w:val="0"/>
        </w:rPr>
        <w:t>Section 41 deals with the situation where a person is treated as disposing of an asset or liability but continues to hold or bear it. In such a case, the Act treats the person as having disposed of the asset or liability and immediately reacquired or re-assumed it at the amount prescribed by the Act. This rule is relevant where residence changes, where an asset changes character, or where another deemed disposal occurs but the person continues to retain the asset or liability.</w:t>
      </w:r>
    </w:p>
    <w:p>
      <w:r>
        <w:rPr>
          <w:b w:val="0"/>
          <w:i w:val="0"/>
        </w:rPr>
        <w:t>The objective is to recognise accrued gain or loss up to the date of deemed disposal and to establish a new cost base for subsequent computation. Where the Act permits deferral or continuation of the old cost base, that special rule applies.</w:t>
      </w:r>
    </w:p>
    <w:p>
      <w:pPr>
        <w:pStyle w:val="Heading3"/>
      </w:pPr>
      <w:r>
        <w:rPr>
          <w:b w:val="0"/>
          <w:i w:val="0"/>
        </w:rPr>
        <w:t>Example 22.8.1</w:t>
      </w:r>
    </w:p>
    <w:p>
      <w:r>
        <w:rPr>
          <w:b w:val="0"/>
          <w:i w:val="0"/>
        </w:rPr>
        <w:t>Shailesh was a resident person up to income year 2063/64 and thereafter became non-resident while retaining an asset. The Act treats him as disposing of the asset at the relevant time and reacquiring it at the prescribed value. If applicable conditions are satisfied, a written choice may be required to obtain the permitted tax treatment.</w:t>
      </w:r>
    </w:p>
    <w:p>
      <w:pPr>
        <w:pStyle w:val="Heading3"/>
      </w:pPr>
      <w:r>
        <w:rPr>
          <w:b w:val="0"/>
          <w:i w:val="0"/>
        </w:rPr>
        <w:t>Example 22.8.2</w:t>
      </w:r>
    </w:p>
    <w:p>
      <w:r>
        <w:rPr>
          <w:b w:val="0"/>
          <w:i w:val="0"/>
        </w:rPr>
        <w:t>Kaman Limited issued 15 percent debentures and raised Rs. 20,000,000. Where the liability or related asset is retained but is deemed to be disposed of under the Act, incomings and outgoings are determined at the prescribed value so that later income or loss is computed from the new base.</w:t>
      </w:r>
    </w:p>
    <w:p>
      <w:pPr>
        <w:pStyle w:val="Heading2"/>
      </w:pPr>
      <w:r>
        <w:rPr>
          <w:b w:val="0"/>
          <w:i w:val="0"/>
        </w:rPr>
        <w:t>22.9 Disposal by Instalment Sale or Financial Lease</w:t>
      </w:r>
    </w:p>
    <w:p>
      <w:r>
        <w:rPr>
          <w:b w:val="0"/>
          <w:i w:val="0"/>
        </w:rPr>
        <w:t>Section 42 provides special rules where a person disposes of an asset to another person by instalment sale or under a financial lease. Although legal title or full payment may pass over time, the Act treats the transaction in accordance with its economic substance. The transferor is treated as deriving the amount prescribed for disposal and the transferee is treated as incurring the corresponding cost. Finance lease transactions are therefore not treated merely as ordinary rentals when the substance is financing of an acquisition.</w:t>
      </w:r>
    </w:p>
    <w:p>
      <w:pPr>
        <w:pStyle w:val="Heading3"/>
      </w:pPr>
      <w:r>
        <w:rPr>
          <w:b w:val="0"/>
          <w:i w:val="0"/>
        </w:rPr>
        <w:t>Example 22.9.1</w:t>
      </w:r>
    </w:p>
    <w:p>
      <w:r>
        <w:rPr>
          <w:b w:val="0"/>
          <w:i w:val="0"/>
        </w:rPr>
        <w:t>Where an asset is transferred under an instalment arrangement or finance lease, gain or loss is not postponed merely because the consideration is collected over time. The disposal rules determine the incoming and outgoing at the relevant time, and interest or finance charge components are treated separately according to the Act.</w:t>
      </w:r>
    </w:p>
    <w:p>
      <w:pPr>
        <w:pStyle w:val="Heading2"/>
      </w:pPr>
      <w:r>
        <w:rPr>
          <w:b w:val="0"/>
          <w:i w:val="0"/>
        </w:rPr>
        <w:t>22.10 Transfer of Asset to Husband, Wife, Former Husband or Former Wife</w:t>
      </w:r>
    </w:p>
    <w:p>
      <w:r>
        <w:rPr>
          <w:b w:val="0"/>
          <w:i w:val="0"/>
        </w:rPr>
        <w:t>Section 43 provides special treatment for transfer of an asset between husband and wife, or to a former husband or former wife in connection with separation or partition, where the persons make the required written choice. In such a case, the transferor is treated as deriving an amount equal to the cost base immediately before the transfer and the transferee is treated as acquiring the asset at that amount. Thus, the cost base is carried over and the gain is generally deferred to the transferee.</w:t>
      </w:r>
    </w:p>
    <w:p>
      <w:pPr>
        <w:pStyle w:val="Heading3"/>
      </w:pPr>
      <w:r>
        <w:rPr>
          <w:b w:val="0"/>
          <w:i w:val="0"/>
        </w:rPr>
        <w:t>Example 22.10.1</w:t>
      </w:r>
    </w:p>
    <w:p>
      <w:r>
        <w:rPr>
          <w:b w:val="0"/>
          <w:i w:val="0"/>
        </w:rPr>
        <w:t>Rasendra purchased land on 2063/10/1 for Rs. 10,000,000. He transferred the land to Sarala. At the time of transfer, the market value was Rs. 15,000,000 and document/registration expenses were Rs. 10,000. Where the parties choose section 43 treatment, Rasendra is treated as disposing of the land at its cost base, so no gain arises to him at that time. Sarala's cost base becomes the transferor's cost base plus her relevant acquisition expenses; the market appreciation is preserved for taxation when Sarala later disposes of the asset. If the written choice is not made to the relevant office, the general computation rules apply.</w:t>
      </w:r>
    </w:p>
    <w:p>
      <w:pPr>
        <w:pStyle w:val="Heading2"/>
      </w:pPr>
      <w:r>
        <w:rPr>
          <w:b w:val="0"/>
          <w:i w:val="0"/>
        </w:rPr>
        <w:t>22.11 Transfer of Asset After Death</w:t>
      </w:r>
    </w:p>
    <w:p>
      <w:r>
        <w:rPr>
          <w:b w:val="0"/>
          <w:i w:val="0"/>
        </w:rPr>
        <w:t>Section 44 provides that where a natural person dies and ownership of an asset is transferred to another person, the deceased person is deemed to have derived an amount equal to the market value of the asset at the time of disposal, and the transferee is treated as having incurred a cost equal to that amount. This rule recognises the value created up to death and gives the recipient a corresponding cost base. However, because personal assets are not generally taxable and because property transferred within three generations otherwise than by purchase and sale may be outside the definition of non-business taxable asset, the rule applies only where the asset is within the taxable scope of the Act.</w:t>
      </w:r>
    </w:p>
    <w:p>
      <w:pPr>
        <w:pStyle w:val="Heading3"/>
      </w:pPr>
      <w:r>
        <w:rPr>
          <w:b w:val="0"/>
          <w:i w:val="0"/>
        </w:rPr>
        <w:t>Example 22.11.1</w:t>
      </w:r>
    </w:p>
    <w:p>
      <w:r>
        <w:rPr>
          <w:b w:val="0"/>
          <w:i w:val="0"/>
        </w:rPr>
        <w:t>Rasendra purchased land on 2065/5/1 for Rs. 10,000,000. He borrowed Rs. 8,000,000 from Upendra and mortgaged the same land as security. Rasendra died on 2066/1/6 and under the loan terms ownership of the land passed to Upendra. At that time the market value of the land was Rs. 11,000,000.</w:t>
      </w:r>
    </w:p>
    <w:tbl>
      <w:tblPr>
        <w:tblStyle w:val="TableGrid"/>
        <w:tblW w:type="auto" w:w="0"/>
        <w:jc w:val="center"/>
        <w:tblLook w:firstColumn="1" w:firstRow="1" w:lastColumn="0" w:lastRow="0" w:noHBand="0" w:noVBand="1" w:val="04A0"/>
      </w:tblPr>
      <w:tblGrid>
        <w:gridCol w:w="4946"/>
        <w:gridCol w:w="4946"/>
      </w:tblGrid>
      <w:tr>
        <w:trPr>
          <w:tblHeader w:val="true"/>
        </w:trPr>
        <w:tc>
          <w:tcPr>
            <w:tcW w:type="dxa" w:w="4946"/>
            <w:vAlign w:val="top"/>
            <w:shd w:fill="D9EAF7"/>
          </w:tcPr>
          <w:p>
            <w:r/>
            <w:r>
              <w:rPr>
                <w:b/>
                <w:sz w:val="18"/>
              </w:rPr>
              <w:t>Particulars</w:t>
            </w:r>
          </w:p>
        </w:tc>
        <w:tc>
          <w:tcPr>
            <w:tcW w:type="dxa" w:w="4946"/>
            <w:vAlign w:val="top"/>
            <w:shd w:fill="D9EAF7"/>
          </w:tcPr>
          <w:p>
            <w:r/>
            <w:r>
              <w:rPr>
                <w:b/>
                <w:sz w:val="18"/>
              </w:rPr>
              <w:t>Amount</w:t>
            </w:r>
          </w:p>
        </w:tc>
      </w:tr>
      <w:tr>
        <w:tc>
          <w:tcPr>
            <w:tcW w:type="dxa" w:w="4946"/>
            <w:vAlign w:val="top"/>
          </w:tcPr>
          <w:p>
            <w:r/>
            <w:r>
              <w:rPr>
                <w:b w:val="0"/>
                <w:sz w:val="18"/>
              </w:rPr>
              <w:t>Incoming - market value at death</w:t>
            </w:r>
          </w:p>
        </w:tc>
        <w:tc>
          <w:tcPr>
            <w:tcW w:type="dxa" w:w="4946"/>
            <w:vAlign w:val="top"/>
          </w:tcPr>
          <w:p>
            <w:r/>
            <w:r>
              <w:rPr>
                <w:b w:val="0"/>
                <w:sz w:val="18"/>
              </w:rPr>
              <w:t>Rs. 11,000,000</w:t>
            </w:r>
          </w:p>
        </w:tc>
      </w:tr>
      <w:tr>
        <w:tc>
          <w:tcPr>
            <w:tcW w:type="dxa" w:w="4946"/>
            <w:vAlign w:val="top"/>
          </w:tcPr>
          <w:p>
            <w:r/>
            <w:r>
              <w:rPr>
                <w:b w:val="0"/>
                <w:sz w:val="18"/>
              </w:rPr>
              <w:t>Outgoing - cost of the asset</w:t>
            </w:r>
          </w:p>
        </w:tc>
        <w:tc>
          <w:tcPr>
            <w:tcW w:type="dxa" w:w="4946"/>
            <w:vAlign w:val="top"/>
          </w:tcPr>
          <w:p>
            <w:r/>
            <w:r>
              <w:rPr>
                <w:b w:val="0"/>
                <w:sz w:val="18"/>
              </w:rPr>
              <w:t>Rs. 10,000,000</w:t>
            </w:r>
          </w:p>
        </w:tc>
      </w:tr>
      <w:tr>
        <w:tc>
          <w:tcPr>
            <w:tcW w:type="dxa" w:w="4946"/>
            <w:vAlign w:val="top"/>
          </w:tcPr>
          <w:p>
            <w:r/>
            <w:r>
              <w:rPr>
                <w:b w:val="0"/>
                <w:sz w:val="18"/>
              </w:rPr>
              <w:t>Gain</w:t>
            </w:r>
          </w:p>
        </w:tc>
        <w:tc>
          <w:tcPr>
            <w:tcW w:type="dxa" w:w="4946"/>
            <w:vAlign w:val="top"/>
          </w:tcPr>
          <w:p>
            <w:r/>
            <w:r>
              <w:rPr>
                <w:b w:val="0"/>
                <w:sz w:val="18"/>
              </w:rPr>
              <w:t>Rs. 1,000,000</w:t>
            </w:r>
          </w:p>
        </w:tc>
      </w:tr>
    </w:tbl>
    <w:p/>
    <w:p>
      <w:r>
        <w:rPr>
          <w:b w:val="0"/>
          <w:i w:val="0"/>
        </w:rPr>
        <w:t>The gain of Rs. 1,000,000 arises on disposal of the land, and the tax liability is borne according to the Act by the recipient or the person responsible in the transfer context.</w:t>
      </w:r>
    </w:p>
    <w:p>
      <w:pPr>
        <w:pStyle w:val="Heading3"/>
      </w:pPr>
      <w:r>
        <w:rPr>
          <w:b w:val="0"/>
          <w:i w:val="0"/>
        </w:rPr>
        <w:t>Example 22.11.2</w:t>
      </w:r>
    </w:p>
    <w:p>
      <w:r>
        <w:rPr>
          <w:b w:val="0"/>
          <w:i w:val="0"/>
        </w:rPr>
        <w:t>Rasendra purchased land on 2065/5/1 for Rs. 10,000,000. He died on 2066/1/6 and the property passed to his son Rabindra. At that time the market value was Rs. 11,000,000. Since the property is transferred within three generations by a mode other than sale, it is not treated as a non-business taxable asset. Therefore section 44 does not trigger capital gain computation at that time. If Rabindra later disposes of the property and it falls within the definition of non-business taxable asset at that time, Rabindra may claim as cost only the amount that Rasendra would have been entitled to claim at 2066/1/6.</w:t>
      </w:r>
    </w:p>
    <w:p>
      <w:pPr>
        <w:pStyle w:val="Heading2"/>
      </w:pPr>
      <w:r>
        <w:rPr>
          <w:b w:val="0"/>
          <w:i w:val="0"/>
        </w:rPr>
        <w:t>22.12 Transfer Between Associated Persons and Other Non-market Transfers</w:t>
      </w:r>
    </w:p>
    <w:p>
      <w:r>
        <w:rPr>
          <w:b w:val="0"/>
          <w:i w:val="0"/>
        </w:rPr>
        <w:t>The Act defines associated persons broadly to include persons acting according to the intention of one another, relatives, partners, persons with ownership in a foreign permanent establishment, and entities or persons controlling or benefiting from 50 percent or more of the income, capital or voting rights of an entity. Employees or persons specified by the Department as not associated are excluded.</w:t>
      </w:r>
    </w:p>
    <w:p>
      <w:r>
        <w:rPr>
          <w:b w:val="0"/>
          <w:i w:val="0"/>
        </w:rPr>
        <w:t>Under section 45, where a person transfers an asset to an associated person or to any other person without consideration, the transferor is treated as deriving the greater of the market value immediately before disposal and the net outgoings for the asset. The transferee is treated as having incurred the same amount as cost. This rule does not apply where the special spouse transfer rule or death transfer rule applies.</w:t>
      </w:r>
    </w:p>
    <w:p>
      <w:pPr>
        <w:pStyle w:val="Heading3"/>
      </w:pPr>
      <w:r>
        <w:rPr>
          <w:b w:val="0"/>
          <w:i w:val="0"/>
        </w:rPr>
        <w:t>Example 22.12.1</w:t>
      </w:r>
    </w:p>
    <w:p>
      <w:r>
        <w:rPr>
          <w:b w:val="0"/>
          <w:i w:val="0"/>
        </w:rPr>
        <w:t>Rasendra purchased land on 2069/5/1 for Rs. 10,000,000 and spent Rs. 500,000 on a boundary wall in the same year. On 2070/6/5 he gifted the land to Dinesh. At that time the market value was Rs. 11,000,000.</w:t>
      </w:r>
    </w:p>
    <w:tbl>
      <w:tblPr>
        <w:tblStyle w:val="TableGrid"/>
        <w:tblW w:type="auto" w:w="0"/>
        <w:jc w:val="center"/>
        <w:tblLook w:firstColumn="1" w:firstRow="1" w:lastColumn="0" w:lastRow="0" w:noHBand="0" w:noVBand="1" w:val="04A0"/>
      </w:tblPr>
      <w:tblGrid>
        <w:gridCol w:w="4946"/>
        <w:gridCol w:w="4946"/>
      </w:tblGrid>
      <w:tr>
        <w:trPr>
          <w:tblHeader w:val="true"/>
        </w:trPr>
        <w:tc>
          <w:tcPr>
            <w:tcW w:type="dxa" w:w="4946"/>
            <w:vAlign w:val="top"/>
            <w:shd w:fill="D9EAF7"/>
          </w:tcPr>
          <w:p>
            <w:r/>
            <w:r>
              <w:rPr>
                <w:b/>
                <w:sz w:val="18"/>
              </w:rPr>
              <w:t>Particulars</w:t>
            </w:r>
          </w:p>
        </w:tc>
        <w:tc>
          <w:tcPr>
            <w:tcW w:type="dxa" w:w="4946"/>
            <w:vAlign w:val="top"/>
            <w:shd w:fill="D9EAF7"/>
          </w:tcPr>
          <w:p>
            <w:r/>
            <w:r>
              <w:rPr>
                <w:b/>
                <w:sz w:val="18"/>
              </w:rPr>
              <w:t>Amount</w:t>
            </w:r>
          </w:p>
        </w:tc>
      </w:tr>
      <w:tr>
        <w:tc>
          <w:tcPr>
            <w:tcW w:type="dxa" w:w="4946"/>
            <w:vAlign w:val="top"/>
          </w:tcPr>
          <w:p>
            <w:r/>
            <w:r>
              <w:rPr>
                <w:b w:val="0"/>
                <w:sz w:val="18"/>
              </w:rPr>
              <w:t>Incoming - market value on gift</w:t>
            </w:r>
          </w:p>
        </w:tc>
        <w:tc>
          <w:tcPr>
            <w:tcW w:type="dxa" w:w="4946"/>
            <w:vAlign w:val="top"/>
          </w:tcPr>
          <w:p>
            <w:r/>
            <w:r>
              <w:rPr>
                <w:b w:val="0"/>
                <w:sz w:val="18"/>
              </w:rPr>
              <w:t>Rs. 11,000,000</w:t>
            </w:r>
          </w:p>
        </w:tc>
      </w:tr>
      <w:tr>
        <w:tc>
          <w:tcPr>
            <w:tcW w:type="dxa" w:w="4946"/>
            <w:vAlign w:val="top"/>
          </w:tcPr>
          <w:p>
            <w:r/>
            <w:r>
              <w:rPr>
                <w:b w:val="0"/>
                <w:sz w:val="18"/>
              </w:rPr>
              <w:t>Outgoing - cost including wall</w:t>
            </w:r>
          </w:p>
        </w:tc>
        <w:tc>
          <w:tcPr>
            <w:tcW w:type="dxa" w:w="4946"/>
            <w:vAlign w:val="top"/>
          </w:tcPr>
          <w:p>
            <w:r/>
            <w:r>
              <w:rPr>
                <w:b w:val="0"/>
                <w:sz w:val="18"/>
              </w:rPr>
              <w:t>Rs. 10,500,000</w:t>
            </w:r>
          </w:p>
        </w:tc>
      </w:tr>
      <w:tr>
        <w:tc>
          <w:tcPr>
            <w:tcW w:type="dxa" w:w="4946"/>
            <w:vAlign w:val="top"/>
          </w:tcPr>
          <w:p>
            <w:r/>
            <w:r>
              <w:rPr>
                <w:b w:val="0"/>
                <w:sz w:val="18"/>
              </w:rPr>
              <w:t>Gain to Rasendra</w:t>
            </w:r>
          </w:p>
        </w:tc>
        <w:tc>
          <w:tcPr>
            <w:tcW w:type="dxa" w:w="4946"/>
            <w:vAlign w:val="top"/>
          </w:tcPr>
          <w:p>
            <w:r/>
            <w:r>
              <w:rPr>
                <w:b w:val="0"/>
                <w:sz w:val="18"/>
              </w:rPr>
              <w:t>Rs. 500,000</w:t>
            </w:r>
          </w:p>
        </w:tc>
      </w:tr>
      <w:tr>
        <w:tc>
          <w:tcPr>
            <w:tcW w:type="dxa" w:w="4946"/>
            <w:vAlign w:val="top"/>
          </w:tcPr>
          <w:p>
            <w:r/>
            <w:r>
              <w:rPr>
                <w:b w:val="0"/>
                <w:sz w:val="18"/>
              </w:rPr>
              <w:t>Cost base for Dinesh</w:t>
            </w:r>
          </w:p>
        </w:tc>
        <w:tc>
          <w:tcPr>
            <w:tcW w:type="dxa" w:w="4946"/>
            <w:vAlign w:val="top"/>
          </w:tcPr>
          <w:p>
            <w:r/>
            <w:r>
              <w:rPr>
                <w:b w:val="0"/>
                <w:sz w:val="18"/>
              </w:rPr>
              <w:t>Rs. 11,000,000</w:t>
            </w:r>
          </w:p>
        </w:tc>
      </w:tr>
    </w:tbl>
    <w:p/>
    <w:p>
      <w:r>
        <w:rPr>
          <w:b w:val="0"/>
          <w:i w:val="0"/>
        </w:rPr>
        <w:t>If the market value at transfer had been Rs. 10,200,000, the amount deemed derived would be Rs. 10,500,000, being the greater of market value and net outgoings. In that case no gain would arise, and Dinesh's cost would be Rs. 10,500,000.</w:t>
      </w:r>
    </w:p>
    <w:p>
      <w:r>
        <w:rPr>
          <w:b w:val="0"/>
          <w:i w:val="0"/>
        </w:rPr>
        <w:t>Where business assets, non-business taxable assets or stock-in-trade are transferred to an associated person and the conditions prescribed in section 45 are satisfied, the transfer may be treated on a carry-over basis. The amount derived by the transferor and the cost of the transferee are the transferor's net outgoings immediately before the transfer. For depreciable property transferred to an associated person, if the prescribed conditions are satisfied, the amount is the written-down value of the relevant depreciation pool under Schedule 2.</w:t>
      </w:r>
    </w:p>
    <w:p>
      <w:r>
        <w:rPr>
          <w:b w:val="0"/>
          <w:i w:val="0"/>
        </w:rPr>
        <w:t>The conditions include continuity of business or investment character, both transferor and transferee being residents at the time of transfer, the transferee not being a tax-exempt person, continuation of at least 50 percent underlying ownership or burden, and written election by both persons to apply the rule.</w:t>
      </w:r>
    </w:p>
    <w:p>
      <w:pPr>
        <w:pStyle w:val="Heading3"/>
      </w:pPr>
      <w:r>
        <w:rPr>
          <w:b w:val="0"/>
          <w:i w:val="0"/>
        </w:rPr>
        <w:t>Example 22.12.2</w:t>
      </w:r>
    </w:p>
    <w:p>
      <w:r>
        <w:rPr>
          <w:b w:val="0"/>
          <w:i w:val="0"/>
        </w:rPr>
        <w:t>Yas Nepal Pvt. Ltd. purchased a flat/building on 2070/5/1 for Rs. 15,000,000. It transferred the building to its subsidiary Hamro Nepal Pvt. Ltd. on 2071/6/5. At the time of transfer, the written-down value of the relevant depreciation pool was Rs. 14,250,000 and the market value was Rs. 16,000,000. Because the asset is transferred to an associated person and the statutory conditions are satisfied, Yas Nepal Pvt. Ltd. is treated as deriving Rs. 14,250,000 and Hamro Nepal Pvt. Ltd. is treated as incurring the same amount as the cost of the asset.</w:t>
      </w:r>
    </w:p>
    <w:p>
      <w:r>
        <w:rPr>
          <w:b w:val="0"/>
          <w:i w:val="0"/>
        </w:rPr>
        <w:t>For liabilities transferred to an associated person or without consideration, section 45 similarly determines the cost or amount derived by reference to market value and net incomings. The spouse-transfer and death-transfer provisions prevail where they apply.</w:t>
      </w:r>
    </w:p>
    <w:p>
      <w:pPr>
        <w:pStyle w:val="Heading2"/>
      </w:pPr>
      <w:r>
        <w:rPr>
          <w:b w:val="0"/>
          <w:i w:val="0"/>
        </w:rPr>
        <w:t>22.13 Involuntary Disposal with Replacement of Asset or Liability</w:t>
      </w:r>
    </w:p>
    <w:p>
      <w:r>
        <w:rPr>
          <w:b w:val="0"/>
          <w:i w:val="0"/>
        </w:rPr>
        <w:t>An involuntary disposal occurs where an asset or liability is disposed of not by the person's own choice but because of a government order, legal decision, compulsory acquisition, destruction, accident, or similar event. Section 46 provides relief where, within one year after involuntary disposal, the person acquires an asset of the same kind in replacement and makes a written request for the section to apply. The rule adjusts the amount deemed derived and the cost of the replacement asset so that the gain is deferred or limited according to the replacement cost.</w:t>
      </w:r>
    </w:p>
    <w:p>
      <w:pPr>
        <w:pStyle w:val="Heading3"/>
      </w:pPr>
      <w:r>
        <w:rPr>
          <w:b w:val="0"/>
          <w:i w:val="0"/>
        </w:rPr>
        <w:t>Example 22.13.1</w:t>
      </w:r>
    </w:p>
    <w:p>
      <w:r>
        <w:rPr>
          <w:b w:val="0"/>
          <w:i w:val="0"/>
        </w:rPr>
        <w:t>Khagendra Goparma bought one ropani of land in Bhaktapur on 2062/5/1 for Rs. 5,000,000. During road expansion, the Government of Nepal acquired the land on 2066/5/7 and paid compensation of Rs. 8,000,000. Within one year, on 2067/4/5, he bought replacement land nearby and made the required written request. The cost of the replacement land may be Rs. 6,000,000, Rs. 8,000,000 or Rs. 8,500,000 in the three situations below.</w:t>
      </w:r>
    </w:p>
    <w:tbl>
      <w:tblPr>
        <w:tblStyle w:val="TableGrid"/>
        <w:tblW w:type="auto" w:w="0"/>
        <w:jc w:val="center"/>
        <w:tblLook w:firstColumn="1" w:firstRow="1" w:lastColumn="0" w:lastRow="0" w:noHBand="0" w:noVBand="1" w:val="04A0"/>
      </w:tblPr>
      <w:tblGrid>
        <w:gridCol w:w="2473"/>
        <w:gridCol w:w="2473"/>
        <w:gridCol w:w="2473"/>
        <w:gridCol w:w="2473"/>
      </w:tblGrid>
      <w:tr>
        <w:trPr>
          <w:tblHeader w:val="true"/>
        </w:trPr>
        <w:tc>
          <w:tcPr>
            <w:tcW w:type="dxa" w:w="2473"/>
            <w:vAlign w:val="top"/>
            <w:shd w:fill="D9EAF7"/>
          </w:tcPr>
          <w:p>
            <w:r/>
            <w:r>
              <w:rPr>
                <w:b/>
                <w:sz w:val="18"/>
              </w:rPr>
              <w:t>Particulars (Rs. in lakhs)</w:t>
            </w:r>
          </w:p>
        </w:tc>
        <w:tc>
          <w:tcPr>
            <w:tcW w:type="dxa" w:w="2473"/>
            <w:vAlign w:val="top"/>
            <w:shd w:fill="D9EAF7"/>
          </w:tcPr>
          <w:p>
            <w:r/>
            <w:r>
              <w:rPr>
                <w:b/>
                <w:sz w:val="18"/>
              </w:rPr>
              <w:t>Case A</w:t>
            </w:r>
          </w:p>
        </w:tc>
        <w:tc>
          <w:tcPr>
            <w:tcW w:type="dxa" w:w="2473"/>
            <w:vAlign w:val="top"/>
            <w:shd w:fill="D9EAF7"/>
          </w:tcPr>
          <w:p>
            <w:r/>
            <w:r>
              <w:rPr>
                <w:b/>
                <w:sz w:val="18"/>
              </w:rPr>
              <w:t>Case B</w:t>
            </w:r>
          </w:p>
        </w:tc>
        <w:tc>
          <w:tcPr>
            <w:tcW w:type="dxa" w:w="2473"/>
            <w:vAlign w:val="top"/>
            <w:shd w:fill="D9EAF7"/>
          </w:tcPr>
          <w:p>
            <w:r/>
            <w:r>
              <w:rPr>
                <w:b/>
                <w:sz w:val="18"/>
              </w:rPr>
              <w:t>Case C</w:t>
            </w:r>
          </w:p>
        </w:tc>
      </w:tr>
      <w:tr>
        <w:tc>
          <w:tcPr>
            <w:tcW w:type="dxa" w:w="2473"/>
            <w:vAlign w:val="top"/>
          </w:tcPr>
          <w:p>
            <w:r/>
            <w:r>
              <w:rPr>
                <w:b w:val="0"/>
                <w:sz w:val="18"/>
              </w:rPr>
              <w:t>Net outgoings of disposed asset</w:t>
            </w:r>
          </w:p>
        </w:tc>
        <w:tc>
          <w:tcPr>
            <w:tcW w:type="dxa" w:w="2473"/>
            <w:vAlign w:val="top"/>
          </w:tcPr>
          <w:p>
            <w:r/>
            <w:r>
              <w:rPr>
                <w:b w:val="0"/>
                <w:sz w:val="18"/>
              </w:rPr>
              <w:t>50</w:t>
            </w:r>
          </w:p>
        </w:tc>
        <w:tc>
          <w:tcPr>
            <w:tcW w:type="dxa" w:w="2473"/>
            <w:vAlign w:val="top"/>
          </w:tcPr>
          <w:p>
            <w:r/>
            <w:r>
              <w:rPr>
                <w:b w:val="0"/>
                <w:sz w:val="18"/>
              </w:rPr>
              <w:t>50</w:t>
            </w:r>
          </w:p>
        </w:tc>
        <w:tc>
          <w:tcPr>
            <w:tcW w:type="dxa" w:w="2473"/>
            <w:vAlign w:val="top"/>
          </w:tcPr>
          <w:p>
            <w:r/>
            <w:r>
              <w:rPr>
                <w:b w:val="0"/>
                <w:sz w:val="18"/>
              </w:rPr>
              <w:t>50</w:t>
            </w:r>
          </w:p>
        </w:tc>
      </w:tr>
      <w:tr>
        <w:tc>
          <w:tcPr>
            <w:tcW w:type="dxa" w:w="2473"/>
            <w:vAlign w:val="top"/>
          </w:tcPr>
          <w:p>
            <w:r/>
            <w:r>
              <w:rPr>
                <w:b w:val="0"/>
                <w:sz w:val="18"/>
              </w:rPr>
              <w:t>Amount received on disposal</w:t>
            </w:r>
          </w:p>
        </w:tc>
        <w:tc>
          <w:tcPr>
            <w:tcW w:type="dxa" w:w="2473"/>
            <w:vAlign w:val="top"/>
          </w:tcPr>
          <w:p>
            <w:r/>
            <w:r>
              <w:rPr>
                <w:b w:val="0"/>
                <w:sz w:val="18"/>
              </w:rPr>
              <w:t>80</w:t>
            </w:r>
          </w:p>
        </w:tc>
        <w:tc>
          <w:tcPr>
            <w:tcW w:type="dxa" w:w="2473"/>
            <w:vAlign w:val="top"/>
          </w:tcPr>
          <w:p>
            <w:r/>
            <w:r>
              <w:rPr>
                <w:b w:val="0"/>
                <w:sz w:val="18"/>
              </w:rPr>
              <w:t>80</w:t>
            </w:r>
          </w:p>
        </w:tc>
        <w:tc>
          <w:tcPr>
            <w:tcW w:type="dxa" w:w="2473"/>
            <w:vAlign w:val="top"/>
          </w:tcPr>
          <w:p>
            <w:r/>
            <w:r>
              <w:rPr>
                <w:b w:val="0"/>
                <w:sz w:val="18"/>
              </w:rPr>
              <w:t>80</w:t>
            </w:r>
          </w:p>
        </w:tc>
      </w:tr>
      <w:tr>
        <w:tc>
          <w:tcPr>
            <w:tcW w:type="dxa" w:w="2473"/>
            <w:vAlign w:val="top"/>
          </w:tcPr>
          <w:p>
            <w:r/>
            <w:r>
              <w:rPr>
                <w:b w:val="0"/>
                <w:sz w:val="18"/>
              </w:rPr>
              <w:t>Cost of replacement land</w:t>
            </w:r>
          </w:p>
        </w:tc>
        <w:tc>
          <w:tcPr>
            <w:tcW w:type="dxa" w:w="2473"/>
            <w:vAlign w:val="top"/>
          </w:tcPr>
          <w:p>
            <w:r/>
            <w:r>
              <w:rPr>
                <w:b w:val="0"/>
                <w:sz w:val="18"/>
              </w:rPr>
              <w:t>60</w:t>
            </w:r>
          </w:p>
        </w:tc>
        <w:tc>
          <w:tcPr>
            <w:tcW w:type="dxa" w:w="2473"/>
            <w:vAlign w:val="top"/>
          </w:tcPr>
          <w:p>
            <w:r/>
            <w:r>
              <w:rPr>
                <w:b w:val="0"/>
                <w:sz w:val="18"/>
              </w:rPr>
              <w:t>80</w:t>
            </w:r>
          </w:p>
        </w:tc>
        <w:tc>
          <w:tcPr>
            <w:tcW w:type="dxa" w:w="2473"/>
            <w:vAlign w:val="top"/>
          </w:tcPr>
          <w:p>
            <w:r/>
            <w:r>
              <w:rPr>
                <w:b w:val="0"/>
                <w:sz w:val="18"/>
              </w:rPr>
              <w:t>85</w:t>
            </w:r>
          </w:p>
        </w:tc>
      </w:tr>
      <w:tr>
        <w:tc>
          <w:tcPr>
            <w:tcW w:type="dxa" w:w="2473"/>
            <w:vAlign w:val="top"/>
          </w:tcPr>
          <w:p>
            <w:r/>
            <w:r>
              <w:rPr>
                <w:b w:val="0"/>
                <w:sz w:val="18"/>
              </w:rPr>
              <w:t>Amount deemed derived on disposal</w:t>
            </w:r>
          </w:p>
        </w:tc>
        <w:tc>
          <w:tcPr>
            <w:tcW w:type="dxa" w:w="2473"/>
            <w:vAlign w:val="top"/>
          </w:tcPr>
          <w:p>
            <w:r/>
            <w:r>
              <w:rPr>
                <w:b w:val="0"/>
                <w:sz w:val="18"/>
              </w:rPr>
              <w:t>70</w:t>
            </w:r>
          </w:p>
        </w:tc>
        <w:tc>
          <w:tcPr>
            <w:tcW w:type="dxa" w:w="2473"/>
            <w:vAlign w:val="top"/>
          </w:tcPr>
          <w:p>
            <w:r/>
            <w:r>
              <w:rPr>
                <w:b w:val="0"/>
                <w:sz w:val="18"/>
              </w:rPr>
              <w:t>50</w:t>
            </w:r>
          </w:p>
        </w:tc>
        <w:tc>
          <w:tcPr>
            <w:tcW w:type="dxa" w:w="2473"/>
            <w:vAlign w:val="top"/>
          </w:tcPr>
          <w:p>
            <w:r/>
            <w:r>
              <w:rPr>
                <w:b w:val="0"/>
                <w:sz w:val="18"/>
              </w:rPr>
              <w:t>50</w:t>
            </w:r>
          </w:p>
        </w:tc>
      </w:tr>
      <w:tr>
        <w:tc>
          <w:tcPr>
            <w:tcW w:type="dxa" w:w="2473"/>
            <w:vAlign w:val="top"/>
          </w:tcPr>
          <w:p>
            <w:r/>
            <w:r>
              <w:rPr>
                <w:b w:val="0"/>
                <w:sz w:val="18"/>
              </w:rPr>
              <w:t>Outgoings for replacement asset</w:t>
            </w:r>
          </w:p>
        </w:tc>
        <w:tc>
          <w:tcPr>
            <w:tcW w:type="dxa" w:w="2473"/>
            <w:vAlign w:val="top"/>
          </w:tcPr>
          <w:p>
            <w:r/>
            <w:r>
              <w:rPr>
                <w:b w:val="0"/>
                <w:sz w:val="18"/>
              </w:rPr>
              <w:t>50</w:t>
            </w:r>
          </w:p>
        </w:tc>
        <w:tc>
          <w:tcPr>
            <w:tcW w:type="dxa" w:w="2473"/>
            <w:vAlign w:val="top"/>
          </w:tcPr>
          <w:p>
            <w:r/>
            <w:r>
              <w:rPr>
                <w:b w:val="0"/>
                <w:sz w:val="18"/>
              </w:rPr>
              <w:t>50</w:t>
            </w:r>
          </w:p>
        </w:tc>
        <w:tc>
          <w:tcPr>
            <w:tcW w:type="dxa" w:w="2473"/>
            <w:vAlign w:val="top"/>
          </w:tcPr>
          <w:p>
            <w:r/>
            <w:r>
              <w:rPr>
                <w:b w:val="0"/>
                <w:sz w:val="18"/>
              </w:rPr>
              <w:t>55</w:t>
            </w:r>
          </w:p>
        </w:tc>
      </w:tr>
      <w:tr>
        <w:tc>
          <w:tcPr>
            <w:tcW w:type="dxa" w:w="2473"/>
            <w:vAlign w:val="top"/>
          </w:tcPr>
          <w:p>
            <w:r/>
            <w:r>
              <w:rPr>
                <w:b w:val="0"/>
                <w:sz w:val="18"/>
              </w:rPr>
              <w:t>Gain / (loss)</w:t>
            </w:r>
          </w:p>
        </w:tc>
        <w:tc>
          <w:tcPr>
            <w:tcW w:type="dxa" w:w="2473"/>
            <w:vAlign w:val="top"/>
          </w:tcPr>
          <w:p>
            <w:r/>
            <w:r>
              <w:rPr>
                <w:b w:val="0"/>
                <w:sz w:val="18"/>
              </w:rPr>
              <w:t>20</w:t>
            </w:r>
          </w:p>
        </w:tc>
        <w:tc>
          <w:tcPr>
            <w:tcW w:type="dxa" w:w="2473"/>
            <w:vAlign w:val="top"/>
          </w:tcPr>
          <w:p>
            <w:r/>
            <w:r>
              <w:rPr>
                <w:b w:val="0"/>
                <w:sz w:val="18"/>
              </w:rPr>
              <w:t>0</w:t>
            </w:r>
          </w:p>
        </w:tc>
        <w:tc>
          <w:tcPr>
            <w:tcW w:type="dxa" w:w="2473"/>
            <w:vAlign w:val="top"/>
          </w:tcPr>
          <w:p>
            <w:r/>
            <w:r>
              <w:rPr>
                <w:b w:val="0"/>
                <w:sz w:val="18"/>
              </w:rPr>
              <w:t>(5)</w:t>
            </w:r>
          </w:p>
        </w:tc>
      </w:tr>
      <w:tr>
        <w:tc>
          <w:tcPr>
            <w:tcW w:type="dxa" w:w="2473"/>
            <w:vAlign w:val="top"/>
          </w:tcPr>
          <w:p>
            <w:r/>
            <w:r>
              <w:rPr>
                <w:b w:val="0"/>
                <w:sz w:val="18"/>
              </w:rPr>
              <w:t>Cost recognised in replacement asset</w:t>
            </w:r>
          </w:p>
        </w:tc>
        <w:tc>
          <w:tcPr>
            <w:tcW w:type="dxa" w:w="2473"/>
            <w:vAlign w:val="top"/>
          </w:tcPr>
          <w:p>
            <w:r/>
            <w:r>
              <w:rPr>
                <w:b w:val="0"/>
                <w:sz w:val="18"/>
              </w:rPr>
              <w:t>30</w:t>
            </w:r>
          </w:p>
        </w:tc>
        <w:tc>
          <w:tcPr>
            <w:tcW w:type="dxa" w:w="2473"/>
            <w:vAlign w:val="top"/>
          </w:tcPr>
          <w:p>
            <w:r/>
            <w:r>
              <w:rPr>
                <w:b w:val="0"/>
                <w:sz w:val="18"/>
              </w:rPr>
              <w:t>50</w:t>
            </w:r>
          </w:p>
        </w:tc>
        <w:tc>
          <w:tcPr>
            <w:tcW w:type="dxa" w:w="2473"/>
            <w:vAlign w:val="top"/>
          </w:tcPr>
          <w:p>
            <w:r/>
            <w:r>
              <w:rPr>
                <w:b w:val="0"/>
                <w:sz w:val="18"/>
              </w:rPr>
              <w:t>55</w:t>
            </w:r>
          </w:p>
        </w:tc>
      </w:tr>
    </w:tbl>
    <w:p/>
    <w:p>
      <w:pPr>
        <w:pStyle w:val="Heading3"/>
      </w:pPr>
      <w:r>
        <w:rPr>
          <w:b w:val="0"/>
          <w:i w:val="0"/>
        </w:rPr>
        <w:t>Example 22.13.2</w:t>
      </w:r>
    </w:p>
    <w:p>
      <w:r>
        <w:rPr>
          <w:b w:val="0"/>
          <w:i w:val="0"/>
        </w:rPr>
        <w:t>A building of Goparma Limited, a depreciable property, is destroyed by fire. The depreciation basis at the beginning of the year is Rs. 5,000,000. The company had insured the building for its market value of Rs. 8,000,000 and receives insurance compensation of Rs. 8,000,000. It constructs a new building at the same place within one year and chooses section 46 treatment. If the new building costs Rs. 6,000,000, Rs. 8,000,000 or Rs. 8,500,000, the treatment follows the involuntary disposal replacement computation.</w:t>
      </w:r>
    </w:p>
    <w:tbl>
      <w:tblPr>
        <w:tblStyle w:val="TableGrid"/>
        <w:tblW w:type="auto" w:w="0"/>
        <w:jc w:val="center"/>
        <w:tblLook w:firstColumn="1" w:firstRow="1" w:lastColumn="0" w:lastRow="0" w:noHBand="0" w:noVBand="1" w:val="04A0"/>
      </w:tblPr>
      <w:tblGrid>
        <w:gridCol w:w="2473"/>
        <w:gridCol w:w="2473"/>
        <w:gridCol w:w="2473"/>
        <w:gridCol w:w="2473"/>
      </w:tblGrid>
      <w:tr>
        <w:trPr>
          <w:tblHeader w:val="true"/>
        </w:trPr>
        <w:tc>
          <w:tcPr>
            <w:tcW w:type="dxa" w:w="2473"/>
            <w:vAlign w:val="top"/>
            <w:shd w:fill="D9EAF7"/>
          </w:tcPr>
          <w:p>
            <w:r/>
            <w:r>
              <w:rPr>
                <w:b/>
                <w:sz w:val="18"/>
              </w:rPr>
              <w:t>Particulars (Rs. in lakhs)</w:t>
            </w:r>
          </w:p>
        </w:tc>
        <w:tc>
          <w:tcPr>
            <w:tcW w:type="dxa" w:w="2473"/>
            <w:vAlign w:val="top"/>
            <w:shd w:fill="D9EAF7"/>
          </w:tcPr>
          <w:p>
            <w:r/>
            <w:r>
              <w:rPr>
                <w:b/>
                <w:sz w:val="18"/>
              </w:rPr>
              <w:t>Case A</w:t>
            </w:r>
          </w:p>
        </w:tc>
        <w:tc>
          <w:tcPr>
            <w:tcW w:type="dxa" w:w="2473"/>
            <w:vAlign w:val="top"/>
            <w:shd w:fill="D9EAF7"/>
          </w:tcPr>
          <w:p>
            <w:r/>
            <w:r>
              <w:rPr>
                <w:b/>
                <w:sz w:val="18"/>
              </w:rPr>
              <w:t>Case B</w:t>
            </w:r>
          </w:p>
        </w:tc>
        <w:tc>
          <w:tcPr>
            <w:tcW w:type="dxa" w:w="2473"/>
            <w:vAlign w:val="top"/>
            <w:shd w:fill="D9EAF7"/>
          </w:tcPr>
          <w:p>
            <w:r/>
            <w:r>
              <w:rPr>
                <w:b/>
                <w:sz w:val="18"/>
              </w:rPr>
              <w:t>Case C</w:t>
            </w:r>
          </w:p>
        </w:tc>
      </w:tr>
      <w:tr>
        <w:tc>
          <w:tcPr>
            <w:tcW w:type="dxa" w:w="2473"/>
            <w:vAlign w:val="top"/>
          </w:tcPr>
          <w:p>
            <w:r/>
            <w:r>
              <w:rPr>
                <w:b w:val="0"/>
                <w:sz w:val="18"/>
              </w:rPr>
              <w:t>Cost of new building</w:t>
            </w:r>
          </w:p>
        </w:tc>
        <w:tc>
          <w:tcPr>
            <w:tcW w:type="dxa" w:w="2473"/>
            <w:vAlign w:val="top"/>
          </w:tcPr>
          <w:p>
            <w:r/>
            <w:r>
              <w:rPr>
                <w:b w:val="0"/>
                <w:sz w:val="18"/>
              </w:rPr>
              <w:t>60</w:t>
            </w:r>
          </w:p>
        </w:tc>
        <w:tc>
          <w:tcPr>
            <w:tcW w:type="dxa" w:w="2473"/>
            <w:vAlign w:val="top"/>
          </w:tcPr>
          <w:p>
            <w:r/>
            <w:r>
              <w:rPr>
                <w:b w:val="0"/>
                <w:sz w:val="18"/>
              </w:rPr>
              <w:t>80</w:t>
            </w:r>
          </w:p>
        </w:tc>
        <w:tc>
          <w:tcPr>
            <w:tcW w:type="dxa" w:w="2473"/>
            <w:vAlign w:val="top"/>
          </w:tcPr>
          <w:p>
            <w:r/>
            <w:r>
              <w:rPr>
                <w:b w:val="0"/>
                <w:sz w:val="18"/>
              </w:rPr>
              <w:t>85</w:t>
            </w:r>
          </w:p>
        </w:tc>
      </w:tr>
      <w:tr>
        <w:tc>
          <w:tcPr>
            <w:tcW w:type="dxa" w:w="2473"/>
            <w:vAlign w:val="top"/>
          </w:tcPr>
          <w:p>
            <w:r/>
            <w:r>
              <w:rPr>
                <w:b w:val="0"/>
                <w:sz w:val="18"/>
              </w:rPr>
              <w:t>Opening depreciation basis of old building</w:t>
            </w:r>
          </w:p>
        </w:tc>
        <w:tc>
          <w:tcPr>
            <w:tcW w:type="dxa" w:w="2473"/>
            <w:vAlign w:val="top"/>
          </w:tcPr>
          <w:p>
            <w:r/>
            <w:r>
              <w:rPr>
                <w:b w:val="0"/>
                <w:sz w:val="18"/>
              </w:rPr>
              <w:t>50</w:t>
            </w:r>
          </w:p>
        </w:tc>
        <w:tc>
          <w:tcPr>
            <w:tcW w:type="dxa" w:w="2473"/>
            <w:vAlign w:val="top"/>
          </w:tcPr>
          <w:p>
            <w:r/>
            <w:r>
              <w:rPr>
                <w:b w:val="0"/>
                <w:sz w:val="18"/>
              </w:rPr>
              <w:t>50</w:t>
            </w:r>
          </w:p>
        </w:tc>
        <w:tc>
          <w:tcPr>
            <w:tcW w:type="dxa" w:w="2473"/>
            <w:vAlign w:val="top"/>
          </w:tcPr>
          <w:p>
            <w:r/>
            <w:r>
              <w:rPr>
                <w:b w:val="0"/>
                <w:sz w:val="18"/>
              </w:rPr>
              <w:t>50</w:t>
            </w:r>
          </w:p>
        </w:tc>
      </w:tr>
      <w:tr>
        <w:tc>
          <w:tcPr>
            <w:tcW w:type="dxa" w:w="2473"/>
            <w:vAlign w:val="top"/>
          </w:tcPr>
          <w:p>
            <w:r/>
            <w:r>
              <w:rPr>
                <w:b w:val="0"/>
                <w:sz w:val="18"/>
              </w:rPr>
              <w:t>Compensation received</w:t>
            </w:r>
          </w:p>
        </w:tc>
        <w:tc>
          <w:tcPr>
            <w:tcW w:type="dxa" w:w="2473"/>
            <w:vAlign w:val="top"/>
          </w:tcPr>
          <w:p>
            <w:r/>
            <w:r>
              <w:rPr>
                <w:b w:val="0"/>
                <w:sz w:val="18"/>
              </w:rPr>
              <w:t>80</w:t>
            </w:r>
          </w:p>
        </w:tc>
        <w:tc>
          <w:tcPr>
            <w:tcW w:type="dxa" w:w="2473"/>
            <w:vAlign w:val="top"/>
          </w:tcPr>
          <w:p>
            <w:r/>
            <w:r>
              <w:rPr>
                <w:b w:val="0"/>
                <w:sz w:val="18"/>
              </w:rPr>
              <w:t>80</w:t>
            </w:r>
          </w:p>
        </w:tc>
        <w:tc>
          <w:tcPr>
            <w:tcW w:type="dxa" w:w="2473"/>
            <w:vAlign w:val="top"/>
          </w:tcPr>
          <w:p>
            <w:r/>
            <w:r>
              <w:rPr>
                <w:b w:val="0"/>
                <w:sz w:val="18"/>
              </w:rPr>
              <w:t>80</w:t>
            </w:r>
          </w:p>
        </w:tc>
      </w:tr>
      <w:tr>
        <w:tc>
          <w:tcPr>
            <w:tcW w:type="dxa" w:w="2473"/>
            <w:vAlign w:val="top"/>
          </w:tcPr>
          <w:p>
            <w:r/>
            <w:r>
              <w:rPr>
                <w:b w:val="0"/>
                <w:sz w:val="18"/>
              </w:rPr>
              <w:t>Amount deemed derived under section 46</w:t>
            </w:r>
          </w:p>
        </w:tc>
        <w:tc>
          <w:tcPr>
            <w:tcW w:type="dxa" w:w="2473"/>
            <w:vAlign w:val="top"/>
          </w:tcPr>
          <w:p>
            <w:r/>
            <w:r>
              <w:rPr>
                <w:b w:val="0"/>
                <w:sz w:val="18"/>
              </w:rPr>
              <w:t>70</w:t>
            </w:r>
          </w:p>
        </w:tc>
        <w:tc>
          <w:tcPr>
            <w:tcW w:type="dxa" w:w="2473"/>
            <w:vAlign w:val="top"/>
          </w:tcPr>
          <w:p>
            <w:r/>
            <w:r>
              <w:rPr>
                <w:b w:val="0"/>
                <w:sz w:val="18"/>
              </w:rPr>
              <w:t>50</w:t>
            </w:r>
          </w:p>
        </w:tc>
        <w:tc>
          <w:tcPr>
            <w:tcW w:type="dxa" w:w="2473"/>
            <w:vAlign w:val="top"/>
          </w:tcPr>
          <w:p>
            <w:r/>
            <w:r>
              <w:rPr>
                <w:b w:val="0"/>
                <w:sz w:val="18"/>
              </w:rPr>
              <w:t>50</w:t>
            </w:r>
          </w:p>
        </w:tc>
      </w:tr>
      <w:tr>
        <w:tc>
          <w:tcPr>
            <w:tcW w:type="dxa" w:w="2473"/>
            <w:vAlign w:val="top"/>
          </w:tcPr>
          <w:p>
            <w:r/>
            <w:r>
              <w:rPr>
                <w:b w:val="0"/>
                <w:sz w:val="18"/>
              </w:rPr>
              <w:t>Net outgoings of disposed asset</w:t>
            </w:r>
          </w:p>
        </w:tc>
        <w:tc>
          <w:tcPr>
            <w:tcW w:type="dxa" w:w="2473"/>
            <w:vAlign w:val="top"/>
          </w:tcPr>
          <w:p>
            <w:r/>
            <w:r>
              <w:rPr>
                <w:b w:val="0"/>
                <w:sz w:val="18"/>
              </w:rPr>
              <w:t>50</w:t>
            </w:r>
          </w:p>
        </w:tc>
        <w:tc>
          <w:tcPr>
            <w:tcW w:type="dxa" w:w="2473"/>
            <w:vAlign w:val="top"/>
          </w:tcPr>
          <w:p>
            <w:r/>
            <w:r>
              <w:rPr>
                <w:b w:val="0"/>
                <w:sz w:val="18"/>
              </w:rPr>
              <w:t>50</w:t>
            </w:r>
          </w:p>
        </w:tc>
        <w:tc>
          <w:tcPr>
            <w:tcW w:type="dxa" w:w="2473"/>
            <w:vAlign w:val="top"/>
          </w:tcPr>
          <w:p>
            <w:r/>
            <w:r>
              <w:rPr>
                <w:b w:val="0"/>
                <w:sz w:val="18"/>
              </w:rPr>
              <w:t>55</w:t>
            </w:r>
          </w:p>
        </w:tc>
      </w:tr>
      <w:tr>
        <w:tc>
          <w:tcPr>
            <w:tcW w:type="dxa" w:w="2473"/>
            <w:vAlign w:val="top"/>
          </w:tcPr>
          <w:p>
            <w:r/>
            <w:r>
              <w:rPr>
                <w:b w:val="0"/>
                <w:sz w:val="18"/>
              </w:rPr>
              <w:t>Excess / (shortfall) on involuntary disposal</w:t>
            </w:r>
          </w:p>
        </w:tc>
        <w:tc>
          <w:tcPr>
            <w:tcW w:type="dxa" w:w="2473"/>
            <w:vAlign w:val="top"/>
          </w:tcPr>
          <w:p>
            <w:r/>
            <w:r>
              <w:rPr>
                <w:b w:val="0"/>
                <w:sz w:val="18"/>
              </w:rPr>
              <w:t>20</w:t>
            </w:r>
          </w:p>
        </w:tc>
        <w:tc>
          <w:tcPr>
            <w:tcW w:type="dxa" w:w="2473"/>
            <w:vAlign w:val="top"/>
          </w:tcPr>
          <w:p>
            <w:r/>
            <w:r>
              <w:rPr>
                <w:b w:val="0"/>
                <w:sz w:val="18"/>
              </w:rPr>
              <w:t>0</w:t>
            </w:r>
          </w:p>
        </w:tc>
        <w:tc>
          <w:tcPr>
            <w:tcW w:type="dxa" w:w="2473"/>
            <w:vAlign w:val="top"/>
          </w:tcPr>
          <w:p>
            <w:r/>
            <w:r>
              <w:rPr>
                <w:b w:val="0"/>
                <w:sz w:val="18"/>
              </w:rPr>
              <w:t>(5)</w:t>
            </w:r>
          </w:p>
        </w:tc>
      </w:tr>
      <w:tr>
        <w:tc>
          <w:tcPr>
            <w:tcW w:type="dxa" w:w="2473"/>
            <w:vAlign w:val="top"/>
          </w:tcPr>
          <w:p>
            <w:r/>
            <w:r>
              <w:rPr>
                <w:b w:val="0"/>
                <w:sz w:val="18"/>
              </w:rPr>
              <w:t>Depreciation basis after adjustment</w:t>
            </w:r>
          </w:p>
        </w:tc>
        <w:tc>
          <w:tcPr>
            <w:tcW w:type="dxa" w:w="2473"/>
            <w:vAlign w:val="top"/>
          </w:tcPr>
          <w:p>
            <w:r/>
            <w:r>
              <w:rPr>
                <w:b w:val="0"/>
                <w:sz w:val="18"/>
              </w:rPr>
              <w:t>30</w:t>
            </w:r>
          </w:p>
        </w:tc>
        <w:tc>
          <w:tcPr>
            <w:tcW w:type="dxa" w:w="2473"/>
            <w:vAlign w:val="top"/>
          </w:tcPr>
          <w:p>
            <w:r/>
            <w:r>
              <w:rPr>
                <w:b w:val="0"/>
                <w:sz w:val="18"/>
              </w:rPr>
              <w:t>50</w:t>
            </w:r>
          </w:p>
        </w:tc>
        <w:tc>
          <w:tcPr>
            <w:tcW w:type="dxa" w:w="2473"/>
            <w:vAlign w:val="top"/>
          </w:tcPr>
          <w:p>
            <w:r/>
            <w:r>
              <w:rPr>
                <w:b w:val="0"/>
                <w:sz w:val="18"/>
              </w:rPr>
              <w:t>55</w:t>
            </w:r>
          </w:p>
        </w:tc>
      </w:tr>
    </w:tbl>
    <w:p/>
    <w:p>
      <w:r>
        <w:rPr>
          <w:b w:val="0"/>
          <w:i w:val="0"/>
        </w:rPr>
        <w:t>If the company does not choose the benefit under section 46, depreciation is computed under Schedule 2 for the year of loss and the compensation received is included in income in accordance with sections 31 and 62 in the year of receipt.</w:t>
      </w:r>
    </w:p>
    <w:p>
      <w:r>
        <w:rPr>
          <w:b w:val="0"/>
          <w:i w:val="0"/>
        </w:rPr>
        <w:t>The same principle applies to involuntary disposal of a liability where a liability of the same kind is assumed within one year and the statutory conditions and written request are satisfied. The Act also permits the Department to approve treatment of certain compelled mergers or substitutions as involuntary disposals.</w:t>
      </w:r>
    </w:p>
    <w:p>
      <w:pPr>
        <w:pStyle w:val="Heading3"/>
      </w:pPr>
      <w:r>
        <w:rPr>
          <w:b w:val="0"/>
          <w:i w:val="0"/>
        </w:rPr>
        <w:t>Example 22.13.3</w:t>
      </w:r>
    </w:p>
    <w:p>
      <w:r>
        <w:rPr>
          <w:b w:val="0"/>
          <w:i w:val="0"/>
        </w:rPr>
        <w:t>N.D.L. Finance Ltd. is directed by Nepal Rastra Bank to merge into Nepal Jan Laxmi Bank Ltd. In that merger the shareholders of the finance company receive shares of the bank. Such compulsory substitution of shares may be treated as an involuntary disposal and replacement if approval of the Department is obtained and the applicable conditions are satisfied.</w:t>
      </w:r>
    </w:p>
    <w:p>
      <w:pPr>
        <w:pStyle w:val="Heading2"/>
      </w:pPr>
      <w:r>
        <w:rPr>
          <w:b w:val="0"/>
          <w:i w:val="0"/>
        </w:rPr>
        <w:t>22.14 Disposal by Merger of Asset and Liability</w:t>
      </w:r>
    </w:p>
    <w:p>
      <w:r>
        <w:rPr>
          <w:b w:val="0"/>
          <w:i w:val="0"/>
        </w:rPr>
        <w:t>Section 47 deals with cases in which, because a person acquires an asset or assumes a liability, another asset owned by that person or another liability borne by that person is extinguished or merged. If an asset or liability merges into another asset or liability, the Act determines the amount deemed derived or incurred by reference to net outgoings or net incomings immediately before the merger, subject to the limits stated in the Act. The purpose is to avoid artificial gain or loss where rights and obligations are set off or merged into a new asset or liability.</w:t>
      </w:r>
    </w:p>
    <w:p>
      <w:pPr>
        <w:pStyle w:val="Heading3"/>
      </w:pPr>
      <w:r>
        <w:rPr>
          <w:b w:val="0"/>
          <w:i w:val="0"/>
        </w:rPr>
        <w:t>Example 22.14.1</w:t>
      </w:r>
    </w:p>
    <w:p>
      <w:r>
        <w:rPr>
          <w:b w:val="0"/>
          <w:i w:val="0"/>
        </w:rPr>
        <w:t>Khop Ltd. issued a bill of exchange of Rs. 7,000,000 in favour of Nep Pvt. Ltd. Nep Pvt. Ltd. issued a bill of exchange of Rs. 6,000,000 in favour of Jan Ltd. Jan Ltd. presented the bill to Khop Ltd. As a result, Khop Ltd. had a liability of Rs. 7,000,000 and a receivable asset of Rs. 6,000,000. These may be merged and a new bill may be issued. The merged asset is Rs. 1,000,000, and the liability cannot be treated as merged beyond the amount of the asset that is actually merged.</w:t>
      </w:r>
    </w:p>
    <w:p>
      <w:pPr>
        <w:pStyle w:val="Heading2"/>
      </w:pPr>
      <w:r>
        <w:rPr>
          <w:b w:val="0"/>
          <w:i w:val="0"/>
        </w:rPr>
        <w:t>22.15 Special Provision Relating to Disposal Caused by Merger of Business</w:t>
      </w:r>
    </w:p>
    <w:p>
      <w:r>
        <w:rPr>
          <w:b w:val="0"/>
          <w:i w:val="0"/>
        </w:rPr>
        <w:t>Section 47A contains special provisions where entities carrying on banking and financial business or insurance business of the same nature merge or are acquired. In such a case, the restrictions in section 57(2)(a), (b), (d), (e), (f) and (g), and section 57(3), do not apply in the manner that they would apply to an ordinary change in ownership. The provision is intended to allow continuity of specified tax attributes in qualifying mergers or acquisitions of similar banking, financial or insurance businesses.</w:t>
      </w:r>
    </w:p>
    <w:p>
      <w:r>
        <w:rPr>
          <w:b w:val="0"/>
          <w:i w:val="0"/>
        </w:rPr>
        <w:t>The restrictions that may be relaxed include limitations on claiming pre-change losses, carrying forward or deducting expenses and losses, and dealing with amounts that would otherwise be disallowed after a change of ownership. However, if the merged entity has unrelieved losses, those losses are to be deducted proportionately over the next seven years. If the entity that is deducting such losses is again divided before the full loss is deducted, tax must be paid at the rate prevailing in the year of merger or acquisition on the amount of deduction already claimed in respect of those losses, as provided in the Act.</w:t>
      </w:r>
    </w:p>
    <w:p>
      <w:r>
        <w:rPr>
          <w:b w:val="0"/>
          <w:i w:val="0"/>
        </w:rPr>
        <w:t>Where entities merge, all assets and liabilities of one entity are transferred to the other entity. Section 47A(2) provides the following valuation rules:</w:t>
      </w:r>
    </w:p>
    <w:p>
      <w:pPr>
        <w:pStyle w:val="ListBullet"/>
      </w:pPr>
      <w:r>
        <w:rPr>
          <w:b w:val="0"/>
          <w:i w:val="0"/>
        </w:rPr>
        <w:t>For stock-in-trade and business assets, the transferor is treated as deriving the amount equal to the net outgoings immediately before disposal, and the transferee is treated as incurring the same cost.</w:t>
      </w:r>
    </w:p>
    <w:p>
      <w:pPr>
        <w:pStyle w:val="ListBullet"/>
      </w:pPr>
      <w:r>
        <w:rPr>
          <w:b w:val="0"/>
          <w:i w:val="0"/>
        </w:rPr>
        <w:t>For depreciable property, the amount is the written-down value of the relevant depreciation pool under Schedule 2 at the time of disposal, and the transferee uses the same amount as cost.</w:t>
      </w:r>
    </w:p>
    <w:p>
      <w:pPr>
        <w:pStyle w:val="ListBullet"/>
      </w:pPr>
      <w:r>
        <w:rPr>
          <w:b w:val="0"/>
          <w:i w:val="0"/>
        </w:rPr>
        <w:t>For liabilities, the amount is the lower of market value and net incomings immediately before disposal, and the person bearing the liability is treated as deriving the corresponding amount.</w:t>
      </w:r>
    </w:p>
    <w:p>
      <w:r>
        <w:rPr>
          <w:b w:val="0"/>
          <w:i w:val="0"/>
        </w:rPr>
        <w:t>This special rule operates only for qualifying mergers or acquisitions of entities of the same prescribed nature and must be read together with the conditions and procedures under the Act and directives issued by the tax administration.</w:t>
      </w:r>
    </w:p>
    <w:p>
      <w:pPr>
        <w:pStyle w:val="Heading2"/>
      </w:pPr>
      <w:r>
        <w:rPr>
          <w:b w:val="0"/>
          <w:i w:val="0"/>
        </w:rPr>
        <w:t>22.16 Disposal of Asset and Liability by Division</w:t>
      </w:r>
    </w:p>
    <w:p>
      <w:r>
        <w:rPr>
          <w:b w:val="0"/>
          <w:i w:val="0"/>
        </w:rPr>
        <w:t>Section 48 deals with division of rights in an asset or burdens in a liability. If rights connected with an asset owned by a person, or burdens connected with a liability borne by a person, are created in another person, including by a lease of an asset or part of an asset, the consequences depend on whether the rights or burdens are permanent or temporary/contingent.</w:t>
      </w:r>
    </w:p>
    <w:p>
      <w:pPr>
        <w:pStyle w:val="ListBullet"/>
      </w:pPr>
      <w:r>
        <w:rPr>
          <w:b w:val="0"/>
          <w:i w:val="0"/>
        </w:rPr>
        <w:t>If the rights or burdens are permanent, the first person is treated as disposing of part of the asset or liability, but not as acquiring a new asset or liability.</w:t>
      </w:r>
    </w:p>
    <w:p>
      <w:pPr>
        <w:pStyle w:val="ListBullet"/>
      </w:pPr>
      <w:r>
        <w:rPr>
          <w:b w:val="0"/>
          <w:i w:val="0"/>
        </w:rPr>
        <w:t>If the rights or burdens are temporary or contingent, the first person is not treated as disposing of part of the asset or liability; however, a new asset may be treated as acquired or a new liability as assumed, depending on the circumstances.</w:t>
      </w:r>
    </w:p>
    <w:p>
      <w:r>
        <w:rPr>
          <w:b w:val="0"/>
          <w:i w:val="0"/>
        </w:rPr>
        <w:t>For example, if a part of a plot of land is separated and permanently transferred to another person, there is a disposal of that part of the land. By contrast, where property is given under an operating lease and the ownership rights are not permanently transferred, the arrangement is not treated as a disposal of part of the property.</w:t>
      </w:r>
    </w:p>
    <w:p>
      <w:pPr>
        <w:pStyle w:val="Heading2"/>
      </w:pPr>
      <w:r>
        <w:rPr>
          <w:b w:val="0"/>
          <w:i w:val="0"/>
        </w:rPr>
        <w:t>22.17 Disposal by Apportionment of Outgoings and Incomings</w:t>
      </w:r>
    </w:p>
    <w:p>
      <w:r>
        <w:rPr>
          <w:b w:val="0"/>
          <w:i w:val="0"/>
        </w:rPr>
        <w:t>Section 49 provides rules for apportioning outgoings and incomings where multiple assets or liabilities are acquired, assumed or disposed of together, or where only a part of an asset or liability is disposed of. If a person acquires one or more assets or assumes one or more liabilities at the same time, or disposes of one or more assets or liabilities at the same time, the relevant outgoings or incomings must be allocated among the assets and liabilities on the basis of their market values at the time of acquisition, assumption or disposal.</w:t>
      </w:r>
    </w:p>
    <w:p>
      <w:pPr>
        <w:pStyle w:val="Heading3"/>
      </w:pPr>
      <w:r>
        <w:rPr>
          <w:b w:val="0"/>
          <w:i w:val="0"/>
        </w:rPr>
        <w:t>Example 22.17.1</w:t>
      </w:r>
    </w:p>
    <w:p>
      <w:r>
        <w:rPr>
          <w:b w:val="0"/>
          <w:i w:val="0"/>
        </w:rPr>
        <w:t>Laxmi Finance Institution Ltd., Pokhara, purchases two parcels of land valued at Rs. 10,000,000 and Rs. 5,000,000. In connection with the purchase, it pays Rs. 300,000 to B.B. Associates for survey and legal review. The expense is apportioned according to the market values of the two parcels. Accordingly, Rs. 200,000 is allocated to the land worth Rs. 10,000,000 and Rs. 100,000 to the land worth Rs. 5,000,000.</w:t>
      </w:r>
    </w:p>
    <w:p>
      <w:r>
        <w:rPr>
          <w:b w:val="0"/>
          <w:i w:val="0"/>
        </w:rPr>
        <w:t>Where a person disposes of only part of an asset or liability, the net outgoings or net incomings immediately before disposal must be allocated between the part disposed of and the remaining part on the basis of their market values immediately after disposal.</w:t>
      </w:r>
    </w:p>
    <w:p>
      <w:pPr>
        <w:pStyle w:val="Heading3"/>
      </w:pPr>
      <w:r>
        <w:rPr>
          <w:b w:val="0"/>
          <w:i w:val="0"/>
        </w:rPr>
        <w:t>Example 22.17.2</w:t>
      </w:r>
    </w:p>
    <w:p>
      <w:r>
        <w:rPr>
          <w:b w:val="0"/>
          <w:i w:val="0"/>
        </w:rPr>
        <w:t>Laxmi Finance Institution Ltd., Pokhara, purchased two ropani of land for Rs. 10,000,000. It paid Rs. 500,000 to B.B. Associates for survey, market valuation and legal review. The current market value of the land is Rs. 20,000,000. The institution sells one ropani for Rs. 12,000,000 and retains the other one ropani, whose value is Rs. 8,000,000. The total cost/outgoing is Rs. 10,500,000 and must be allocated by market value: 60 percent to the sold portion and 40 percent to the retained portion.</w:t>
      </w:r>
    </w:p>
    <w:tbl>
      <w:tblPr>
        <w:tblStyle w:val="TableGrid"/>
        <w:tblW w:type="auto" w:w="0"/>
        <w:jc w:val="center"/>
        <w:tblLook w:firstColumn="1" w:firstRow="1" w:lastColumn="0" w:lastRow="0" w:noHBand="0" w:noVBand="1" w:val="04A0"/>
      </w:tblPr>
      <w:tblGrid>
        <w:gridCol w:w="4946"/>
        <w:gridCol w:w="4946"/>
      </w:tblGrid>
      <w:tr>
        <w:trPr>
          <w:tblHeader w:val="true"/>
        </w:trPr>
        <w:tc>
          <w:tcPr>
            <w:tcW w:type="dxa" w:w="4946"/>
            <w:vAlign w:val="top"/>
            <w:shd w:fill="D9EAF7"/>
          </w:tcPr>
          <w:p>
            <w:r/>
            <w:r>
              <w:rPr>
                <w:b/>
                <w:sz w:val="18"/>
              </w:rPr>
              <w:t>Particulars</w:t>
            </w:r>
          </w:p>
        </w:tc>
        <w:tc>
          <w:tcPr>
            <w:tcW w:type="dxa" w:w="4946"/>
            <w:vAlign w:val="top"/>
            <w:shd w:fill="D9EAF7"/>
          </w:tcPr>
          <w:p>
            <w:r/>
            <w:r>
              <w:rPr>
                <w:b/>
                <w:sz w:val="18"/>
              </w:rPr>
              <w:t>Amount</w:t>
            </w:r>
          </w:p>
        </w:tc>
      </w:tr>
      <w:tr>
        <w:tc>
          <w:tcPr>
            <w:tcW w:type="dxa" w:w="4946"/>
            <w:vAlign w:val="top"/>
          </w:tcPr>
          <w:p>
            <w:r/>
            <w:r>
              <w:rPr>
                <w:b w:val="0"/>
                <w:sz w:val="18"/>
              </w:rPr>
              <w:t>Cost of land</w:t>
            </w:r>
          </w:p>
        </w:tc>
        <w:tc>
          <w:tcPr>
            <w:tcW w:type="dxa" w:w="4946"/>
            <w:vAlign w:val="top"/>
          </w:tcPr>
          <w:p>
            <w:r/>
            <w:r>
              <w:rPr>
                <w:b w:val="0"/>
                <w:sz w:val="18"/>
              </w:rPr>
              <w:t>Rs. 10,000,000</w:t>
            </w:r>
          </w:p>
        </w:tc>
      </w:tr>
      <w:tr>
        <w:tc>
          <w:tcPr>
            <w:tcW w:type="dxa" w:w="4946"/>
            <w:vAlign w:val="top"/>
          </w:tcPr>
          <w:p>
            <w:r/>
            <w:r>
              <w:rPr>
                <w:b w:val="0"/>
                <w:sz w:val="18"/>
              </w:rPr>
              <w:t>Consultancy cost</w:t>
            </w:r>
          </w:p>
        </w:tc>
        <w:tc>
          <w:tcPr>
            <w:tcW w:type="dxa" w:w="4946"/>
            <w:vAlign w:val="top"/>
          </w:tcPr>
          <w:p>
            <w:r/>
            <w:r>
              <w:rPr>
                <w:b w:val="0"/>
                <w:sz w:val="18"/>
              </w:rPr>
              <w:t>Rs. 500,000</w:t>
            </w:r>
          </w:p>
        </w:tc>
      </w:tr>
      <w:tr>
        <w:tc>
          <w:tcPr>
            <w:tcW w:type="dxa" w:w="4946"/>
            <w:vAlign w:val="top"/>
          </w:tcPr>
          <w:p>
            <w:r/>
            <w:r>
              <w:rPr>
                <w:b w:val="0"/>
                <w:sz w:val="18"/>
              </w:rPr>
              <w:t>Total cost/outgoing</w:t>
            </w:r>
          </w:p>
        </w:tc>
        <w:tc>
          <w:tcPr>
            <w:tcW w:type="dxa" w:w="4946"/>
            <w:vAlign w:val="top"/>
          </w:tcPr>
          <w:p>
            <w:r/>
            <w:r>
              <w:rPr>
                <w:b w:val="0"/>
                <w:sz w:val="18"/>
              </w:rPr>
              <w:t>Rs. 10,500,000</w:t>
            </w:r>
          </w:p>
        </w:tc>
      </w:tr>
      <w:tr>
        <w:tc>
          <w:tcPr>
            <w:tcW w:type="dxa" w:w="4946"/>
            <w:vAlign w:val="top"/>
          </w:tcPr>
          <w:p>
            <w:r/>
            <w:r>
              <w:rPr>
                <w:b w:val="0"/>
                <w:sz w:val="18"/>
              </w:rPr>
              <w:t>Market value of sold portion</w:t>
            </w:r>
          </w:p>
        </w:tc>
        <w:tc>
          <w:tcPr>
            <w:tcW w:type="dxa" w:w="4946"/>
            <w:vAlign w:val="top"/>
          </w:tcPr>
          <w:p>
            <w:r/>
            <w:r>
              <w:rPr>
                <w:b w:val="0"/>
                <w:sz w:val="18"/>
              </w:rPr>
              <w:t>Rs. 12,000,000 (60%)</w:t>
            </w:r>
          </w:p>
        </w:tc>
      </w:tr>
      <w:tr>
        <w:tc>
          <w:tcPr>
            <w:tcW w:type="dxa" w:w="4946"/>
            <w:vAlign w:val="top"/>
          </w:tcPr>
          <w:p>
            <w:r/>
            <w:r>
              <w:rPr>
                <w:b w:val="0"/>
                <w:sz w:val="18"/>
              </w:rPr>
              <w:t>Market value of retained portion</w:t>
            </w:r>
          </w:p>
        </w:tc>
        <w:tc>
          <w:tcPr>
            <w:tcW w:type="dxa" w:w="4946"/>
            <w:vAlign w:val="top"/>
          </w:tcPr>
          <w:p>
            <w:r/>
            <w:r>
              <w:rPr>
                <w:b w:val="0"/>
                <w:sz w:val="18"/>
              </w:rPr>
              <w:t>Rs. 8,000,000 (40%)</w:t>
            </w:r>
          </w:p>
        </w:tc>
      </w:tr>
      <w:tr>
        <w:tc>
          <w:tcPr>
            <w:tcW w:type="dxa" w:w="4946"/>
            <w:vAlign w:val="top"/>
          </w:tcPr>
          <w:p>
            <w:r/>
            <w:r>
              <w:rPr>
                <w:b w:val="0"/>
                <w:sz w:val="18"/>
              </w:rPr>
              <w:t>Cost allocated to sold portion</w:t>
            </w:r>
          </w:p>
        </w:tc>
        <w:tc>
          <w:tcPr>
            <w:tcW w:type="dxa" w:w="4946"/>
            <w:vAlign w:val="top"/>
          </w:tcPr>
          <w:p>
            <w:r/>
            <w:r>
              <w:rPr>
                <w:b w:val="0"/>
                <w:sz w:val="18"/>
              </w:rPr>
              <w:t>Rs. 6,300,000</w:t>
            </w:r>
          </w:p>
        </w:tc>
      </w:tr>
      <w:tr>
        <w:tc>
          <w:tcPr>
            <w:tcW w:type="dxa" w:w="4946"/>
            <w:vAlign w:val="top"/>
          </w:tcPr>
          <w:p>
            <w:r/>
            <w:r>
              <w:rPr>
                <w:b w:val="0"/>
                <w:sz w:val="18"/>
              </w:rPr>
              <w:t>Cost allocated to retained portion</w:t>
            </w:r>
          </w:p>
        </w:tc>
        <w:tc>
          <w:tcPr>
            <w:tcW w:type="dxa" w:w="4946"/>
            <w:vAlign w:val="top"/>
          </w:tcPr>
          <w:p>
            <w:r/>
            <w:r>
              <w:rPr>
                <w:b w:val="0"/>
                <w:sz w:val="18"/>
              </w:rPr>
              <w:t>Rs. 4,200,000</w:t>
            </w:r>
          </w:p>
        </w:tc>
      </w:tr>
    </w:tbl>
    <w:p/>
    <w:p>
      <w:r>
        <w:rPr>
          <w:b w:val="0"/>
          <w:i/>
        </w:rPr>
        <w:t>Note: The directive states that capital-gain tax on disposal, sale or transfer of land and house/land is explained in detail in the Directive on Capital Gain Tax on Disposal of Land and House-Land, 2072 (First Amendment, 2076), issued by the Department and available on the Department's website.</w:t>
      </w:r>
    </w:p>
    <w:p>
      <w:pPr>
        <w:pStyle w:val="Heading2"/>
      </w:pPr>
      <w:r>
        <w:rPr>
          <w:b w:val="0"/>
          <w:i w:val="0"/>
        </w:rPr>
        <w:t>Additional Detailed Translation of Statutory Computation Rules</w:t>
      </w:r>
    </w:p>
    <w:p>
      <w:r>
        <w:rPr>
          <w:b w:val="0"/>
          <w:i w:val="0"/>
        </w:rPr>
        <w:t>The following paragraphs retain in greater detail the computation rules and illustrations contained in the later part of Chapter 22. They are included to preserve the legal meaning of the source chapter where the source text sets out the Act provision followed by a practical explanation.</w:t>
      </w:r>
    </w:p>
    <w:p>
      <w:pPr>
        <w:pStyle w:val="Heading3"/>
      </w:pPr>
      <w:r>
        <w:rPr>
          <w:b w:val="0"/>
          <w:i w:val="0"/>
        </w:rPr>
        <w:t>A. Detailed treatment of outgoings under section 38</w:t>
      </w:r>
    </w:p>
    <w:p>
      <w:r>
        <w:rPr>
          <w:b w:val="0"/>
          <w:i w:val="0"/>
        </w:rPr>
        <w:t>Where an asset is received without payment, or where tax has been paid because value has been included in income as a consequence of receiving the asset or because of an increase in the asset, the amount included in tax accounting is treated as an outgoing for that asset. This ensures that the cost base reflects amounts that have already been brought into tax.</w:t>
      </w:r>
    </w:p>
    <w:p>
      <w:r>
        <w:rPr>
          <w:b w:val="0"/>
          <w:i w:val="0"/>
        </w:rPr>
        <w:t>If an employee of a foreign government receives, in addition to cash salary, bonds issued by that foreign government with a market value of Rs. 100,000 and the amount is exempt under section 10, and if in the following year the bonds are sold in Nepal for Rs. 105,000, gain is computed by treating Rs. 100,000 as outgoing and Rs. 105,000 as incoming.</w:t>
      </w:r>
    </w:p>
    <w:p>
      <w:r>
        <w:rPr>
          <w:b w:val="0"/>
          <w:i w:val="0"/>
        </w:rPr>
        <w:t>Section 38(2) provides that net outgoings for an asset or liability at a particular time are the excess, if any, of the total outgoings for that asset or liability over the total incomings for that asset or liability at that time. Section 38(3) provides that deductions allowed in computing income under Chapters 6 and 7 are treated in the same manner as outgoings for the asset or liability, but section 26 does not apply for that purpose.</w:t>
      </w:r>
    </w:p>
    <w:p>
      <w:r>
        <w:rPr>
          <w:b w:val="0"/>
          <w:i w:val="0"/>
        </w:rPr>
        <w:t>For example, if Gopesh and Company Pvt. Ltd. purchases land for Rs. 4,000,000, spends Rs. 100,000 in the next year for levelling the land, and receives Rs. 200,000 in the third year for transferring an irregular portion of the land to a neighbour, the cost base/outgoings are: first year Rs. 4,000,000; second year Rs. 4,100,000; third year after the partial disposal Rs. 3,900,000. For accounting and tax-base purposes, the outgoing of the asset is the tax base.</w:t>
      </w:r>
    </w:p>
    <w:p>
      <w:pPr>
        <w:pStyle w:val="Heading3"/>
      </w:pPr>
      <w:r>
        <w:rPr>
          <w:b w:val="0"/>
          <w:i w:val="0"/>
        </w:rPr>
        <w:t>B. Detailed treatment of incomings under section 39</w:t>
      </w:r>
    </w:p>
    <w:p>
      <w:r>
        <w:rPr>
          <w:b w:val="0"/>
          <w:i w:val="0"/>
        </w:rPr>
        <w:t>Incomings for an asset or liability include amounts received on assuming a liability, amounts received in connection with acquisition of an asset or assumption of a liability including amounts derived by changing or reducing the value of an asset or increasing a liability, and amounts received or receivable on disposal of the asset or liability. Exempt amounts, final withholding payments and amounts already included in the person's income computation are excluded from this computation to avoid duplication.</w:t>
      </w:r>
    </w:p>
    <w:p>
      <w:r>
        <w:rPr>
          <w:b w:val="0"/>
          <w:i w:val="0"/>
        </w:rPr>
        <w:t>Net incomings at a particular time are the excess of total incomings over total outgoings for that asset or liability. Amounts included in income under the quantification, characterisation and allocation provisions are treated as incomings where those amounts arise because of the asset or liability, except where section 26 is relevant and the Act provides otherwise.</w:t>
      </w:r>
    </w:p>
    <w:p>
      <w:pPr>
        <w:pStyle w:val="Heading3"/>
      </w:pPr>
      <w:r>
        <w:rPr>
          <w:b w:val="0"/>
          <w:i w:val="0"/>
        </w:rPr>
        <w:t>C. Detailed deemed-disposal situations under section 40</w:t>
      </w:r>
    </w:p>
    <w:p>
      <w:r>
        <w:rPr>
          <w:b w:val="0"/>
          <w:i w:val="0"/>
        </w:rPr>
        <w:t>Apart from ordinary sale or transfer, the directive lists the following events as disposals or deemed disposals:</w:t>
      </w:r>
    </w:p>
    <w:p>
      <w:pPr>
        <w:pStyle w:val="ListBullet"/>
      </w:pPr>
      <w:r>
        <w:rPr>
          <w:b w:val="0"/>
          <w:i w:val="0"/>
        </w:rPr>
        <w:t>death of a natural person immediately before death;</w:t>
      </w:r>
    </w:p>
    <w:p>
      <w:pPr>
        <w:pStyle w:val="ListBullet"/>
      </w:pPr>
      <w:r>
        <w:rPr>
          <w:b w:val="0"/>
          <w:i w:val="0"/>
        </w:rPr>
        <w:t>where incomings for an asset exceed outgoings in the specified manner;</w:t>
      </w:r>
    </w:p>
    <w:p>
      <w:pPr>
        <w:pStyle w:val="ListBullet"/>
      </w:pPr>
      <w:r>
        <w:rPr>
          <w:b w:val="0"/>
          <w:i w:val="0"/>
        </w:rPr>
        <w:t>where a debt claim becomes bad according to the standards prescribed for banks and financial institutions, or where another debt claim is reasonably believed to be irrecoverable after appropriate recovery measures have been taken;</w:t>
      </w:r>
    </w:p>
    <w:p>
      <w:pPr>
        <w:pStyle w:val="ListBullet"/>
      </w:pPr>
      <w:r>
        <w:rPr>
          <w:b w:val="0"/>
          <w:i w:val="0"/>
        </w:rPr>
        <w:t>where an asset changes its character, for example stock-in-trade becomes a depreciable property, business asset or non-business taxable asset, or a depreciable property becomes stock-in-trade or another category of asset;</w:t>
      </w:r>
    </w:p>
    <w:p>
      <w:pPr>
        <w:pStyle w:val="ListBullet"/>
      </w:pPr>
      <w:r>
        <w:rPr>
          <w:b w:val="0"/>
          <w:i w:val="0"/>
        </w:rPr>
        <w:t>where an entity has a change in ownership within the meaning of section 57; and</w:t>
      </w:r>
    </w:p>
    <w:p>
      <w:pPr>
        <w:pStyle w:val="ListBullet"/>
      </w:pPr>
      <w:r>
        <w:rPr>
          <w:b w:val="0"/>
          <w:i w:val="0"/>
        </w:rPr>
        <w:t>where a resident person becomes non-resident, immediately before that person becomes non-resident, except in relation to land or buildings situated in Nepal.</w:t>
      </w:r>
    </w:p>
    <w:p>
      <w:r>
        <w:rPr>
          <w:b w:val="0"/>
          <w:i w:val="0"/>
        </w:rPr>
        <w:t>A vehicle held as stock-in-trade by a motor-vehicle dealer becomes a depreciable property if the dealer starts using it in the business. Immediately before that change of use, the vehicle is treated as disposed of as stock-in-trade and as entering the new category. Likewise, a real estate company that transfers a house from stock-in-trade to fixed assets is treated as disposing of stock-in-trade at that date and thereafter holding a depreciable or business asset according to the use.</w:t>
      </w:r>
    </w:p>
    <w:p>
      <w:r>
        <w:rPr>
          <w:b w:val="0"/>
          <w:i w:val="0"/>
        </w:rPr>
        <w:t>Where a resident individual leaves Nepal permanently and becomes non-resident, shares or other assets outside the exception for land/building in Nepal are treated as disposed of immediately before the change of residence. If Shailesh purchased listed-company shares for Rs. 300,000 and became non-resident when the market value was Rs. 500,000, the deemed disposal at that time gives rise to a gain of Rs. 200,000. If he later actually sells the shares for Rs. 600,000 and pays Rs. 1,200 broker commission, the cost base for later computation is the Rs. 500,000 market value recognised at deemed disposal plus relevant subsequent outgoings.</w:t>
      </w:r>
    </w:p>
    <w:tbl>
      <w:tblPr>
        <w:tblStyle w:val="TableGrid"/>
        <w:tblW w:type="auto" w:w="0"/>
        <w:jc w:val="center"/>
        <w:tblLook w:firstColumn="1" w:firstRow="1" w:lastColumn="0" w:lastRow="0" w:noHBand="0" w:noVBand="1" w:val="04A0"/>
      </w:tblPr>
      <w:tblGrid>
        <w:gridCol w:w="4946"/>
        <w:gridCol w:w="4946"/>
      </w:tblGrid>
      <w:tr>
        <w:trPr>
          <w:tblHeader w:val="true"/>
        </w:trPr>
        <w:tc>
          <w:tcPr>
            <w:tcW w:type="dxa" w:w="4946"/>
            <w:vAlign w:val="top"/>
            <w:shd w:fill="D9EAF7"/>
          </w:tcPr>
          <w:p>
            <w:r/>
            <w:r>
              <w:rPr>
                <w:b/>
                <w:sz w:val="18"/>
              </w:rPr>
              <w:t>Computation - Shailesh shares</w:t>
            </w:r>
          </w:p>
        </w:tc>
        <w:tc>
          <w:tcPr>
            <w:tcW w:type="dxa" w:w="4946"/>
            <w:vAlign w:val="top"/>
            <w:shd w:fill="D9EAF7"/>
          </w:tcPr>
          <w:p>
            <w:r/>
            <w:r>
              <w:rPr>
                <w:b/>
                <w:sz w:val="18"/>
              </w:rPr>
              <w:t>Amount</w:t>
            </w:r>
          </w:p>
        </w:tc>
      </w:tr>
      <w:tr>
        <w:tc>
          <w:tcPr>
            <w:tcW w:type="dxa" w:w="4946"/>
            <w:vAlign w:val="top"/>
          </w:tcPr>
          <w:p>
            <w:r/>
            <w:r>
              <w:rPr>
                <w:b w:val="0"/>
                <w:sz w:val="18"/>
              </w:rPr>
              <w:t>Market value at deemed disposal</w:t>
            </w:r>
          </w:p>
        </w:tc>
        <w:tc>
          <w:tcPr>
            <w:tcW w:type="dxa" w:w="4946"/>
            <w:vAlign w:val="top"/>
          </w:tcPr>
          <w:p>
            <w:r/>
            <w:r>
              <w:rPr>
                <w:b w:val="0"/>
                <w:sz w:val="18"/>
              </w:rPr>
              <w:t>Rs. 500,000</w:t>
            </w:r>
          </w:p>
        </w:tc>
      </w:tr>
      <w:tr>
        <w:tc>
          <w:tcPr>
            <w:tcW w:type="dxa" w:w="4946"/>
            <w:vAlign w:val="top"/>
          </w:tcPr>
          <w:p>
            <w:r/>
            <w:r>
              <w:rPr>
                <w:b w:val="0"/>
                <w:sz w:val="18"/>
              </w:rPr>
              <w:t>Original cost</w:t>
            </w:r>
          </w:p>
        </w:tc>
        <w:tc>
          <w:tcPr>
            <w:tcW w:type="dxa" w:w="4946"/>
            <w:vAlign w:val="top"/>
          </w:tcPr>
          <w:p>
            <w:r/>
            <w:r>
              <w:rPr>
                <w:b w:val="0"/>
                <w:sz w:val="18"/>
              </w:rPr>
              <w:t>Rs. 300,000</w:t>
            </w:r>
          </w:p>
        </w:tc>
      </w:tr>
      <w:tr>
        <w:tc>
          <w:tcPr>
            <w:tcW w:type="dxa" w:w="4946"/>
            <w:vAlign w:val="top"/>
          </w:tcPr>
          <w:p>
            <w:r/>
            <w:r>
              <w:rPr>
                <w:b w:val="0"/>
                <w:sz w:val="18"/>
              </w:rPr>
              <w:t>Gain at deemed disposal</w:t>
            </w:r>
          </w:p>
        </w:tc>
        <w:tc>
          <w:tcPr>
            <w:tcW w:type="dxa" w:w="4946"/>
            <w:vAlign w:val="top"/>
          </w:tcPr>
          <w:p>
            <w:r/>
            <w:r>
              <w:rPr>
                <w:b w:val="0"/>
                <w:sz w:val="18"/>
              </w:rPr>
              <w:t>Rs. 200,000</w:t>
            </w:r>
          </w:p>
        </w:tc>
      </w:tr>
      <w:tr>
        <w:tc>
          <w:tcPr>
            <w:tcW w:type="dxa" w:w="4946"/>
            <w:vAlign w:val="top"/>
          </w:tcPr>
          <w:p>
            <w:r/>
            <w:r>
              <w:rPr>
                <w:b w:val="0"/>
                <w:sz w:val="18"/>
              </w:rPr>
              <w:t>Actual sale price later</w:t>
            </w:r>
          </w:p>
        </w:tc>
        <w:tc>
          <w:tcPr>
            <w:tcW w:type="dxa" w:w="4946"/>
            <w:vAlign w:val="top"/>
          </w:tcPr>
          <w:p>
            <w:r/>
            <w:r>
              <w:rPr>
                <w:b w:val="0"/>
                <w:sz w:val="18"/>
              </w:rPr>
              <w:t>Rs. 600,000</w:t>
            </w:r>
          </w:p>
        </w:tc>
      </w:tr>
      <w:tr>
        <w:tc>
          <w:tcPr>
            <w:tcW w:type="dxa" w:w="4946"/>
            <w:vAlign w:val="top"/>
          </w:tcPr>
          <w:p>
            <w:r/>
            <w:r>
              <w:rPr>
                <w:b w:val="0"/>
                <w:sz w:val="18"/>
              </w:rPr>
              <w:t>Cost base after deemed disposal</w:t>
            </w:r>
          </w:p>
        </w:tc>
        <w:tc>
          <w:tcPr>
            <w:tcW w:type="dxa" w:w="4946"/>
            <w:vAlign w:val="top"/>
          </w:tcPr>
          <w:p>
            <w:r/>
            <w:r>
              <w:rPr>
                <w:b w:val="0"/>
                <w:sz w:val="18"/>
              </w:rPr>
              <w:t>Rs. 500,000</w:t>
            </w:r>
          </w:p>
        </w:tc>
      </w:tr>
      <w:tr>
        <w:tc>
          <w:tcPr>
            <w:tcW w:type="dxa" w:w="4946"/>
            <w:vAlign w:val="top"/>
          </w:tcPr>
          <w:p>
            <w:r/>
            <w:r>
              <w:rPr>
                <w:b w:val="0"/>
                <w:sz w:val="18"/>
              </w:rPr>
              <w:t>Broker commission</w:t>
            </w:r>
          </w:p>
        </w:tc>
        <w:tc>
          <w:tcPr>
            <w:tcW w:type="dxa" w:w="4946"/>
            <w:vAlign w:val="top"/>
          </w:tcPr>
          <w:p>
            <w:r/>
            <w:r>
              <w:rPr>
                <w:b w:val="0"/>
                <w:sz w:val="18"/>
              </w:rPr>
              <w:t>Rs. 1,200</w:t>
            </w:r>
          </w:p>
        </w:tc>
      </w:tr>
      <w:tr>
        <w:tc>
          <w:tcPr>
            <w:tcW w:type="dxa" w:w="4946"/>
            <w:vAlign w:val="top"/>
          </w:tcPr>
          <w:p>
            <w:r/>
            <w:r>
              <w:rPr>
                <w:b w:val="0"/>
                <w:sz w:val="18"/>
              </w:rPr>
              <w:t>Subsequent gain</w:t>
            </w:r>
          </w:p>
        </w:tc>
        <w:tc>
          <w:tcPr>
            <w:tcW w:type="dxa" w:w="4946"/>
            <w:vAlign w:val="top"/>
          </w:tcPr>
          <w:p>
            <w:r/>
            <w:r>
              <w:rPr>
                <w:b w:val="0"/>
                <w:sz w:val="18"/>
              </w:rPr>
              <w:t>Rs. 98,800</w:t>
            </w:r>
          </w:p>
        </w:tc>
      </w:tr>
    </w:tbl>
    <w:p/>
    <w:p>
      <w:pPr>
        <w:pStyle w:val="Heading3"/>
      </w:pPr>
      <w:r>
        <w:rPr>
          <w:b w:val="0"/>
          <w:i w:val="0"/>
        </w:rPr>
        <w:t>D. Retention after deemed disposal under section 41</w:t>
      </w:r>
    </w:p>
    <w:p>
      <w:r>
        <w:rPr>
          <w:b w:val="0"/>
          <w:i w:val="0"/>
        </w:rPr>
        <w:t>Where a deemed disposal occurs under section 40(3)(c), (d), (e) or (f), but the person continues to hold the asset or bear the liability, section 41 treats the asset as disposed of at market value and then retained with a new base. For an asset, the person is treated as receiving the market value at the time of deemed disposal. On a subsequent disposal, the net outgoings up to the deemed-disposal time are treated as equal to that deemed amount. For a liability, the person is treated as incurring the market value at the time of deemed disposal and later net incomings are adjusted in the corresponding manner.</w:t>
      </w:r>
    </w:p>
    <w:p>
      <w:pPr>
        <w:pStyle w:val="Heading3"/>
      </w:pPr>
      <w:r>
        <w:rPr>
          <w:b w:val="0"/>
          <w:i w:val="0"/>
        </w:rPr>
        <w:t>E. Instalment sale and finance lease under section 42</w:t>
      </w:r>
    </w:p>
    <w:p>
      <w:r>
        <w:rPr>
          <w:b w:val="0"/>
          <w:i w:val="0"/>
        </w:rPr>
        <w:t>If an asset is transferred under an instalment sale or a finance lease, the disposal computation is made at the time prescribed by the Act. The lessor or seller is treated as disposing of the asset, and the lessee or purchaser is treated as acquiring it, even if legal title remains with the seller or lessor. Payments must be separated into capital and finance/interest components according to the substance of the arrangement.</w:t>
      </w:r>
    </w:p>
    <w:p>
      <w:pPr>
        <w:pStyle w:val="Heading3"/>
      </w:pPr>
      <w:r>
        <w:rPr>
          <w:b w:val="0"/>
          <w:i w:val="0"/>
        </w:rPr>
        <w:t>F. Associated-person and non-market transfers under section 45</w:t>
      </w:r>
    </w:p>
    <w:p>
      <w:r>
        <w:rPr>
          <w:b w:val="0"/>
          <w:i w:val="0"/>
        </w:rPr>
        <w:t>For transfers of assets without consideration to an associated person or any other person, the general rule is market value or net outgoings, whichever is higher, for the transferor's incoming and the transferee's cost. For liabilities, the corresponding rule uses market value or net incomings, whichever is lower, as the transferor's cost and transferee's incoming. Special carry-over treatment is available only when the statutory conditions are satisfied: continuity of asset/liability character in business or investment, resident transferor and transferee, transferee not exempt from tax, at least 50 percent continuing underlying ownership or burden, and written election by both parties.</w:t>
      </w:r>
    </w:p>
    <w:p>
      <w:r>
        <w:rPr>
          <w:b w:val="0"/>
          <w:i w:val="0"/>
        </w:rPr>
        <w:t>Where these conditions are met for business assets, stock-in-trade or non-business taxable assets, the incoming and transferee cost are the transferor's net outgoings. Where they are met for depreciable property, the amount is the written-down value of the relevant depreciation pool. Where they are met for business liabilities, the amount is the transferor's net incomings immediately before the transfer.</w:t>
      </w:r>
    </w:p>
    <w:p>
      <w:pPr>
        <w:pStyle w:val="Heading3"/>
      </w:pPr>
      <w:r>
        <w:rPr>
          <w:b w:val="0"/>
          <w:i w:val="0"/>
        </w:rPr>
        <w:t>G. Involuntary disposal and replacement under section 46</w:t>
      </w:r>
    </w:p>
    <w:p>
      <w:r>
        <w:rPr>
          <w:b w:val="0"/>
          <w:i w:val="0"/>
        </w:rPr>
        <w:t>For involuntary disposal of an asset, if the person acquires a replacement asset of the same kind within one year and makes the required written request, the Act reduces or defers the immediate gain by reference to the cost of the replacement asset. If the replacement cost is less than compensation, part of the gain remains taxable. If the replacement cost equals the compensation, the gain may be fully deferred. If the replacement cost exceeds the compensation, the additional cost increases the base of the replacement asset. The same principle is applied to a liability where a replacement liability of the same kind is assumed within one year.</w:t>
      </w:r>
    </w:p>
    <w:p>
      <w:r>
        <w:rPr>
          <w:b w:val="0"/>
          <w:i w:val="0"/>
        </w:rPr>
        <w:t>The directive also indicates that where regulatory compulsion, such as direction by Nepal Rastra Bank, causes merger or substitution of shares, the Department's approval is necessary for the involuntary-disposal treatment to apply.</w:t>
      </w:r>
    </w:p>
    <w:p>
      <w:pPr>
        <w:pStyle w:val="Heading3"/>
      </w:pPr>
      <w:r>
        <w:rPr>
          <w:b w:val="0"/>
          <w:i w:val="0"/>
        </w:rPr>
        <w:t>H. Merger of assets and liabilities under section 47</w:t>
      </w:r>
    </w:p>
    <w:p>
      <w:r>
        <w:rPr>
          <w:b w:val="0"/>
          <w:i w:val="0"/>
        </w:rPr>
        <w:t>Where an asset or liability is extinguished or merged because another asset is acquired or another liability is assumed, the Act transfers the relevant cost or income base to the new asset or liability, subject to limits. If the merged asset or liability had net outgoings, the person is treated as deriving an amount equal to those net outgoings in relation to the disposed asset or liability, and as incurring the same amount for the merged asset or assumed liability, but not exceeding the amount derived from the merged liability where the Act so limits. If a merged liability had net incomings, the corresponding amount is treated as cost of disposal and as amount derived on assumption of the new asset or liability according to the Act.</w:t>
      </w:r>
    </w:p>
    <w:p>
      <w:pPr>
        <w:pStyle w:val="Heading3"/>
      </w:pPr>
      <w:r>
        <w:rPr>
          <w:b w:val="0"/>
          <w:i w:val="0"/>
        </w:rPr>
        <w:t>I. Qualifying merger or acquisition of banking, financial or insurance entities under section 47A</w:t>
      </w:r>
    </w:p>
    <w:p>
      <w:r>
        <w:rPr>
          <w:b w:val="0"/>
          <w:i w:val="0"/>
        </w:rPr>
        <w:t>The special merger provision for entities carrying on banking and financial business or insurance business of the same nature is not a general exemption from tax. It is a continuity provision. Assets and liabilities pass to the transferee at tax values prescribed by the Act: net outgoings for stock-in-trade and business assets, written-down value for depreciable property, and the lower of market value and net incomings for liabilities. Unrelieved losses of the disappearing entity are not lost at once, but are deductible in equal instalments over seven years, subject to the recapture rule if the entity enjoying the deduction is again divided before the full deduction is used.</w:t>
      </w:r>
    </w:p>
    <w:p>
      <w:pPr>
        <w:pStyle w:val="Heading3"/>
      </w:pPr>
      <w:r>
        <w:rPr>
          <w:b w:val="0"/>
          <w:i w:val="0"/>
        </w:rPr>
        <w:t>J. Division and apportionment under sections 48 and 49</w:t>
      </w:r>
    </w:p>
    <w:p>
      <w:r>
        <w:rPr>
          <w:b w:val="0"/>
          <w:i w:val="0"/>
        </w:rPr>
        <w:t>Where rights in an asset or burdens in a liability are permanently created in another person, the first person is treated as disposing of part of the asset or liability. Where the rights or burdens are temporary or contingent, no disposal of part of the original asset or liability is treated as occurring, although a new asset or liability may arise. In all cases where multiple assets/liabilities are acquired, assumed or disposed of together, or where only part of an asset/liability is disposed of, the outgoings and incomings are apportioned on market-value basis.</w:t>
      </w:r>
    </w:p>
    <w:tbl>
      <w:tblPr>
        <w:tblStyle w:val="TableGrid"/>
        <w:tblW w:type="auto" w:w="0"/>
        <w:jc w:val="center"/>
        <w:tblLook w:firstColumn="1" w:firstRow="1" w:lastColumn="0" w:lastRow="0" w:noHBand="0" w:noVBand="1" w:val="04A0"/>
      </w:tblPr>
      <w:tblGrid>
        <w:gridCol w:w="4946"/>
        <w:gridCol w:w="4946"/>
      </w:tblGrid>
      <w:tr>
        <w:trPr>
          <w:tblHeader w:val="true"/>
        </w:trPr>
        <w:tc>
          <w:tcPr>
            <w:tcW w:type="dxa" w:w="4946"/>
            <w:vAlign w:val="top"/>
            <w:shd w:fill="D9EAF7"/>
          </w:tcPr>
          <w:p>
            <w:r/>
            <w:r>
              <w:rPr>
                <w:b/>
                <w:sz w:val="18"/>
              </w:rPr>
              <w:t>Apportionment example</w:t>
            </w:r>
          </w:p>
        </w:tc>
        <w:tc>
          <w:tcPr>
            <w:tcW w:type="dxa" w:w="4946"/>
            <w:vAlign w:val="top"/>
            <w:shd w:fill="D9EAF7"/>
          </w:tcPr>
          <w:p>
            <w:r/>
            <w:r>
              <w:rPr>
                <w:b/>
                <w:sz w:val="18"/>
              </w:rPr>
              <w:t>Amount</w:t>
            </w:r>
          </w:p>
        </w:tc>
      </w:tr>
      <w:tr>
        <w:tc>
          <w:tcPr>
            <w:tcW w:type="dxa" w:w="4946"/>
            <w:vAlign w:val="top"/>
          </w:tcPr>
          <w:p>
            <w:r/>
            <w:r>
              <w:rPr>
                <w:b w:val="0"/>
                <w:sz w:val="18"/>
              </w:rPr>
              <w:t>Total cost of two ropani land including consultancy</w:t>
            </w:r>
          </w:p>
        </w:tc>
        <w:tc>
          <w:tcPr>
            <w:tcW w:type="dxa" w:w="4946"/>
            <w:vAlign w:val="top"/>
          </w:tcPr>
          <w:p>
            <w:r/>
            <w:r>
              <w:rPr>
                <w:b w:val="0"/>
                <w:sz w:val="18"/>
              </w:rPr>
              <w:t>Rs. 10,500,000</w:t>
            </w:r>
          </w:p>
        </w:tc>
      </w:tr>
      <w:tr>
        <w:tc>
          <w:tcPr>
            <w:tcW w:type="dxa" w:w="4946"/>
            <w:vAlign w:val="top"/>
          </w:tcPr>
          <w:p>
            <w:r/>
            <w:r>
              <w:rPr>
                <w:b w:val="0"/>
                <w:sz w:val="18"/>
              </w:rPr>
              <w:t>Market value of entire land before part sale</w:t>
            </w:r>
          </w:p>
        </w:tc>
        <w:tc>
          <w:tcPr>
            <w:tcW w:type="dxa" w:w="4946"/>
            <w:vAlign w:val="top"/>
          </w:tcPr>
          <w:p>
            <w:r/>
            <w:r>
              <w:rPr>
                <w:b w:val="0"/>
                <w:sz w:val="18"/>
              </w:rPr>
              <w:t>Rs. 20,000,000</w:t>
            </w:r>
          </w:p>
        </w:tc>
      </w:tr>
      <w:tr>
        <w:tc>
          <w:tcPr>
            <w:tcW w:type="dxa" w:w="4946"/>
            <w:vAlign w:val="top"/>
          </w:tcPr>
          <w:p>
            <w:r/>
            <w:r>
              <w:rPr>
                <w:b w:val="0"/>
                <w:sz w:val="18"/>
              </w:rPr>
              <w:t>Market value of sold one ropani</w:t>
            </w:r>
          </w:p>
        </w:tc>
        <w:tc>
          <w:tcPr>
            <w:tcW w:type="dxa" w:w="4946"/>
            <w:vAlign w:val="top"/>
          </w:tcPr>
          <w:p>
            <w:r/>
            <w:r>
              <w:rPr>
                <w:b w:val="0"/>
                <w:sz w:val="18"/>
              </w:rPr>
              <w:t>Rs. 12,000,000 = 60%</w:t>
            </w:r>
          </w:p>
        </w:tc>
      </w:tr>
      <w:tr>
        <w:tc>
          <w:tcPr>
            <w:tcW w:type="dxa" w:w="4946"/>
            <w:vAlign w:val="top"/>
          </w:tcPr>
          <w:p>
            <w:r/>
            <w:r>
              <w:rPr>
                <w:b w:val="0"/>
                <w:sz w:val="18"/>
              </w:rPr>
              <w:t>Market value of retained one ropani</w:t>
            </w:r>
          </w:p>
        </w:tc>
        <w:tc>
          <w:tcPr>
            <w:tcW w:type="dxa" w:w="4946"/>
            <w:vAlign w:val="top"/>
          </w:tcPr>
          <w:p>
            <w:r/>
            <w:r>
              <w:rPr>
                <w:b w:val="0"/>
                <w:sz w:val="18"/>
              </w:rPr>
              <w:t>Rs. 8,000,000 = 40%</w:t>
            </w:r>
          </w:p>
        </w:tc>
      </w:tr>
      <w:tr>
        <w:tc>
          <w:tcPr>
            <w:tcW w:type="dxa" w:w="4946"/>
            <w:vAlign w:val="top"/>
          </w:tcPr>
          <w:p>
            <w:r/>
            <w:r>
              <w:rPr>
                <w:b w:val="0"/>
                <w:sz w:val="18"/>
              </w:rPr>
              <w:t>Cost allocated to sold part</w:t>
            </w:r>
          </w:p>
        </w:tc>
        <w:tc>
          <w:tcPr>
            <w:tcW w:type="dxa" w:w="4946"/>
            <w:vAlign w:val="top"/>
          </w:tcPr>
          <w:p>
            <w:r/>
            <w:r>
              <w:rPr>
                <w:b w:val="0"/>
                <w:sz w:val="18"/>
              </w:rPr>
              <w:t>Rs. 6,300,000</w:t>
            </w:r>
          </w:p>
        </w:tc>
      </w:tr>
      <w:tr>
        <w:tc>
          <w:tcPr>
            <w:tcW w:type="dxa" w:w="4946"/>
            <w:vAlign w:val="top"/>
          </w:tcPr>
          <w:p>
            <w:r/>
            <w:r>
              <w:rPr>
                <w:b w:val="0"/>
                <w:sz w:val="18"/>
              </w:rPr>
              <w:t>Cost allocated to retained part</w:t>
            </w:r>
          </w:p>
        </w:tc>
        <w:tc>
          <w:tcPr>
            <w:tcW w:type="dxa" w:w="4946"/>
            <w:vAlign w:val="top"/>
          </w:tcPr>
          <w:p>
            <w:r/>
            <w:r>
              <w:rPr>
                <w:b w:val="0"/>
                <w:sz w:val="18"/>
              </w:rPr>
              <w:t>Rs. 4,200,000</w:t>
            </w:r>
          </w:p>
        </w:tc>
      </w:tr>
    </w:tbl>
    <w:p/>
    <w:p>
      <w:pPr>
        <w:jc w:val="center"/>
      </w:pPr>
      <w:r>
        <w:rPr>
          <w:b w:val="0"/>
          <w:i/>
        </w:rPr>
        <w:t>End of Chapter 22</w:t>
      </w:r>
    </w:p>
    <w:p>
      <w:r>
        <w:br w:type="page"/>
      </w:r>
    </w:p>
    <w:p>
      <w:pPr>
        <w:pStyle w:val="Title"/>
        <w:spacing w:after="80" w:line="252" w:lineRule="auto"/>
        <w:jc w:val="center"/>
      </w:pPr>
      <w:r>
        <w:rPr>
          <w:rFonts w:ascii="Times New Roman" w:hAnsi="Times New Roman" w:eastAsia="Times New Roman"/>
          <w:b w:val="0"/>
          <w:i w:val="0"/>
        </w:rPr>
        <w:t>Income Tax Directive, 2066 (with Fifth Amendment, 2081)</w:t>
      </w:r>
    </w:p>
    <w:p>
      <w:pPr>
        <w:pStyle w:val="Title"/>
        <w:spacing w:after="80" w:line="252" w:lineRule="auto"/>
        <w:jc w:val="center"/>
      </w:pPr>
      <w:r>
        <w:rPr>
          <w:rFonts w:ascii="Times New Roman" w:hAnsi="Times New Roman" w:eastAsia="Times New Roman"/>
          <w:b w:val="0"/>
          <w:i w:val="0"/>
        </w:rPr>
        <w:t>English Translation - Part 23</w:t>
      </w:r>
    </w:p>
    <w:p>
      <w:pPr>
        <w:pStyle w:val="Heading1"/>
        <w:spacing w:after="80" w:line="252" w:lineRule="auto"/>
        <w:jc w:val="center"/>
      </w:pPr>
      <w:r>
        <w:rPr>
          <w:rFonts w:ascii="Times New Roman" w:hAnsi="Times New Roman" w:eastAsia="Times New Roman"/>
          <w:b w:val="0"/>
          <w:i w:val="0"/>
        </w:rPr>
        <w:t>Chapter 23: Tax Computation</w:t>
      </w:r>
    </w:p>
    <w:p>
      <w:pPr>
        <w:spacing w:after="80" w:line="252" w:lineRule="auto"/>
        <w:jc w:val="center"/>
      </w:pPr>
      <w:r>
        <w:rPr>
          <w:rFonts w:ascii="Times New Roman" w:hAnsi="Times New Roman" w:eastAsia="Times New Roman"/>
          <w:b w:val="0"/>
          <w:i/>
          <w:sz w:val="21"/>
        </w:rPr>
        <w:t>Source pages: Directive pages 483-513</w:t>
      </w:r>
    </w:p>
    <w:p>
      <w:pPr>
        <w:spacing w:after="80" w:line="252" w:lineRule="auto"/>
      </w:pPr>
      <w:r>
        <w:rPr>
          <w:rFonts w:ascii="Times New Roman" w:hAnsi="Times New Roman" w:eastAsia="Times New Roman"/>
          <w:b w:val="0"/>
          <w:i/>
          <w:sz w:val="21"/>
        </w:rPr>
        <w:t>Note: This working translation follows the sequence, headings, examples and tabular presentation of the Nepali directive as far as practicable in Word format. Statutory expressions have been aligned with the official English terminology of the Income Tax Act, 2002 (2058) where applicable.</w:t>
      </w:r>
    </w:p>
    <w:p>
      <w:r>
        <w:br w:type="page"/>
      </w:r>
    </w:p>
    <w:p>
      <w:pPr>
        <w:pStyle w:val="Heading1"/>
        <w:spacing w:after="80" w:line="252" w:lineRule="auto"/>
        <w:jc w:val="center"/>
      </w:pPr>
      <w:r>
        <w:rPr>
          <w:rFonts w:ascii="Times New Roman" w:hAnsi="Times New Roman" w:eastAsia="Times New Roman"/>
          <w:b w:val="0"/>
          <w:i w:val="0"/>
        </w:rPr>
        <w:t>Chapter 23</w:t>
      </w:r>
    </w:p>
    <w:p>
      <w:pPr>
        <w:pStyle w:val="Heading1"/>
        <w:spacing w:after="80" w:line="252" w:lineRule="auto"/>
        <w:jc w:val="center"/>
      </w:pPr>
      <w:r>
        <w:rPr>
          <w:rFonts w:ascii="Times New Roman" w:hAnsi="Times New Roman" w:eastAsia="Times New Roman"/>
          <w:b w:val="0"/>
          <w:i w:val="0"/>
        </w:rPr>
        <w:t>Tax Computation</w:t>
      </w:r>
    </w:p>
    <w:p>
      <w:pPr>
        <w:pStyle w:val="Heading2"/>
        <w:spacing w:after="80" w:line="252" w:lineRule="auto"/>
      </w:pPr>
      <w:r>
        <w:rPr>
          <w:rFonts w:ascii="Times New Roman" w:hAnsi="Times New Roman" w:eastAsia="Times New Roman"/>
          <w:b w:val="0"/>
          <w:i w:val="0"/>
        </w:rPr>
        <w:t>23.1 Introduction</w:t>
      </w:r>
    </w:p>
    <w:p>
      <w:pPr>
        <w:spacing w:after="80" w:line="252" w:lineRule="auto"/>
      </w:pPr>
      <w:r>
        <w:rPr>
          <w:rFonts w:ascii="Times New Roman" w:hAnsi="Times New Roman" w:eastAsia="Times New Roman"/>
          <w:b w:val="0"/>
          <w:i w:val="0"/>
          <w:sz w:val="21"/>
        </w:rPr>
        <w:t>Schedule 1 of the Income Tax Act, 2058 prescribes the rates and procedure for calculating income tax payable in Nepal. The Schedule separately provides rates for natural persons and for entities. Section 1 of Schedule 1 deals with natural persons, including deductions and concessions that are relevant when computing taxable income, such as remote-area allowance, foreign allowance of employees posted in diplomatic missions abroad, pension-income relief, relief for persons with disability, investment-insurance relief, health-insurance relief and private-building insurance relief. Section 2 of Schedule 1 deals with entities and determines tax rates according to the nature of the entity and the business carried on.</w:t>
      </w:r>
    </w:p>
    <w:p>
      <w:pPr>
        <w:spacing w:after="80" w:line="252" w:lineRule="auto"/>
      </w:pPr>
      <w:r>
        <w:rPr>
          <w:rFonts w:ascii="Times New Roman" w:hAnsi="Times New Roman" w:eastAsia="Times New Roman"/>
          <w:b w:val="0"/>
          <w:i w:val="0"/>
          <w:sz w:val="21"/>
        </w:rPr>
        <w:t>This chapter explains the tax rate table by taking into account the provisions on natural persons, entities and business concessions already discussed in Chapters 10 and 11 of the Directive. The purpose is to present the applicable tax rates and computation method in a consolidated form.</w:t>
      </w:r>
    </w:p>
    <w:p>
      <w:pPr>
        <w:pStyle w:val="Heading2"/>
        <w:spacing w:after="80" w:line="252" w:lineRule="auto"/>
      </w:pPr>
      <w:r>
        <w:rPr>
          <w:rFonts w:ascii="Times New Roman" w:hAnsi="Times New Roman" w:eastAsia="Times New Roman"/>
          <w:b w:val="0"/>
          <w:i w:val="0"/>
        </w:rPr>
        <w:t>23.2 Tax Rate</w:t>
      </w:r>
    </w:p>
    <w:p>
      <w:pPr>
        <w:pStyle w:val="Heading3"/>
        <w:spacing w:after="80" w:line="252" w:lineRule="auto"/>
      </w:pPr>
      <w:r>
        <w:rPr>
          <w:rFonts w:ascii="Times New Roman" w:hAnsi="Times New Roman" w:eastAsia="Times New Roman"/>
          <w:b w:val="0"/>
          <w:i w:val="0"/>
        </w:rPr>
        <w:t>23.2.1 Provisions relating to tax rates</w:t>
      </w:r>
    </w:p>
    <w:p>
      <w:pPr>
        <w:spacing w:after="80" w:line="252" w:lineRule="auto"/>
      </w:pPr>
      <w:r>
        <w:rPr>
          <w:rFonts w:ascii="Times New Roman" w:hAnsi="Times New Roman" w:eastAsia="Times New Roman"/>
          <w:b w:val="0"/>
          <w:i w:val="0"/>
          <w:sz w:val="21"/>
        </w:rPr>
        <w:t>For a resident natural person, tax is imposed on taxable income under Schedule 1, section 1, subject to the special rules on non-business taxable assets and additional tax for higher income. For a couple that has made the choice under section 50 of the Act to be treated as a single natural person, the slab thresholds are higher than those for an individual. The table below presents the main rates reflected in the Directive for income years 2080/81 and 2081/82.</w:t>
      </w:r>
    </w:p>
    <w:tbl>
      <w:tblPr>
        <w:tblStyle w:val="TableGrid"/>
        <w:tblW w:type="auto" w:w="0"/>
        <w:jc w:val="center"/>
        <w:tblLook w:firstColumn="1" w:firstRow="1" w:lastColumn="0" w:lastRow="0" w:noHBand="0" w:noVBand="1" w:val="04A0"/>
      </w:tblPr>
      <w:tblGrid>
        <w:gridCol w:w="3298"/>
        <w:gridCol w:w="3298"/>
        <w:gridCol w:w="3298"/>
      </w:tblGrid>
      <w:tr>
        <w:trPr>
          <w:tblHeader w:val="true"/>
        </w:trPr>
        <w:tc>
          <w:tcPr>
            <w:tcW w:type="dxa" w:w="2232"/>
            <w:vAlign w:val="top"/>
            <w:shd w:fill="D9EAF7"/>
          </w:tcPr>
          <w:p>
            <w:pPr>
              <w:spacing w:after="0" w:line="240" w:lineRule="auto"/>
            </w:pPr>
            <w:r/>
            <w:r>
              <w:rPr>
                <w:rFonts w:ascii="Times New Roman" w:hAnsi="Times New Roman" w:eastAsia="Times New Roman"/>
                <w:b/>
                <w:sz w:val="16"/>
              </w:rPr>
              <w:t>Category</w:t>
            </w:r>
          </w:p>
        </w:tc>
        <w:tc>
          <w:tcPr>
            <w:tcW w:type="dxa" w:w="3096"/>
            <w:vAlign w:val="top"/>
            <w:shd w:fill="D9EAF7"/>
          </w:tcPr>
          <w:p>
            <w:pPr>
              <w:spacing w:after="0" w:line="240" w:lineRule="auto"/>
            </w:pPr>
            <w:r/>
            <w:r>
              <w:rPr>
                <w:rFonts w:ascii="Times New Roman" w:hAnsi="Times New Roman" w:eastAsia="Times New Roman"/>
                <w:b/>
                <w:sz w:val="16"/>
              </w:rPr>
              <w:t>Taxable income slab</w:t>
            </w:r>
          </w:p>
        </w:tc>
        <w:tc>
          <w:tcPr>
            <w:tcW w:type="dxa" w:w="4968"/>
            <w:vAlign w:val="top"/>
            <w:shd w:fill="D9EAF7"/>
          </w:tcPr>
          <w:p>
            <w:pPr>
              <w:spacing w:after="0" w:line="240" w:lineRule="auto"/>
            </w:pPr>
            <w:r/>
            <w:r>
              <w:rPr>
                <w:rFonts w:ascii="Times New Roman" w:hAnsi="Times New Roman" w:eastAsia="Times New Roman"/>
                <w:b/>
                <w:sz w:val="16"/>
              </w:rPr>
              <w:t>Tax computation</w:t>
            </w:r>
          </w:p>
        </w:tc>
      </w:tr>
      <w:tr>
        <w:tc>
          <w:tcPr>
            <w:tcW w:type="dxa" w:w="2232"/>
            <w:vAlign w:val="top"/>
          </w:tcPr>
          <w:p>
            <w:pPr>
              <w:spacing w:after="0" w:line="240" w:lineRule="auto"/>
            </w:pPr>
            <w:r/>
            <w:r>
              <w:rPr>
                <w:rFonts w:ascii="Times New Roman" w:hAnsi="Times New Roman" w:eastAsia="Times New Roman"/>
                <w:b w:val="0"/>
                <w:sz w:val="16"/>
              </w:rPr>
              <w:t>Resident natural person - individual</w:t>
            </w:r>
          </w:p>
        </w:tc>
        <w:tc>
          <w:tcPr>
            <w:tcW w:type="dxa" w:w="3096"/>
            <w:vAlign w:val="top"/>
          </w:tcPr>
          <w:p>
            <w:pPr>
              <w:spacing w:after="0" w:line="240" w:lineRule="auto"/>
            </w:pPr>
            <w:r/>
            <w:r>
              <w:rPr>
                <w:rFonts w:ascii="Times New Roman" w:hAnsi="Times New Roman" w:eastAsia="Times New Roman"/>
                <w:b w:val="0"/>
                <w:sz w:val="16"/>
              </w:rPr>
              <w:t>Up to Rs. 500,000 from employment income</w:t>
            </w:r>
          </w:p>
        </w:tc>
        <w:tc>
          <w:tcPr>
            <w:tcW w:type="dxa" w:w="4968"/>
            <w:vAlign w:val="top"/>
          </w:tcPr>
          <w:p>
            <w:pPr>
              <w:spacing w:after="0" w:line="240" w:lineRule="auto"/>
            </w:pPr>
            <w:r/>
            <w:r>
              <w:rPr>
                <w:rFonts w:ascii="Times New Roman" w:hAnsi="Times New Roman" w:eastAsia="Times New Roman"/>
                <w:b w:val="0"/>
                <w:sz w:val="16"/>
              </w:rPr>
              <w:t>1% of taxable income. This 1% does not apply to a taxpayer registered as a sole proprietorship, pension income, retirement-fund income, or income of a natural person contributing to a contribution-based Social Security Fund.</w:t>
            </w:r>
          </w:p>
        </w:tc>
      </w:tr>
      <w:tr>
        <w:tc>
          <w:tcPr>
            <w:tcW w:type="dxa" w:w="2232"/>
            <w:vAlign w:val="top"/>
          </w:tcPr>
          <w:p>
            <w:pPr>
              <w:spacing w:after="0" w:line="240" w:lineRule="auto"/>
            </w:pPr>
            <w:r/>
            <w:r>
              <w:rPr>
                <w:rFonts w:ascii="Times New Roman" w:hAnsi="Times New Roman" w:eastAsia="Times New Roman"/>
                <w:b w:val="0"/>
                <w:sz w:val="16"/>
              </w:rPr>
              <w:t>Resident natural person - individual</w:t>
            </w:r>
          </w:p>
        </w:tc>
        <w:tc>
          <w:tcPr>
            <w:tcW w:type="dxa" w:w="3096"/>
            <w:vAlign w:val="top"/>
          </w:tcPr>
          <w:p>
            <w:pPr>
              <w:spacing w:after="0" w:line="240" w:lineRule="auto"/>
            </w:pPr>
            <w:r/>
            <w:r>
              <w:rPr>
                <w:rFonts w:ascii="Times New Roman" w:hAnsi="Times New Roman" w:eastAsia="Times New Roman"/>
                <w:b w:val="0"/>
                <w:sz w:val="16"/>
              </w:rPr>
              <w:t>Rs. 500,000 to Rs. 700,000</w:t>
            </w:r>
          </w:p>
        </w:tc>
        <w:tc>
          <w:tcPr>
            <w:tcW w:type="dxa" w:w="4968"/>
            <w:vAlign w:val="top"/>
          </w:tcPr>
          <w:p>
            <w:pPr>
              <w:spacing w:after="0" w:line="240" w:lineRule="auto"/>
            </w:pPr>
            <w:r/>
            <w:r>
              <w:rPr>
                <w:rFonts w:ascii="Times New Roman" w:hAnsi="Times New Roman" w:eastAsia="Times New Roman"/>
                <w:b w:val="0"/>
                <w:sz w:val="16"/>
              </w:rPr>
              <w:t>Rs. 5,000 plus 10% of the amount exceeding Rs. 500,000.</w:t>
            </w:r>
          </w:p>
        </w:tc>
      </w:tr>
      <w:tr>
        <w:tc>
          <w:tcPr>
            <w:tcW w:type="dxa" w:w="2232"/>
            <w:vAlign w:val="top"/>
          </w:tcPr>
          <w:p>
            <w:pPr>
              <w:spacing w:after="0" w:line="240" w:lineRule="auto"/>
            </w:pPr>
            <w:r/>
            <w:r>
              <w:rPr>
                <w:rFonts w:ascii="Times New Roman" w:hAnsi="Times New Roman" w:eastAsia="Times New Roman"/>
                <w:b w:val="0"/>
                <w:sz w:val="16"/>
              </w:rPr>
              <w:t>Resident natural person - individual</w:t>
            </w:r>
          </w:p>
        </w:tc>
        <w:tc>
          <w:tcPr>
            <w:tcW w:type="dxa" w:w="3096"/>
            <w:vAlign w:val="top"/>
          </w:tcPr>
          <w:p>
            <w:pPr>
              <w:spacing w:after="0" w:line="240" w:lineRule="auto"/>
            </w:pPr>
            <w:r/>
            <w:r>
              <w:rPr>
                <w:rFonts w:ascii="Times New Roman" w:hAnsi="Times New Roman" w:eastAsia="Times New Roman"/>
                <w:b w:val="0"/>
                <w:sz w:val="16"/>
              </w:rPr>
              <w:t>Rs. 700,000 to Rs. 1,000,000</w:t>
            </w:r>
          </w:p>
        </w:tc>
        <w:tc>
          <w:tcPr>
            <w:tcW w:type="dxa" w:w="4968"/>
            <w:vAlign w:val="top"/>
          </w:tcPr>
          <w:p>
            <w:pPr>
              <w:spacing w:after="0" w:line="240" w:lineRule="auto"/>
            </w:pPr>
            <w:r/>
            <w:r>
              <w:rPr>
                <w:rFonts w:ascii="Times New Roman" w:hAnsi="Times New Roman" w:eastAsia="Times New Roman"/>
                <w:b w:val="0"/>
                <w:sz w:val="16"/>
              </w:rPr>
              <w:t>Rs. 25,000 plus 20% of the amount exceeding Rs. 700,000.</w:t>
            </w:r>
          </w:p>
        </w:tc>
      </w:tr>
      <w:tr>
        <w:tc>
          <w:tcPr>
            <w:tcW w:type="dxa" w:w="2232"/>
            <w:vAlign w:val="top"/>
          </w:tcPr>
          <w:p>
            <w:pPr>
              <w:spacing w:after="0" w:line="240" w:lineRule="auto"/>
            </w:pPr>
            <w:r/>
            <w:r>
              <w:rPr>
                <w:rFonts w:ascii="Times New Roman" w:hAnsi="Times New Roman" w:eastAsia="Times New Roman"/>
                <w:b w:val="0"/>
                <w:sz w:val="16"/>
              </w:rPr>
              <w:t>Resident natural person - individual</w:t>
            </w:r>
          </w:p>
        </w:tc>
        <w:tc>
          <w:tcPr>
            <w:tcW w:type="dxa" w:w="3096"/>
            <w:vAlign w:val="top"/>
          </w:tcPr>
          <w:p>
            <w:pPr>
              <w:spacing w:after="0" w:line="240" w:lineRule="auto"/>
            </w:pPr>
            <w:r/>
            <w:r>
              <w:rPr>
                <w:rFonts w:ascii="Times New Roman" w:hAnsi="Times New Roman" w:eastAsia="Times New Roman"/>
                <w:b w:val="0"/>
                <w:sz w:val="16"/>
              </w:rPr>
              <w:t>Rs. 1,000,000 to Rs. 2,000,000</w:t>
            </w:r>
          </w:p>
        </w:tc>
        <w:tc>
          <w:tcPr>
            <w:tcW w:type="dxa" w:w="4968"/>
            <w:vAlign w:val="top"/>
          </w:tcPr>
          <w:p>
            <w:pPr>
              <w:spacing w:after="0" w:line="240" w:lineRule="auto"/>
            </w:pPr>
            <w:r/>
            <w:r>
              <w:rPr>
                <w:rFonts w:ascii="Times New Roman" w:hAnsi="Times New Roman" w:eastAsia="Times New Roman"/>
                <w:b w:val="0"/>
                <w:sz w:val="16"/>
              </w:rPr>
              <w:t>Rs. 85,000 plus 30% of the amount exceeding Rs. 1,000,000.</w:t>
            </w:r>
          </w:p>
        </w:tc>
      </w:tr>
      <w:tr>
        <w:tc>
          <w:tcPr>
            <w:tcW w:type="dxa" w:w="2232"/>
            <w:vAlign w:val="top"/>
          </w:tcPr>
          <w:p>
            <w:pPr>
              <w:spacing w:after="0" w:line="240" w:lineRule="auto"/>
            </w:pPr>
            <w:r/>
            <w:r>
              <w:rPr>
                <w:rFonts w:ascii="Times New Roman" w:hAnsi="Times New Roman" w:eastAsia="Times New Roman"/>
                <w:b w:val="0"/>
                <w:sz w:val="16"/>
              </w:rPr>
              <w:t>Resident natural person - individual</w:t>
            </w:r>
          </w:p>
        </w:tc>
        <w:tc>
          <w:tcPr>
            <w:tcW w:type="dxa" w:w="3096"/>
            <w:vAlign w:val="top"/>
          </w:tcPr>
          <w:p>
            <w:pPr>
              <w:spacing w:after="0" w:line="240" w:lineRule="auto"/>
            </w:pPr>
            <w:r/>
            <w:r>
              <w:rPr>
                <w:rFonts w:ascii="Times New Roman" w:hAnsi="Times New Roman" w:eastAsia="Times New Roman"/>
                <w:b w:val="0"/>
                <w:sz w:val="16"/>
              </w:rPr>
              <w:t>Rs. 2,000,000 to Rs. 5,000,000</w:t>
            </w:r>
          </w:p>
        </w:tc>
        <w:tc>
          <w:tcPr>
            <w:tcW w:type="dxa" w:w="4968"/>
            <w:vAlign w:val="top"/>
          </w:tcPr>
          <w:p>
            <w:pPr>
              <w:spacing w:after="0" w:line="240" w:lineRule="auto"/>
            </w:pPr>
            <w:r/>
            <w:r>
              <w:rPr>
                <w:rFonts w:ascii="Times New Roman" w:hAnsi="Times New Roman" w:eastAsia="Times New Roman"/>
                <w:b w:val="0"/>
                <w:sz w:val="16"/>
              </w:rPr>
              <w:t>Rs. 385,000 plus 36% of the amount exceeding Rs. 2,000,000.</w:t>
            </w:r>
          </w:p>
        </w:tc>
      </w:tr>
      <w:tr>
        <w:tc>
          <w:tcPr>
            <w:tcW w:type="dxa" w:w="2232"/>
            <w:vAlign w:val="top"/>
          </w:tcPr>
          <w:p>
            <w:pPr>
              <w:spacing w:after="0" w:line="240" w:lineRule="auto"/>
            </w:pPr>
            <w:r/>
            <w:r>
              <w:rPr>
                <w:rFonts w:ascii="Times New Roman" w:hAnsi="Times New Roman" w:eastAsia="Times New Roman"/>
                <w:b w:val="0"/>
                <w:sz w:val="16"/>
              </w:rPr>
              <w:t>Resident natural person - individual</w:t>
            </w:r>
          </w:p>
        </w:tc>
        <w:tc>
          <w:tcPr>
            <w:tcW w:type="dxa" w:w="3096"/>
            <w:vAlign w:val="top"/>
          </w:tcPr>
          <w:p>
            <w:pPr>
              <w:spacing w:after="0" w:line="240" w:lineRule="auto"/>
            </w:pPr>
            <w:r/>
            <w:r>
              <w:rPr>
                <w:rFonts w:ascii="Times New Roman" w:hAnsi="Times New Roman" w:eastAsia="Times New Roman"/>
                <w:b w:val="0"/>
                <w:sz w:val="16"/>
              </w:rPr>
              <w:t>Above Rs. 5,000,000</w:t>
            </w:r>
          </w:p>
        </w:tc>
        <w:tc>
          <w:tcPr>
            <w:tcW w:type="dxa" w:w="4968"/>
            <w:vAlign w:val="top"/>
          </w:tcPr>
          <w:p>
            <w:pPr>
              <w:spacing w:after="0" w:line="240" w:lineRule="auto"/>
            </w:pPr>
            <w:r/>
            <w:r>
              <w:rPr>
                <w:rFonts w:ascii="Times New Roman" w:hAnsi="Times New Roman" w:eastAsia="Times New Roman"/>
                <w:b w:val="0"/>
                <w:sz w:val="16"/>
              </w:rPr>
              <w:t>Rs. 1,465,000 plus 39% of the amount exceeding Rs. 5,000,000.</w:t>
            </w:r>
          </w:p>
        </w:tc>
      </w:tr>
      <w:tr>
        <w:tc>
          <w:tcPr>
            <w:tcW w:type="dxa" w:w="2232"/>
            <w:vAlign w:val="top"/>
          </w:tcPr>
          <w:p>
            <w:pPr>
              <w:spacing w:after="0" w:line="240" w:lineRule="auto"/>
            </w:pPr>
            <w:r/>
            <w:r>
              <w:rPr>
                <w:rFonts w:ascii="Times New Roman" w:hAnsi="Times New Roman" w:eastAsia="Times New Roman"/>
                <w:b w:val="0"/>
                <w:sz w:val="16"/>
              </w:rPr>
              <w:t>Resident couple electing single-person treatment</w:t>
            </w:r>
          </w:p>
        </w:tc>
        <w:tc>
          <w:tcPr>
            <w:tcW w:type="dxa" w:w="3096"/>
            <w:vAlign w:val="top"/>
          </w:tcPr>
          <w:p>
            <w:pPr>
              <w:spacing w:after="0" w:line="240" w:lineRule="auto"/>
            </w:pPr>
            <w:r/>
            <w:r>
              <w:rPr>
                <w:rFonts w:ascii="Times New Roman" w:hAnsi="Times New Roman" w:eastAsia="Times New Roman"/>
                <w:b w:val="0"/>
                <w:sz w:val="16"/>
              </w:rPr>
              <w:t>Up to Rs. 600,000 from employment income</w:t>
            </w:r>
          </w:p>
        </w:tc>
        <w:tc>
          <w:tcPr>
            <w:tcW w:type="dxa" w:w="4968"/>
            <w:vAlign w:val="top"/>
          </w:tcPr>
          <w:p>
            <w:pPr>
              <w:spacing w:after="0" w:line="240" w:lineRule="auto"/>
            </w:pPr>
            <w:r/>
            <w:r>
              <w:rPr>
                <w:rFonts w:ascii="Times New Roman" w:hAnsi="Times New Roman" w:eastAsia="Times New Roman"/>
                <w:b w:val="0"/>
                <w:sz w:val="16"/>
              </w:rPr>
              <w:t>1% of taxable income, subject to the same exceptions as above.</w:t>
            </w:r>
          </w:p>
        </w:tc>
      </w:tr>
      <w:tr>
        <w:tc>
          <w:tcPr>
            <w:tcW w:type="dxa" w:w="2232"/>
            <w:vAlign w:val="top"/>
          </w:tcPr>
          <w:p>
            <w:pPr>
              <w:spacing w:after="0" w:line="240" w:lineRule="auto"/>
            </w:pPr>
            <w:r/>
            <w:r>
              <w:rPr>
                <w:rFonts w:ascii="Times New Roman" w:hAnsi="Times New Roman" w:eastAsia="Times New Roman"/>
                <w:b w:val="0"/>
                <w:sz w:val="16"/>
              </w:rPr>
              <w:t>Resident couple electing single-person treatment</w:t>
            </w:r>
          </w:p>
        </w:tc>
        <w:tc>
          <w:tcPr>
            <w:tcW w:type="dxa" w:w="3096"/>
            <w:vAlign w:val="top"/>
          </w:tcPr>
          <w:p>
            <w:pPr>
              <w:spacing w:after="0" w:line="240" w:lineRule="auto"/>
            </w:pPr>
            <w:r/>
            <w:r>
              <w:rPr>
                <w:rFonts w:ascii="Times New Roman" w:hAnsi="Times New Roman" w:eastAsia="Times New Roman"/>
                <w:b w:val="0"/>
                <w:sz w:val="16"/>
              </w:rPr>
              <w:t>Rs. 600,000 to Rs. 800,000</w:t>
            </w:r>
          </w:p>
        </w:tc>
        <w:tc>
          <w:tcPr>
            <w:tcW w:type="dxa" w:w="4968"/>
            <w:vAlign w:val="top"/>
          </w:tcPr>
          <w:p>
            <w:pPr>
              <w:spacing w:after="0" w:line="240" w:lineRule="auto"/>
            </w:pPr>
            <w:r/>
            <w:r>
              <w:rPr>
                <w:rFonts w:ascii="Times New Roman" w:hAnsi="Times New Roman" w:eastAsia="Times New Roman"/>
                <w:b w:val="0"/>
                <w:sz w:val="16"/>
              </w:rPr>
              <w:t>Rs. 6,000 plus 10% of the amount exceeding Rs. 600,000.</w:t>
            </w:r>
          </w:p>
        </w:tc>
      </w:tr>
      <w:tr>
        <w:tc>
          <w:tcPr>
            <w:tcW w:type="dxa" w:w="2232"/>
            <w:vAlign w:val="top"/>
          </w:tcPr>
          <w:p>
            <w:pPr>
              <w:spacing w:after="0" w:line="240" w:lineRule="auto"/>
            </w:pPr>
            <w:r/>
            <w:r>
              <w:rPr>
                <w:rFonts w:ascii="Times New Roman" w:hAnsi="Times New Roman" w:eastAsia="Times New Roman"/>
                <w:b w:val="0"/>
                <w:sz w:val="16"/>
              </w:rPr>
              <w:t>Resident couple electing single-person treatment</w:t>
            </w:r>
          </w:p>
        </w:tc>
        <w:tc>
          <w:tcPr>
            <w:tcW w:type="dxa" w:w="3096"/>
            <w:vAlign w:val="top"/>
          </w:tcPr>
          <w:p>
            <w:pPr>
              <w:spacing w:after="0" w:line="240" w:lineRule="auto"/>
            </w:pPr>
            <w:r/>
            <w:r>
              <w:rPr>
                <w:rFonts w:ascii="Times New Roman" w:hAnsi="Times New Roman" w:eastAsia="Times New Roman"/>
                <w:b w:val="0"/>
                <w:sz w:val="16"/>
              </w:rPr>
              <w:t>Rs. 800,000 to Rs. 1,100,000</w:t>
            </w:r>
          </w:p>
        </w:tc>
        <w:tc>
          <w:tcPr>
            <w:tcW w:type="dxa" w:w="4968"/>
            <w:vAlign w:val="top"/>
          </w:tcPr>
          <w:p>
            <w:pPr>
              <w:spacing w:after="0" w:line="240" w:lineRule="auto"/>
            </w:pPr>
            <w:r/>
            <w:r>
              <w:rPr>
                <w:rFonts w:ascii="Times New Roman" w:hAnsi="Times New Roman" w:eastAsia="Times New Roman"/>
                <w:b w:val="0"/>
                <w:sz w:val="16"/>
              </w:rPr>
              <w:t>Rs. 26,000 plus 20% of the amount exceeding Rs. 800,000.</w:t>
            </w:r>
          </w:p>
        </w:tc>
      </w:tr>
      <w:tr>
        <w:tc>
          <w:tcPr>
            <w:tcW w:type="dxa" w:w="2232"/>
            <w:vAlign w:val="top"/>
          </w:tcPr>
          <w:p>
            <w:pPr>
              <w:spacing w:after="0" w:line="240" w:lineRule="auto"/>
            </w:pPr>
            <w:r/>
            <w:r>
              <w:rPr>
                <w:rFonts w:ascii="Times New Roman" w:hAnsi="Times New Roman" w:eastAsia="Times New Roman"/>
                <w:b w:val="0"/>
                <w:sz w:val="16"/>
              </w:rPr>
              <w:t>Resident couple electing single-person treatment</w:t>
            </w:r>
          </w:p>
        </w:tc>
        <w:tc>
          <w:tcPr>
            <w:tcW w:type="dxa" w:w="3096"/>
            <w:vAlign w:val="top"/>
          </w:tcPr>
          <w:p>
            <w:pPr>
              <w:spacing w:after="0" w:line="240" w:lineRule="auto"/>
            </w:pPr>
            <w:r/>
            <w:r>
              <w:rPr>
                <w:rFonts w:ascii="Times New Roman" w:hAnsi="Times New Roman" w:eastAsia="Times New Roman"/>
                <w:b w:val="0"/>
                <w:sz w:val="16"/>
              </w:rPr>
              <w:t>Rs. 1,100,000 to Rs. 2,000,000</w:t>
            </w:r>
          </w:p>
        </w:tc>
        <w:tc>
          <w:tcPr>
            <w:tcW w:type="dxa" w:w="4968"/>
            <w:vAlign w:val="top"/>
          </w:tcPr>
          <w:p>
            <w:pPr>
              <w:spacing w:after="0" w:line="240" w:lineRule="auto"/>
            </w:pPr>
            <w:r/>
            <w:r>
              <w:rPr>
                <w:rFonts w:ascii="Times New Roman" w:hAnsi="Times New Roman" w:eastAsia="Times New Roman"/>
                <w:b w:val="0"/>
                <w:sz w:val="16"/>
              </w:rPr>
              <w:t>Rs. 86,000 plus 30% of the amount exceeding Rs. 1,100,000.</w:t>
            </w:r>
          </w:p>
        </w:tc>
      </w:tr>
      <w:tr>
        <w:tc>
          <w:tcPr>
            <w:tcW w:type="dxa" w:w="2232"/>
            <w:vAlign w:val="top"/>
          </w:tcPr>
          <w:p>
            <w:pPr>
              <w:spacing w:after="0" w:line="240" w:lineRule="auto"/>
            </w:pPr>
            <w:r/>
            <w:r>
              <w:rPr>
                <w:rFonts w:ascii="Times New Roman" w:hAnsi="Times New Roman" w:eastAsia="Times New Roman"/>
                <w:b w:val="0"/>
                <w:sz w:val="16"/>
              </w:rPr>
              <w:t>Resident couple electing single-person treatment</w:t>
            </w:r>
          </w:p>
        </w:tc>
        <w:tc>
          <w:tcPr>
            <w:tcW w:type="dxa" w:w="3096"/>
            <w:vAlign w:val="top"/>
          </w:tcPr>
          <w:p>
            <w:pPr>
              <w:spacing w:after="0" w:line="240" w:lineRule="auto"/>
            </w:pPr>
            <w:r/>
            <w:r>
              <w:rPr>
                <w:rFonts w:ascii="Times New Roman" w:hAnsi="Times New Roman" w:eastAsia="Times New Roman"/>
                <w:b w:val="0"/>
                <w:sz w:val="16"/>
              </w:rPr>
              <w:t>Rs. 2,000,000 to Rs. 5,000,000</w:t>
            </w:r>
          </w:p>
        </w:tc>
        <w:tc>
          <w:tcPr>
            <w:tcW w:type="dxa" w:w="4968"/>
            <w:vAlign w:val="top"/>
          </w:tcPr>
          <w:p>
            <w:pPr>
              <w:spacing w:after="0" w:line="240" w:lineRule="auto"/>
            </w:pPr>
            <w:r/>
            <w:r>
              <w:rPr>
                <w:rFonts w:ascii="Times New Roman" w:hAnsi="Times New Roman" w:eastAsia="Times New Roman"/>
                <w:b w:val="0"/>
                <w:sz w:val="16"/>
              </w:rPr>
              <w:t>Rs. 356,000 plus 36% of the amount exceeding Rs. 2,000,000.</w:t>
            </w:r>
          </w:p>
        </w:tc>
      </w:tr>
      <w:tr>
        <w:tc>
          <w:tcPr>
            <w:tcW w:type="dxa" w:w="2232"/>
            <w:vAlign w:val="top"/>
          </w:tcPr>
          <w:p>
            <w:pPr>
              <w:spacing w:after="0" w:line="240" w:lineRule="auto"/>
            </w:pPr>
            <w:r/>
            <w:r>
              <w:rPr>
                <w:rFonts w:ascii="Times New Roman" w:hAnsi="Times New Roman" w:eastAsia="Times New Roman"/>
                <w:b w:val="0"/>
                <w:sz w:val="16"/>
              </w:rPr>
              <w:t>Resident couple electing single-person treatment</w:t>
            </w:r>
          </w:p>
        </w:tc>
        <w:tc>
          <w:tcPr>
            <w:tcW w:type="dxa" w:w="3096"/>
            <w:vAlign w:val="top"/>
          </w:tcPr>
          <w:p>
            <w:pPr>
              <w:spacing w:after="0" w:line="240" w:lineRule="auto"/>
            </w:pPr>
            <w:r/>
            <w:r>
              <w:rPr>
                <w:rFonts w:ascii="Times New Roman" w:hAnsi="Times New Roman" w:eastAsia="Times New Roman"/>
                <w:b w:val="0"/>
                <w:sz w:val="16"/>
              </w:rPr>
              <w:t>Above Rs. 5,000,000</w:t>
            </w:r>
          </w:p>
        </w:tc>
        <w:tc>
          <w:tcPr>
            <w:tcW w:type="dxa" w:w="4968"/>
            <w:vAlign w:val="top"/>
          </w:tcPr>
          <w:p>
            <w:pPr>
              <w:spacing w:after="0" w:line="240" w:lineRule="auto"/>
            </w:pPr>
            <w:r/>
            <w:r>
              <w:rPr>
                <w:rFonts w:ascii="Times New Roman" w:hAnsi="Times New Roman" w:eastAsia="Times New Roman"/>
                <w:b w:val="0"/>
                <w:sz w:val="16"/>
              </w:rPr>
              <w:t>Rs. 1,436,000 plus 39% of the amount exceeding Rs. 5,000,000.</w:t>
            </w:r>
          </w:p>
        </w:tc>
      </w:tr>
    </w:tbl>
    <w:p/>
    <w:p>
      <w:pPr>
        <w:spacing w:after="80" w:line="252" w:lineRule="auto"/>
      </w:pPr>
      <w:r>
        <w:rPr>
          <w:rFonts w:ascii="Times New Roman" w:hAnsi="Times New Roman" w:eastAsia="Times New Roman"/>
          <w:b w:val="0"/>
          <w:i w:val="0"/>
          <w:sz w:val="21"/>
        </w:rPr>
        <w:t>Where taxable income includes net gain from disposal of a non-business taxable asset, Schedule 1 applies a separate method. For land and house/land, the rate is 5% where the asset was owned for five years or more, and 7.5% where it was owned for less than five years. For an interest in an entity listed with the Securities Board of Nepal, gain on disposal is taxed at 5% when the ownership period exceeds 365 days and at 7.5% when the ownership period is 365 days or less. Other net gain from non-business taxable assets is generally taxed at 10% after applying the threshold computation applicable to the natural person or couple.</w:t>
      </w:r>
    </w:p>
    <w:p>
      <w:pPr>
        <w:pStyle w:val="Heading3"/>
        <w:spacing w:after="80" w:line="252" w:lineRule="auto"/>
      </w:pPr>
      <w:r>
        <w:rPr>
          <w:rFonts w:ascii="Times New Roman" w:hAnsi="Times New Roman" w:eastAsia="Times New Roman"/>
          <w:b w:val="0"/>
          <w:i w:val="0"/>
        </w:rPr>
        <w:t>23.2.2 Amounts deductible from taxable income of a natural person</w:t>
      </w:r>
    </w:p>
    <w:p>
      <w:pPr>
        <w:spacing w:after="80" w:line="252" w:lineRule="auto"/>
      </w:pPr>
      <w:r>
        <w:rPr>
          <w:rFonts w:ascii="Times New Roman" w:hAnsi="Times New Roman" w:eastAsia="Times New Roman"/>
          <w:b w:val="0"/>
          <w:i w:val="0"/>
          <w:sz w:val="21"/>
        </w:rPr>
        <w:t>Before computing the tax of a natural person, the Directive explains the following reductions from taxable income under Schedule 1, section 1.</w:t>
      </w:r>
    </w:p>
    <w:tbl>
      <w:tblPr>
        <w:tblStyle w:val="TableGrid"/>
        <w:tblW w:type="auto" w:w="0"/>
        <w:jc w:val="center"/>
        <w:tblLook w:firstColumn="1" w:firstRow="1" w:lastColumn="0" w:lastRow="0" w:noHBand="0" w:noVBand="1" w:val="04A0"/>
      </w:tblPr>
      <w:tblGrid>
        <w:gridCol w:w="3298"/>
        <w:gridCol w:w="3298"/>
        <w:gridCol w:w="3298"/>
      </w:tblGrid>
      <w:tr>
        <w:trPr>
          <w:tblHeader w:val="true"/>
        </w:trPr>
        <w:tc>
          <w:tcPr>
            <w:tcW w:type="dxa" w:w="2232"/>
            <w:vAlign w:val="top"/>
            <w:shd w:fill="D9EAF7"/>
          </w:tcPr>
          <w:p>
            <w:pPr>
              <w:spacing w:after="0" w:line="240" w:lineRule="auto"/>
            </w:pPr>
            <w:r/>
            <w:r>
              <w:rPr>
                <w:rFonts w:ascii="Times New Roman" w:hAnsi="Times New Roman" w:eastAsia="Times New Roman"/>
                <w:b/>
                <w:sz w:val="16"/>
              </w:rPr>
              <w:t>Relief / reduction</w:t>
            </w:r>
          </w:p>
        </w:tc>
        <w:tc>
          <w:tcPr>
            <w:tcW w:type="dxa" w:w="3456"/>
            <w:vAlign w:val="top"/>
            <w:shd w:fill="D9EAF7"/>
          </w:tcPr>
          <w:p>
            <w:pPr>
              <w:spacing w:after="0" w:line="240" w:lineRule="auto"/>
            </w:pPr>
            <w:r/>
            <w:r>
              <w:rPr>
                <w:rFonts w:ascii="Times New Roman" w:hAnsi="Times New Roman" w:eastAsia="Times New Roman"/>
                <w:b/>
                <w:sz w:val="16"/>
              </w:rPr>
              <w:t>Amount or rule</w:t>
            </w:r>
          </w:p>
        </w:tc>
        <w:tc>
          <w:tcPr>
            <w:tcW w:type="dxa" w:w="4680"/>
            <w:vAlign w:val="top"/>
            <w:shd w:fill="D9EAF7"/>
          </w:tcPr>
          <w:p>
            <w:pPr>
              <w:spacing w:after="0" w:line="240" w:lineRule="auto"/>
            </w:pPr>
            <w:r/>
            <w:r>
              <w:rPr>
                <w:rFonts w:ascii="Times New Roman" w:hAnsi="Times New Roman" w:eastAsia="Times New Roman"/>
                <w:b/>
                <w:sz w:val="16"/>
              </w:rPr>
              <w:t>Main condition / explanation</w:t>
            </w:r>
          </w:p>
        </w:tc>
      </w:tr>
      <w:tr>
        <w:tc>
          <w:tcPr>
            <w:tcW w:type="dxa" w:w="2232"/>
            <w:vAlign w:val="top"/>
          </w:tcPr>
          <w:p>
            <w:pPr>
              <w:spacing w:after="0" w:line="240" w:lineRule="auto"/>
            </w:pPr>
            <w:r/>
            <w:r>
              <w:rPr>
                <w:rFonts w:ascii="Times New Roman" w:hAnsi="Times New Roman" w:eastAsia="Times New Roman"/>
                <w:b w:val="0"/>
                <w:sz w:val="16"/>
              </w:rPr>
              <w:t>Remote-area allowance</w:t>
            </w:r>
          </w:p>
        </w:tc>
        <w:tc>
          <w:tcPr>
            <w:tcW w:type="dxa" w:w="3456"/>
            <w:vAlign w:val="top"/>
          </w:tcPr>
          <w:p>
            <w:pPr>
              <w:spacing w:after="0" w:line="240" w:lineRule="auto"/>
            </w:pPr>
            <w:r/>
            <w:r>
              <w:rPr>
                <w:rFonts w:ascii="Times New Roman" w:hAnsi="Times New Roman" w:eastAsia="Times New Roman"/>
                <w:b w:val="0"/>
                <w:sz w:val="16"/>
              </w:rPr>
              <w:t>Class A: Rs. 50,000; Class B: Rs. 40,000; Class C: Rs. 30,000; Class D: Rs. 20,000; Class E: Rs. 10,000</w:t>
            </w:r>
          </w:p>
        </w:tc>
        <w:tc>
          <w:tcPr>
            <w:tcW w:type="dxa" w:w="4680"/>
            <w:vAlign w:val="top"/>
          </w:tcPr>
          <w:p>
            <w:pPr>
              <w:spacing w:after="0" w:line="240" w:lineRule="auto"/>
            </w:pPr>
            <w:r/>
            <w:r>
              <w:rPr>
                <w:rFonts w:ascii="Times New Roman" w:hAnsi="Times New Roman" w:eastAsia="Times New Roman"/>
                <w:b w:val="0"/>
                <w:sz w:val="16"/>
              </w:rPr>
              <w:t>Available to a natural person working in the specified remote area. Permanent address in a remote area alone is not sufficient.</w:t>
            </w:r>
          </w:p>
        </w:tc>
      </w:tr>
      <w:tr>
        <w:tc>
          <w:tcPr>
            <w:tcW w:type="dxa" w:w="2232"/>
            <w:vAlign w:val="top"/>
          </w:tcPr>
          <w:p>
            <w:pPr>
              <w:spacing w:after="0" w:line="240" w:lineRule="auto"/>
            </w:pPr>
            <w:r/>
            <w:r>
              <w:rPr>
                <w:rFonts w:ascii="Times New Roman" w:hAnsi="Times New Roman" w:eastAsia="Times New Roman"/>
                <w:b w:val="0"/>
                <w:sz w:val="16"/>
              </w:rPr>
              <w:t>Foreign allowance of diplomatic-mission employee</w:t>
            </w:r>
          </w:p>
        </w:tc>
        <w:tc>
          <w:tcPr>
            <w:tcW w:type="dxa" w:w="3456"/>
            <w:vAlign w:val="top"/>
          </w:tcPr>
          <w:p>
            <w:pPr>
              <w:spacing w:after="0" w:line="240" w:lineRule="auto"/>
            </w:pPr>
            <w:r/>
            <w:r>
              <w:rPr>
                <w:rFonts w:ascii="Times New Roman" w:hAnsi="Times New Roman" w:eastAsia="Times New Roman"/>
                <w:b w:val="0"/>
                <w:sz w:val="16"/>
              </w:rPr>
              <w:t>75% of the foreign allowance</w:t>
            </w:r>
          </w:p>
        </w:tc>
        <w:tc>
          <w:tcPr>
            <w:tcW w:type="dxa" w:w="4680"/>
            <w:vAlign w:val="top"/>
          </w:tcPr>
          <w:p>
            <w:pPr>
              <w:spacing w:after="0" w:line="240" w:lineRule="auto"/>
            </w:pPr>
            <w:r/>
            <w:r>
              <w:rPr>
                <w:rFonts w:ascii="Times New Roman" w:hAnsi="Times New Roman" w:eastAsia="Times New Roman"/>
                <w:b w:val="0"/>
                <w:sz w:val="16"/>
              </w:rPr>
              <w:t>Available to an employee receiving salary from the Government of Nepal and posted in Nepalese diplomatic missions abroad.</w:t>
            </w:r>
          </w:p>
        </w:tc>
      </w:tr>
      <w:tr>
        <w:tc>
          <w:tcPr>
            <w:tcW w:type="dxa" w:w="2232"/>
            <w:vAlign w:val="top"/>
          </w:tcPr>
          <w:p>
            <w:pPr>
              <w:spacing w:after="0" w:line="240" w:lineRule="auto"/>
            </w:pPr>
            <w:r/>
            <w:r>
              <w:rPr>
                <w:rFonts w:ascii="Times New Roman" w:hAnsi="Times New Roman" w:eastAsia="Times New Roman"/>
                <w:b w:val="0"/>
                <w:sz w:val="16"/>
              </w:rPr>
              <w:t>Pension-income relief</w:t>
            </w:r>
          </w:p>
        </w:tc>
        <w:tc>
          <w:tcPr>
            <w:tcW w:type="dxa" w:w="3456"/>
            <w:vAlign w:val="top"/>
          </w:tcPr>
          <w:p>
            <w:pPr>
              <w:spacing w:after="0" w:line="240" w:lineRule="auto"/>
            </w:pPr>
            <w:r/>
            <w:r>
              <w:rPr>
                <w:rFonts w:ascii="Times New Roman" w:hAnsi="Times New Roman" w:eastAsia="Times New Roman"/>
                <w:b w:val="0"/>
                <w:sz w:val="16"/>
              </w:rPr>
              <w:t>25% of the first slab amount for individual/couple, subject to the prescribed ceiling</w:t>
            </w:r>
          </w:p>
        </w:tc>
        <w:tc>
          <w:tcPr>
            <w:tcW w:type="dxa" w:w="4680"/>
            <w:vAlign w:val="top"/>
          </w:tcPr>
          <w:p>
            <w:pPr>
              <w:spacing w:after="0" w:line="240" w:lineRule="auto"/>
            </w:pPr>
            <w:r/>
            <w:r>
              <w:rPr>
                <w:rFonts w:ascii="Times New Roman" w:hAnsi="Times New Roman" w:eastAsia="Times New Roman"/>
                <w:b w:val="0"/>
                <w:sz w:val="16"/>
              </w:rPr>
              <w:t>The deduction cannot exceed pension income.</w:t>
            </w:r>
          </w:p>
        </w:tc>
      </w:tr>
      <w:tr>
        <w:tc>
          <w:tcPr>
            <w:tcW w:type="dxa" w:w="2232"/>
            <w:vAlign w:val="top"/>
          </w:tcPr>
          <w:p>
            <w:pPr>
              <w:spacing w:after="0" w:line="240" w:lineRule="auto"/>
            </w:pPr>
            <w:r/>
            <w:r>
              <w:rPr>
                <w:rFonts w:ascii="Times New Roman" w:hAnsi="Times New Roman" w:eastAsia="Times New Roman"/>
                <w:b w:val="0"/>
                <w:sz w:val="16"/>
              </w:rPr>
              <w:t>Person with disability</w:t>
            </w:r>
          </w:p>
        </w:tc>
        <w:tc>
          <w:tcPr>
            <w:tcW w:type="dxa" w:w="3456"/>
            <w:vAlign w:val="top"/>
          </w:tcPr>
          <w:p>
            <w:pPr>
              <w:spacing w:after="0" w:line="240" w:lineRule="auto"/>
            </w:pPr>
            <w:r/>
            <w:r>
              <w:rPr>
                <w:rFonts w:ascii="Times New Roman" w:hAnsi="Times New Roman" w:eastAsia="Times New Roman"/>
                <w:b w:val="0"/>
                <w:sz w:val="16"/>
              </w:rPr>
              <w:t>Additional 50% of the first slab amount for individual/couple</w:t>
            </w:r>
          </w:p>
        </w:tc>
        <w:tc>
          <w:tcPr>
            <w:tcW w:type="dxa" w:w="4680"/>
            <w:vAlign w:val="top"/>
          </w:tcPr>
          <w:p>
            <w:pPr>
              <w:spacing w:after="0" w:line="240" w:lineRule="auto"/>
            </w:pPr>
            <w:r/>
            <w:r>
              <w:rPr>
                <w:rFonts w:ascii="Times New Roman" w:hAnsi="Times New Roman" w:eastAsia="Times New Roman"/>
                <w:b w:val="0"/>
                <w:sz w:val="16"/>
              </w:rPr>
              <w:t>Available only to a resident natural person with disability.</w:t>
            </w:r>
          </w:p>
        </w:tc>
      </w:tr>
      <w:tr>
        <w:tc>
          <w:tcPr>
            <w:tcW w:type="dxa" w:w="2232"/>
            <w:vAlign w:val="top"/>
          </w:tcPr>
          <w:p>
            <w:pPr>
              <w:spacing w:after="0" w:line="240" w:lineRule="auto"/>
            </w:pPr>
            <w:r/>
            <w:r>
              <w:rPr>
                <w:rFonts w:ascii="Times New Roman" w:hAnsi="Times New Roman" w:eastAsia="Times New Roman"/>
                <w:b w:val="0"/>
                <w:sz w:val="16"/>
              </w:rPr>
              <w:t>Investment insurance</w:t>
            </w:r>
          </w:p>
        </w:tc>
        <w:tc>
          <w:tcPr>
            <w:tcW w:type="dxa" w:w="3456"/>
            <w:vAlign w:val="top"/>
          </w:tcPr>
          <w:p>
            <w:pPr>
              <w:spacing w:after="0" w:line="240" w:lineRule="auto"/>
            </w:pPr>
            <w:r/>
            <w:r>
              <w:rPr>
                <w:rFonts w:ascii="Times New Roman" w:hAnsi="Times New Roman" w:eastAsia="Times New Roman"/>
                <w:b w:val="0"/>
                <w:sz w:val="16"/>
              </w:rPr>
              <w:t>Annual premium paid or Rs. 40,000, whichever is lower</w:t>
            </w:r>
          </w:p>
        </w:tc>
        <w:tc>
          <w:tcPr>
            <w:tcW w:type="dxa" w:w="4680"/>
            <w:vAlign w:val="top"/>
          </w:tcPr>
          <w:p>
            <w:pPr>
              <w:spacing w:after="0" w:line="240" w:lineRule="auto"/>
            </w:pPr>
            <w:r/>
            <w:r>
              <w:rPr>
                <w:rFonts w:ascii="Times New Roman" w:hAnsi="Times New Roman" w:eastAsia="Times New Roman"/>
                <w:b w:val="0"/>
                <w:sz w:val="16"/>
              </w:rPr>
              <w:t>Available to a resident natural person.</w:t>
            </w:r>
          </w:p>
        </w:tc>
      </w:tr>
      <w:tr>
        <w:tc>
          <w:tcPr>
            <w:tcW w:type="dxa" w:w="2232"/>
            <w:vAlign w:val="top"/>
          </w:tcPr>
          <w:p>
            <w:pPr>
              <w:spacing w:after="0" w:line="240" w:lineRule="auto"/>
            </w:pPr>
            <w:r/>
            <w:r>
              <w:rPr>
                <w:rFonts w:ascii="Times New Roman" w:hAnsi="Times New Roman" w:eastAsia="Times New Roman"/>
                <w:b w:val="0"/>
                <w:sz w:val="16"/>
              </w:rPr>
              <w:t>Health insurance</w:t>
            </w:r>
          </w:p>
        </w:tc>
        <w:tc>
          <w:tcPr>
            <w:tcW w:type="dxa" w:w="3456"/>
            <w:vAlign w:val="top"/>
          </w:tcPr>
          <w:p>
            <w:pPr>
              <w:spacing w:after="0" w:line="240" w:lineRule="auto"/>
            </w:pPr>
            <w:r/>
            <w:r>
              <w:rPr>
                <w:rFonts w:ascii="Times New Roman" w:hAnsi="Times New Roman" w:eastAsia="Times New Roman"/>
                <w:b w:val="0"/>
                <w:sz w:val="16"/>
              </w:rPr>
              <w:t>Annual premium paid or Rs. 20,000, whichever is lower</w:t>
            </w:r>
          </w:p>
        </w:tc>
        <w:tc>
          <w:tcPr>
            <w:tcW w:type="dxa" w:w="4680"/>
            <w:vAlign w:val="top"/>
          </w:tcPr>
          <w:p>
            <w:pPr>
              <w:spacing w:after="0" w:line="240" w:lineRule="auto"/>
            </w:pPr>
            <w:r/>
            <w:r>
              <w:rPr>
                <w:rFonts w:ascii="Times New Roman" w:hAnsi="Times New Roman" w:eastAsia="Times New Roman"/>
                <w:b w:val="0"/>
                <w:sz w:val="16"/>
              </w:rPr>
              <w:t>If this deduction is claimed, the medical tax credit of Rs. 750 is not available.</w:t>
            </w:r>
          </w:p>
        </w:tc>
      </w:tr>
      <w:tr>
        <w:tc>
          <w:tcPr>
            <w:tcW w:type="dxa" w:w="2232"/>
            <w:vAlign w:val="top"/>
          </w:tcPr>
          <w:p>
            <w:pPr>
              <w:spacing w:after="0" w:line="240" w:lineRule="auto"/>
            </w:pPr>
            <w:r/>
            <w:r>
              <w:rPr>
                <w:rFonts w:ascii="Times New Roman" w:hAnsi="Times New Roman" w:eastAsia="Times New Roman"/>
                <w:b w:val="0"/>
                <w:sz w:val="16"/>
              </w:rPr>
              <w:t>Private-building insurance</w:t>
            </w:r>
          </w:p>
        </w:tc>
        <w:tc>
          <w:tcPr>
            <w:tcW w:type="dxa" w:w="3456"/>
            <w:vAlign w:val="top"/>
          </w:tcPr>
          <w:p>
            <w:pPr>
              <w:spacing w:after="0" w:line="240" w:lineRule="auto"/>
            </w:pPr>
            <w:r/>
            <w:r>
              <w:rPr>
                <w:rFonts w:ascii="Times New Roman" w:hAnsi="Times New Roman" w:eastAsia="Times New Roman"/>
                <w:b w:val="0"/>
                <w:sz w:val="16"/>
              </w:rPr>
              <w:t>Annual premium paid or Rs. 5,000, whichever is lower</w:t>
            </w:r>
          </w:p>
        </w:tc>
        <w:tc>
          <w:tcPr>
            <w:tcW w:type="dxa" w:w="4680"/>
            <w:vAlign w:val="top"/>
          </w:tcPr>
          <w:p>
            <w:pPr>
              <w:spacing w:after="0" w:line="240" w:lineRule="auto"/>
            </w:pPr>
            <w:r/>
            <w:r>
              <w:rPr>
                <w:rFonts w:ascii="Times New Roman" w:hAnsi="Times New Roman" w:eastAsia="Times New Roman"/>
                <w:b w:val="0"/>
                <w:sz w:val="16"/>
              </w:rPr>
              <w:t>Available for insurance of the private building owned by a resident natural person with a resident insurance company.</w:t>
            </w:r>
          </w:p>
        </w:tc>
      </w:tr>
    </w:tbl>
    <w:p/>
    <w:p>
      <w:pPr>
        <w:pStyle w:val="Heading3"/>
        <w:spacing w:after="80" w:line="252" w:lineRule="auto"/>
      </w:pPr>
      <w:r>
        <w:rPr>
          <w:rFonts w:ascii="Times New Roman" w:hAnsi="Times New Roman" w:eastAsia="Times New Roman"/>
          <w:b w:val="0"/>
          <w:i w:val="0"/>
        </w:rPr>
        <w:t>23.2.3 Tax table applicable to natural persons</w:t>
      </w:r>
    </w:p>
    <w:p>
      <w:pPr>
        <w:spacing w:after="80" w:line="252" w:lineRule="auto"/>
      </w:pPr>
      <w:r>
        <w:rPr>
          <w:rFonts w:ascii="Times New Roman" w:hAnsi="Times New Roman" w:eastAsia="Times New Roman"/>
          <w:b w:val="0"/>
          <w:i w:val="0"/>
          <w:sz w:val="21"/>
        </w:rPr>
        <w:t>For income year 2079/80, the Directive presented the tax table with the same basic slabs up to Rs. 2,000,000 and a 36% rate above Rs. 2,000,000. For income years 2080/81 and 2081/82, the table added a separate slab above Rs. 5,000,000, taxed at 39%. The first 1% slab applies only where there is employment income, except in the cases specifically excluded by the Act.</w:t>
      </w:r>
    </w:p>
    <w:tbl>
      <w:tblPr>
        <w:tblStyle w:val="TableGrid"/>
        <w:tblW w:type="auto" w:w="0"/>
        <w:jc w:val="center"/>
        <w:tblLook w:firstColumn="1" w:firstRow="1" w:lastColumn="0" w:lastRow="0" w:noHBand="0" w:noVBand="1" w:val="04A0"/>
      </w:tblPr>
      <w:tblGrid>
        <w:gridCol w:w="3298"/>
        <w:gridCol w:w="3298"/>
        <w:gridCol w:w="3298"/>
      </w:tblGrid>
      <w:tr>
        <w:trPr>
          <w:tblHeader w:val="true"/>
        </w:trPr>
        <w:tc>
          <w:tcPr>
            <w:tcW w:type="dxa" w:w="2016"/>
            <w:vAlign w:val="top"/>
            <w:shd w:fill="D9EAF7"/>
          </w:tcPr>
          <w:p>
            <w:pPr>
              <w:spacing w:after="0" w:line="240" w:lineRule="auto"/>
            </w:pPr>
            <w:r/>
            <w:r>
              <w:rPr>
                <w:rFonts w:ascii="Times New Roman" w:hAnsi="Times New Roman" w:eastAsia="Times New Roman"/>
                <w:b/>
                <w:sz w:val="16"/>
              </w:rPr>
              <w:t>Income years</w:t>
            </w:r>
          </w:p>
        </w:tc>
        <w:tc>
          <w:tcPr>
            <w:tcW w:type="dxa" w:w="3024"/>
            <w:vAlign w:val="top"/>
            <w:shd w:fill="D9EAF7"/>
          </w:tcPr>
          <w:p>
            <w:pPr>
              <w:spacing w:after="0" w:line="240" w:lineRule="auto"/>
            </w:pPr>
            <w:r/>
            <w:r>
              <w:rPr>
                <w:rFonts w:ascii="Times New Roman" w:hAnsi="Times New Roman" w:eastAsia="Times New Roman"/>
                <w:b/>
                <w:sz w:val="16"/>
              </w:rPr>
              <w:t>Taxpayer / income type</w:t>
            </w:r>
          </w:p>
        </w:tc>
        <w:tc>
          <w:tcPr>
            <w:tcW w:type="dxa" w:w="5328"/>
            <w:vAlign w:val="top"/>
            <w:shd w:fill="D9EAF7"/>
          </w:tcPr>
          <w:p>
            <w:pPr>
              <w:spacing w:after="0" w:line="240" w:lineRule="auto"/>
            </w:pPr>
            <w:r/>
            <w:r>
              <w:rPr>
                <w:rFonts w:ascii="Times New Roman" w:hAnsi="Times New Roman" w:eastAsia="Times New Roman"/>
                <w:b/>
                <w:sz w:val="16"/>
              </w:rPr>
              <w:t>Rate table summary</w:t>
            </w:r>
          </w:p>
        </w:tc>
      </w:tr>
      <w:tr>
        <w:tc>
          <w:tcPr>
            <w:tcW w:type="dxa" w:w="2016"/>
            <w:vAlign w:val="top"/>
          </w:tcPr>
          <w:p>
            <w:pPr>
              <w:spacing w:after="0" w:line="240" w:lineRule="auto"/>
            </w:pPr>
            <w:r/>
            <w:r>
              <w:rPr>
                <w:rFonts w:ascii="Times New Roman" w:hAnsi="Times New Roman" w:eastAsia="Times New Roman"/>
                <w:b w:val="0"/>
                <w:sz w:val="16"/>
              </w:rPr>
              <w:t>2079/80</w:t>
            </w:r>
          </w:p>
        </w:tc>
        <w:tc>
          <w:tcPr>
            <w:tcW w:type="dxa" w:w="3024"/>
            <w:vAlign w:val="top"/>
          </w:tcPr>
          <w:p>
            <w:pPr>
              <w:spacing w:after="0" w:line="240" w:lineRule="auto"/>
            </w:pPr>
            <w:r/>
            <w:r>
              <w:rPr>
                <w:rFonts w:ascii="Times New Roman" w:hAnsi="Times New Roman" w:eastAsia="Times New Roman"/>
                <w:b w:val="0"/>
                <w:sz w:val="16"/>
              </w:rPr>
              <w:t>Employment income only - individual/couple</w:t>
            </w:r>
          </w:p>
        </w:tc>
        <w:tc>
          <w:tcPr>
            <w:tcW w:type="dxa" w:w="5328"/>
            <w:vAlign w:val="top"/>
          </w:tcPr>
          <w:p>
            <w:pPr>
              <w:spacing w:after="0" w:line="240" w:lineRule="auto"/>
            </w:pPr>
            <w:r/>
            <w:r>
              <w:rPr>
                <w:rFonts w:ascii="Times New Roman" w:hAnsi="Times New Roman" w:eastAsia="Times New Roman"/>
                <w:b w:val="0"/>
                <w:sz w:val="16"/>
              </w:rPr>
              <w:t>1%, 10%, 20%, 30%, then 36% above Rs. 2,000,000.</w:t>
            </w:r>
          </w:p>
        </w:tc>
      </w:tr>
      <w:tr>
        <w:tc>
          <w:tcPr>
            <w:tcW w:type="dxa" w:w="2016"/>
            <w:vAlign w:val="top"/>
          </w:tcPr>
          <w:p>
            <w:pPr>
              <w:spacing w:after="0" w:line="240" w:lineRule="auto"/>
            </w:pPr>
            <w:r/>
            <w:r>
              <w:rPr>
                <w:rFonts w:ascii="Times New Roman" w:hAnsi="Times New Roman" w:eastAsia="Times New Roman"/>
                <w:b w:val="0"/>
                <w:sz w:val="16"/>
              </w:rPr>
              <w:t>2079/80</w:t>
            </w:r>
          </w:p>
        </w:tc>
        <w:tc>
          <w:tcPr>
            <w:tcW w:type="dxa" w:w="3024"/>
            <w:vAlign w:val="top"/>
          </w:tcPr>
          <w:p>
            <w:pPr>
              <w:spacing w:after="0" w:line="240" w:lineRule="auto"/>
            </w:pPr>
            <w:r/>
            <w:r>
              <w:rPr>
                <w:rFonts w:ascii="Times New Roman" w:hAnsi="Times New Roman" w:eastAsia="Times New Roman"/>
                <w:b w:val="0"/>
                <w:sz w:val="16"/>
              </w:rPr>
              <w:t>Sole-proprietorship business only</w:t>
            </w:r>
          </w:p>
        </w:tc>
        <w:tc>
          <w:tcPr>
            <w:tcW w:type="dxa" w:w="5328"/>
            <w:vAlign w:val="top"/>
          </w:tcPr>
          <w:p>
            <w:pPr>
              <w:spacing w:after="0" w:line="240" w:lineRule="auto"/>
            </w:pPr>
            <w:r/>
            <w:r>
              <w:rPr>
                <w:rFonts w:ascii="Times New Roman" w:hAnsi="Times New Roman" w:eastAsia="Times New Roman"/>
                <w:b w:val="0"/>
                <w:sz w:val="16"/>
              </w:rPr>
              <w:t>No 1% slab. First slab is tax-free; thereafter 10%, 20%, 30%, then 36% above Rs. 2,000,000.</w:t>
            </w:r>
          </w:p>
        </w:tc>
      </w:tr>
      <w:tr>
        <w:tc>
          <w:tcPr>
            <w:tcW w:type="dxa" w:w="2016"/>
            <w:vAlign w:val="top"/>
          </w:tcPr>
          <w:p>
            <w:pPr>
              <w:spacing w:after="0" w:line="240" w:lineRule="auto"/>
            </w:pPr>
            <w:r/>
            <w:r>
              <w:rPr>
                <w:rFonts w:ascii="Times New Roman" w:hAnsi="Times New Roman" w:eastAsia="Times New Roman"/>
                <w:b w:val="0"/>
                <w:sz w:val="16"/>
              </w:rPr>
              <w:t>2079/80</w:t>
            </w:r>
          </w:p>
        </w:tc>
        <w:tc>
          <w:tcPr>
            <w:tcW w:type="dxa" w:w="3024"/>
            <w:vAlign w:val="top"/>
          </w:tcPr>
          <w:p>
            <w:pPr>
              <w:spacing w:after="0" w:line="240" w:lineRule="auto"/>
            </w:pPr>
            <w:r>
              <w:t>Only net gain from non-business taxable asset</w:t>
            </w:r>
            <w:r>
              <w:rPr>
                <w:rFonts w:ascii="Times New Roman" w:hAnsi="Times New Roman" w:eastAsia="Times New Roman"/>
                <w:b w:val="0"/>
                <w:sz w:val="16"/>
              </w:rPr>
            </w:r>
          </w:p>
        </w:tc>
        <w:tc>
          <w:tcPr>
            <w:tcW w:type="dxa" w:w="5328"/>
            <w:vAlign w:val="top"/>
          </w:tcPr>
          <w:p>
            <w:pPr>
              <w:spacing w:after="0" w:line="240" w:lineRule="auto"/>
            </w:pPr>
            <w:r/>
            <w:r>
              <w:rPr>
                <w:rFonts w:ascii="Times New Roman" w:hAnsi="Times New Roman" w:eastAsia="Times New Roman"/>
                <w:b w:val="0"/>
                <w:sz w:val="16"/>
              </w:rPr>
              <w:t>No tax up to the individual/couple threshold; 10% on excess, subject to special 5%/7.5% rates for land/house-land and listed securities.</w:t>
            </w:r>
          </w:p>
        </w:tc>
      </w:tr>
      <w:tr>
        <w:tc>
          <w:tcPr>
            <w:tcW w:type="dxa" w:w="2016"/>
            <w:vAlign w:val="top"/>
          </w:tcPr>
          <w:p>
            <w:pPr>
              <w:spacing w:after="0" w:line="240" w:lineRule="auto"/>
            </w:pPr>
            <w:r/>
            <w:r>
              <w:rPr>
                <w:rFonts w:ascii="Times New Roman" w:hAnsi="Times New Roman" w:eastAsia="Times New Roman"/>
                <w:b w:val="0"/>
                <w:sz w:val="16"/>
              </w:rPr>
              <w:t>2080/81 and 2081/82</w:t>
            </w:r>
          </w:p>
        </w:tc>
        <w:tc>
          <w:tcPr>
            <w:tcW w:type="dxa" w:w="3024"/>
            <w:vAlign w:val="top"/>
          </w:tcPr>
          <w:p>
            <w:pPr>
              <w:spacing w:after="0" w:line="240" w:lineRule="auto"/>
            </w:pPr>
            <w:r/>
            <w:r>
              <w:rPr>
                <w:rFonts w:ascii="Times New Roman" w:hAnsi="Times New Roman" w:eastAsia="Times New Roman"/>
                <w:b w:val="0"/>
                <w:sz w:val="16"/>
              </w:rPr>
              <w:t>Employment income only - individual/couple</w:t>
            </w:r>
          </w:p>
        </w:tc>
        <w:tc>
          <w:tcPr>
            <w:tcW w:type="dxa" w:w="5328"/>
            <w:vAlign w:val="top"/>
          </w:tcPr>
          <w:p>
            <w:pPr>
              <w:spacing w:after="0" w:line="240" w:lineRule="auto"/>
            </w:pPr>
            <w:r/>
            <w:r>
              <w:rPr>
                <w:rFonts w:ascii="Times New Roman" w:hAnsi="Times New Roman" w:eastAsia="Times New Roman"/>
                <w:b w:val="0"/>
                <w:sz w:val="16"/>
              </w:rPr>
              <w:t>1%, 10%, 20%, 30%, 36% for Rs. 2,000,000 to Rs. 5,000,000, and 39% above Rs. 5,000,000.</w:t>
            </w:r>
          </w:p>
        </w:tc>
      </w:tr>
      <w:tr>
        <w:tc>
          <w:tcPr>
            <w:tcW w:type="dxa" w:w="2016"/>
            <w:vAlign w:val="top"/>
          </w:tcPr>
          <w:p>
            <w:pPr>
              <w:spacing w:after="0" w:line="240" w:lineRule="auto"/>
            </w:pPr>
            <w:r/>
            <w:r>
              <w:rPr>
                <w:rFonts w:ascii="Times New Roman" w:hAnsi="Times New Roman" w:eastAsia="Times New Roman"/>
                <w:b w:val="0"/>
                <w:sz w:val="16"/>
              </w:rPr>
              <w:t>2080/81 and 2081/82</w:t>
            </w:r>
          </w:p>
        </w:tc>
        <w:tc>
          <w:tcPr>
            <w:tcW w:type="dxa" w:w="3024"/>
            <w:vAlign w:val="top"/>
          </w:tcPr>
          <w:p>
            <w:pPr>
              <w:spacing w:after="0" w:line="240" w:lineRule="auto"/>
            </w:pPr>
            <w:r/>
            <w:r>
              <w:rPr>
                <w:rFonts w:ascii="Times New Roman" w:hAnsi="Times New Roman" w:eastAsia="Times New Roman"/>
                <w:b w:val="0"/>
                <w:sz w:val="16"/>
              </w:rPr>
              <w:t>Sole-proprietorship business only</w:t>
            </w:r>
          </w:p>
        </w:tc>
        <w:tc>
          <w:tcPr>
            <w:tcW w:type="dxa" w:w="5328"/>
            <w:vAlign w:val="top"/>
          </w:tcPr>
          <w:p>
            <w:pPr>
              <w:spacing w:after="0" w:line="240" w:lineRule="auto"/>
            </w:pPr>
            <w:r/>
            <w:r>
              <w:rPr>
                <w:rFonts w:ascii="Times New Roman" w:hAnsi="Times New Roman" w:eastAsia="Times New Roman"/>
                <w:b w:val="0"/>
                <w:sz w:val="16"/>
              </w:rPr>
              <w:t>No 1% slab. First slab is tax-free; thereafter 10%, 20%, 30%, 36%, and 39% above Rs. 5,000,000.</w:t>
            </w:r>
          </w:p>
        </w:tc>
      </w:tr>
      <w:tr>
        <w:tc>
          <w:tcPr>
            <w:tcW w:type="dxa" w:w="2016"/>
            <w:vAlign w:val="top"/>
          </w:tcPr>
          <w:p>
            <w:pPr>
              <w:spacing w:after="0" w:line="240" w:lineRule="auto"/>
            </w:pPr>
            <w:r/>
            <w:r>
              <w:rPr>
                <w:rFonts w:ascii="Times New Roman" w:hAnsi="Times New Roman" w:eastAsia="Times New Roman"/>
                <w:b w:val="0"/>
                <w:sz w:val="16"/>
              </w:rPr>
              <w:t>2080/81 and 2081/82</w:t>
            </w:r>
          </w:p>
        </w:tc>
        <w:tc>
          <w:tcPr>
            <w:tcW w:type="dxa" w:w="3024"/>
            <w:vAlign w:val="top"/>
          </w:tcPr>
          <w:p>
            <w:pPr>
              <w:spacing w:after="0" w:line="240" w:lineRule="auto"/>
            </w:pPr>
            <w:r>
              <w:t>Only net gain from non-business taxable asset</w:t>
            </w:r>
            <w:r>
              <w:rPr>
                <w:rFonts w:ascii="Times New Roman" w:hAnsi="Times New Roman" w:eastAsia="Times New Roman"/>
                <w:b w:val="0"/>
                <w:sz w:val="16"/>
              </w:rPr>
            </w:r>
          </w:p>
        </w:tc>
        <w:tc>
          <w:tcPr>
            <w:tcW w:type="dxa" w:w="5328"/>
            <w:vAlign w:val="top"/>
          </w:tcPr>
          <w:p>
            <w:pPr>
              <w:spacing w:after="0" w:line="240" w:lineRule="auto"/>
            </w:pPr>
            <w:r/>
            <w:r>
              <w:rPr>
                <w:rFonts w:ascii="Times New Roman" w:hAnsi="Times New Roman" w:eastAsia="Times New Roman"/>
                <w:b w:val="0"/>
                <w:sz w:val="16"/>
              </w:rPr>
              <w:t>No tax up to the individual/couple threshold; 10% on excess, subject to the special 5%/7.5% rules.</w:t>
            </w:r>
          </w:p>
        </w:tc>
      </w:tr>
    </w:tbl>
    <w:p/>
    <w:p>
      <w:pPr>
        <w:spacing w:after="80" w:line="252" w:lineRule="auto"/>
      </w:pPr>
      <w:r>
        <w:rPr>
          <w:rFonts w:ascii="Times New Roman" w:hAnsi="Times New Roman" w:eastAsia="Times New Roman"/>
          <w:b w:val="0"/>
          <w:i w:val="0"/>
          <w:sz w:val="21"/>
        </w:rPr>
        <w:t>Notes: deductions such as insurance premium, remote-area allowance, foreign allowance, disability relief and other concessions are deducted before applying the tax table. For a natural person having mixed income from employment, business or investment, the 1% rate applies only to the extent of employment income; where there is no employment income, the 1% rate is not imposed. A couple means natural persons who have elected to be treated as a single natural person.</w:t>
      </w:r>
    </w:p>
    <w:p>
      <w:pPr>
        <w:pStyle w:val="Heading3"/>
        <w:spacing w:after="80" w:line="252" w:lineRule="auto"/>
      </w:pPr>
      <w:r>
        <w:rPr>
          <w:rFonts w:ascii="Times New Roman" w:hAnsi="Times New Roman" w:eastAsia="Times New Roman"/>
          <w:b w:val="0"/>
          <w:i w:val="0"/>
        </w:rPr>
        <w:t>23.2.4 Presumptive tax and turnover-based tax</w:t>
      </w:r>
    </w:p>
    <w:p>
      <w:pPr>
        <w:spacing w:after="80" w:line="252" w:lineRule="auto"/>
      </w:pPr>
      <w:r>
        <w:rPr>
          <w:rFonts w:ascii="Times New Roman" w:hAnsi="Times New Roman" w:eastAsia="Times New Roman"/>
          <w:b w:val="0"/>
          <w:i w:val="0"/>
          <w:sz w:val="21"/>
        </w:rPr>
        <w:t>Schedule 1, section 1(7) provides fixed presumptive tax for a resident natural person satisfying section 4(4) of the Act. The person must have only Nepal-source business income, taxable income up to Rs. 300,000 and annual turnover not exceeding Rs. 3,000,000, and must not claim medical tax credit or advance-tax credit. The fixed annual tax is as follows.</w:t>
      </w:r>
    </w:p>
    <w:tbl>
      <w:tblPr>
        <w:tblStyle w:val="TableGrid"/>
        <w:tblW w:type="auto" w:w="0"/>
        <w:jc w:val="center"/>
        <w:tblLook w:firstColumn="1" w:firstRow="1" w:lastColumn="0" w:lastRow="0" w:noHBand="0" w:noVBand="1" w:val="04A0"/>
      </w:tblPr>
      <w:tblGrid>
        <w:gridCol w:w="2473"/>
        <w:gridCol w:w="2473"/>
        <w:gridCol w:w="2473"/>
        <w:gridCol w:w="2473"/>
      </w:tblGrid>
      <w:tr>
        <w:trPr>
          <w:tblHeader w:val="true"/>
        </w:trPr>
        <w:tc>
          <w:tcPr>
            <w:tcW w:type="dxa" w:w="4032"/>
            <w:vAlign w:val="top"/>
            <w:shd w:fill="D9EAF7"/>
          </w:tcPr>
          <w:p>
            <w:pPr>
              <w:spacing w:after="0" w:line="240" w:lineRule="auto"/>
            </w:pPr>
            <w:r/>
            <w:r>
              <w:rPr>
                <w:rFonts w:ascii="Times New Roman" w:hAnsi="Times New Roman" w:eastAsia="Times New Roman"/>
                <w:b/>
                <w:sz w:val="16"/>
              </w:rPr>
              <w:t>Business location</w:t>
            </w:r>
          </w:p>
        </w:tc>
        <w:tc>
          <w:tcPr>
            <w:tcW w:type="dxa" w:w="1872"/>
            <w:vAlign w:val="top"/>
            <w:shd w:fill="D9EAF7"/>
          </w:tcPr>
          <w:p>
            <w:pPr>
              <w:spacing w:after="0" w:line="240" w:lineRule="auto"/>
            </w:pPr>
            <w:r/>
            <w:r>
              <w:rPr>
                <w:rFonts w:ascii="Times New Roman" w:hAnsi="Times New Roman" w:eastAsia="Times New Roman"/>
                <w:b/>
                <w:sz w:val="16"/>
              </w:rPr>
              <w:t>FY 2079/80</w:t>
            </w:r>
          </w:p>
        </w:tc>
        <w:tc>
          <w:tcPr>
            <w:tcW w:type="dxa" w:w="1872"/>
            <w:vAlign w:val="top"/>
            <w:shd w:fill="D9EAF7"/>
          </w:tcPr>
          <w:p>
            <w:pPr>
              <w:spacing w:after="0" w:line="240" w:lineRule="auto"/>
            </w:pPr>
            <w:r/>
            <w:r>
              <w:rPr>
                <w:rFonts w:ascii="Times New Roman" w:hAnsi="Times New Roman" w:eastAsia="Times New Roman"/>
                <w:b/>
                <w:sz w:val="16"/>
              </w:rPr>
              <w:t>FY 2080/81</w:t>
            </w:r>
          </w:p>
        </w:tc>
        <w:tc>
          <w:tcPr>
            <w:tcW w:type="dxa" w:w="1872"/>
            <w:vAlign w:val="top"/>
            <w:shd w:fill="D9EAF7"/>
          </w:tcPr>
          <w:p>
            <w:pPr>
              <w:spacing w:after="0" w:line="240" w:lineRule="auto"/>
            </w:pPr>
            <w:r/>
            <w:r>
              <w:rPr>
                <w:rFonts w:ascii="Times New Roman" w:hAnsi="Times New Roman" w:eastAsia="Times New Roman"/>
                <w:b/>
                <w:sz w:val="16"/>
              </w:rPr>
              <w:t>FY 2081/82</w:t>
            </w:r>
          </w:p>
        </w:tc>
      </w:tr>
      <w:tr>
        <w:tc>
          <w:tcPr>
            <w:tcW w:type="dxa" w:w="4032"/>
            <w:vAlign w:val="top"/>
          </w:tcPr>
          <w:p>
            <w:pPr>
              <w:spacing w:after="0" w:line="240" w:lineRule="auto"/>
            </w:pPr>
            <w:r/>
            <w:r>
              <w:rPr>
                <w:rFonts w:ascii="Times New Roman" w:hAnsi="Times New Roman" w:eastAsia="Times New Roman"/>
                <w:b w:val="0"/>
                <w:sz w:val="16"/>
              </w:rPr>
              <w:t>Metropolitan city or sub-metropolitan city</w:t>
            </w:r>
          </w:p>
        </w:tc>
        <w:tc>
          <w:tcPr>
            <w:tcW w:type="dxa" w:w="1872"/>
            <w:vAlign w:val="top"/>
          </w:tcPr>
          <w:p>
            <w:pPr>
              <w:spacing w:after="0" w:line="240" w:lineRule="auto"/>
            </w:pPr>
            <w:r/>
            <w:r>
              <w:rPr>
                <w:rFonts w:ascii="Times New Roman" w:hAnsi="Times New Roman" w:eastAsia="Times New Roman"/>
                <w:b w:val="0"/>
                <w:sz w:val="16"/>
              </w:rPr>
              <w:t>Rs. 7,500</w:t>
            </w:r>
          </w:p>
        </w:tc>
        <w:tc>
          <w:tcPr>
            <w:tcW w:type="dxa" w:w="1872"/>
            <w:vAlign w:val="top"/>
          </w:tcPr>
          <w:p>
            <w:pPr>
              <w:spacing w:after="0" w:line="240" w:lineRule="auto"/>
            </w:pPr>
            <w:r/>
            <w:r>
              <w:rPr>
                <w:rFonts w:ascii="Times New Roman" w:hAnsi="Times New Roman" w:eastAsia="Times New Roman"/>
                <w:b w:val="0"/>
                <w:sz w:val="16"/>
              </w:rPr>
              <w:t>Rs. 7,500</w:t>
            </w:r>
          </w:p>
        </w:tc>
        <w:tc>
          <w:tcPr>
            <w:tcW w:type="dxa" w:w="1872"/>
            <w:vAlign w:val="top"/>
          </w:tcPr>
          <w:p>
            <w:pPr>
              <w:spacing w:after="0" w:line="240" w:lineRule="auto"/>
            </w:pPr>
            <w:r/>
            <w:r>
              <w:rPr>
                <w:rFonts w:ascii="Times New Roman" w:hAnsi="Times New Roman" w:eastAsia="Times New Roman"/>
                <w:b w:val="0"/>
                <w:sz w:val="16"/>
              </w:rPr>
              <w:t>Rs. 7,500</w:t>
            </w:r>
          </w:p>
        </w:tc>
      </w:tr>
      <w:tr>
        <w:tc>
          <w:tcPr>
            <w:tcW w:type="dxa" w:w="4032"/>
            <w:vAlign w:val="top"/>
          </w:tcPr>
          <w:p>
            <w:pPr>
              <w:spacing w:after="0" w:line="240" w:lineRule="auto"/>
            </w:pPr>
            <w:r/>
            <w:r>
              <w:rPr>
                <w:rFonts w:ascii="Times New Roman" w:hAnsi="Times New Roman" w:eastAsia="Times New Roman"/>
                <w:b w:val="0"/>
                <w:sz w:val="16"/>
              </w:rPr>
              <w:t>Municipality</w:t>
            </w:r>
          </w:p>
        </w:tc>
        <w:tc>
          <w:tcPr>
            <w:tcW w:type="dxa" w:w="1872"/>
            <w:vAlign w:val="top"/>
          </w:tcPr>
          <w:p>
            <w:pPr>
              <w:spacing w:after="0" w:line="240" w:lineRule="auto"/>
            </w:pPr>
            <w:r/>
            <w:r>
              <w:rPr>
                <w:rFonts w:ascii="Times New Roman" w:hAnsi="Times New Roman" w:eastAsia="Times New Roman"/>
                <w:b w:val="0"/>
                <w:sz w:val="16"/>
              </w:rPr>
              <w:t>Rs. 4,000</w:t>
            </w:r>
          </w:p>
        </w:tc>
        <w:tc>
          <w:tcPr>
            <w:tcW w:type="dxa" w:w="1872"/>
            <w:vAlign w:val="top"/>
          </w:tcPr>
          <w:p>
            <w:pPr>
              <w:spacing w:after="0" w:line="240" w:lineRule="auto"/>
            </w:pPr>
            <w:r/>
            <w:r>
              <w:rPr>
                <w:rFonts w:ascii="Times New Roman" w:hAnsi="Times New Roman" w:eastAsia="Times New Roman"/>
                <w:b w:val="0"/>
                <w:sz w:val="16"/>
              </w:rPr>
              <w:t>Rs. 4,000</w:t>
            </w:r>
          </w:p>
        </w:tc>
        <w:tc>
          <w:tcPr>
            <w:tcW w:type="dxa" w:w="1872"/>
            <w:vAlign w:val="top"/>
          </w:tcPr>
          <w:p>
            <w:pPr>
              <w:spacing w:after="0" w:line="240" w:lineRule="auto"/>
            </w:pPr>
            <w:r/>
            <w:r>
              <w:rPr>
                <w:rFonts w:ascii="Times New Roman" w:hAnsi="Times New Roman" w:eastAsia="Times New Roman"/>
                <w:b w:val="0"/>
                <w:sz w:val="16"/>
              </w:rPr>
              <w:t>Rs. 4,000</w:t>
            </w:r>
          </w:p>
        </w:tc>
      </w:tr>
      <w:tr>
        <w:tc>
          <w:tcPr>
            <w:tcW w:type="dxa" w:w="4032"/>
            <w:vAlign w:val="top"/>
          </w:tcPr>
          <w:p>
            <w:pPr>
              <w:spacing w:after="0" w:line="240" w:lineRule="auto"/>
            </w:pPr>
            <w:r/>
            <w:r>
              <w:rPr>
                <w:rFonts w:ascii="Times New Roman" w:hAnsi="Times New Roman" w:eastAsia="Times New Roman"/>
                <w:b w:val="0"/>
                <w:sz w:val="16"/>
              </w:rPr>
              <w:t>Other area</w:t>
            </w:r>
          </w:p>
        </w:tc>
        <w:tc>
          <w:tcPr>
            <w:tcW w:type="dxa" w:w="1872"/>
            <w:vAlign w:val="top"/>
          </w:tcPr>
          <w:p>
            <w:pPr>
              <w:spacing w:after="0" w:line="240" w:lineRule="auto"/>
            </w:pPr>
            <w:r/>
            <w:r>
              <w:rPr>
                <w:rFonts w:ascii="Times New Roman" w:hAnsi="Times New Roman" w:eastAsia="Times New Roman"/>
                <w:b w:val="0"/>
                <w:sz w:val="16"/>
              </w:rPr>
              <w:t>Rs. 2,500</w:t>
            </w:r>
          </w:p>
        </w:tc>
        <w:tc>
          <w:tcPr>
            <w:tcW w:type="dxa" w:w="1872"/>
            <w:vAlign w:val="top"/>
          </w:tcPr>
          <w:p>
            <w:pPr>
              <w:spacing w:after="0" w:line="240" w:lineRule="auto"/>
            </w:pPr>
            <w:r/>
            <w:r>
              <w:rPr>
                <w:rFonts w:ascii="Times New Roman" w:hAnsi="Times New Roman" w:eastAsia="Times New Roman"/>
                <w:b w:val="0"/>
                <w:sz w:val="16"/>
              </w:rPr>
              <w:t>Rs. 2,500</w:t>
            </w:r>
          </w:p>
        </w:tc>
        <w:tc>
          <w:tcPr>
            <w:tcW w:type="dxa" w:w="1872"/>
            <w:vAlign w:val="top"/>
          </w:tcPr>
          <w:p>
            <w:pPr>
              <w:spacing w:after="0" w:line="240" w:lineRule="auto"/>
            </w:pPr>
            <w:r/>
            <w:r>
              <w:rPr>
                <w:rFonts w:ascii="Times New Roman" w:hAnsi="Times New Roman" w:eastAsia="Times New Roman"/>
                <w:b w:val="0"/>
                <w:sz w:val="16"/>
              </w:rPr>
              <w:t>Rs. 2,500</w:t>
            </w:r>
          </w:p>
        </w:tc>
      </w:tr>
    </w:tbl>
    <w:p/>
    <w:p>
      <w:pPr>
        <w:spacing w:after="80" w:line="252" w:lineRule="auto"/>
      </w:pPr>
      <w:r>
        <w:rPr>
          <w:rFonts w:ascii="Times New Roman" w:hAnsi="Times New Roman" w:eastAsia="Times New Roman"/>
          <w:b w:val="0"/>
          <w:i w:val="0"/>
          <w:sz w:val="21"/>
        </w:rPr>
        <w:t>Schedule 1, section 1(17), read with section 4(4a), provides turnover-based tax for a resident natural person having only Nepal-source business income, taxable income up to Rs. 1,000,000 and turnover exceeding Rs. 3,000,000 but less than Rs. 10,000,000. It does not apply to natural persons providing professional or expert services such as medical, engineering, auditing, legal, sports, artistic, consultancy or similar expert services.</w:t>
      </w:r>
    </w:p>
    <w:tbl>
      <w:tblPr>
        <w:tblStyle w:val="TableGrid"/>
        <w:tblW w:type="auto" w:w="0"/>
        <w:jc w:val="center"/>
        <w:tblLook w:firstColumn="1" w:firstRow="1" w:lastColumn="0" w:lastRow="0" w:noHBand="0" w:noVBand="1" w:val="04A0"/>
      </w:tblPr>
      <w:tblGrid>
        <w:gridCol w:w="3298"/>
        <w:gridCol w:w="3298"/>
        <w:gridCol w:w="3298"/>
      </w:tblGrid>
      <w:tr>
        <w:trPr>
          <w:tblHeader w:val="true"/>
        </w:trPr>
        <w:tc>
          <w:tcPr>
            <w:tcW w:type="dxa" w:w="4032"/>
            <w:vAlign w:val="top"/>
            <w:shd w:fill="D9EAF7"/>
          </w:tcPr>
          <w:p>
            <w:pPr>
              <w:spacing w:after="0" w:line="240" w:lineRule="auto"/>
            </w:pPr>
            <w:r/>
            <w:r>
              <w:rPr>
                <w:rFonts w:ascii="Times New Roman" w:hAnsi="Times New Roman" w:eastAsia="Times New Roman"/>
                <w:b/>
                <w:sz w:val="16"/>
              </w:rPr>
              <w:t>Type of business</w:t>
            </w:r>
          </w:p>
        </w:tc>
        <w:tc>
          <w:tcPr>
            <w:tcW w:type="dxa" w:w="3168"/>
            <w:vAlign w:val="top"/>
            <w:shd w:fill="D9EAF7"/>
          </w:tcPr>
          <w:p>
            <w:pPr>
              <w:spacing w:after="0" w:line="240" w:lineRule="auto"/>
            </w:pPr>
            <w:r/>
            <w:r>
              <w:rPr>
                <w:rFonts w:ascii="Times New Roman" w:hAnsi="Times New Roman" w:eastAsia="Times New Roman"/>
                <w:b/>
                <w:sz w:val="16"/>
              </w:rPr>
              <w:t>Turnover: above Rs. 3 million up to Rs. 5 million</w:t>
            </w:r>
          </w:p>
        </w:tc>
        <w:tc>
          <w:tcPr>
            <w:tcW w:type="dxa" w:w="3168"/>
            <w:vAlign w:val="top"/>
            <w:shd w:fill="D9EAF7"/>
          </w:tcPr>
          <w:p>
            <w:pPr>
              <w:spacing w:after="0" w:line="240" w:lineRule="auto"/>
            </w:pPr>
            <w:r/>
            <w:r>
              <w:rPr>
                <w:rFonts w:ascii="Times New Roman" w:hAnsi="Times New Roman" w:eastAsia="Times New Roman"/>
                <w:b/>
                <w:sz w:val="16"/>
              </w:rPr>
              <w:t>Turnover: above Rs. 5 million up to Rs. 10 million</w:t>
            </w:r>
          </w:p>
        </w:tc>
      </w:tr>
      <w:tr>
        <w:tc>
          <w:tcPr>
            <w:tcW w:type="dxa" w:w="4032"/>
            <w:vAlign w:val="top"/>
          </w:tcPr>
          <w:p>
            <w:pPr>
              <w:spacing w:after="0" w:line="240" w:lineRule="auto"/>
            </w:pPr>
            <w:r/>
            <w:r>
              <w:rPr>
                <w:rFonts w:ascii="Times New Roman" w:hAnsi="Times New Roman" w:eastAsia="Times New Roman"/>
                <w:b w:val="0"/>
                <w:sz w:val="16"/>
              </w:rPr>
              <w:t>Goods business with commission or mark-up up to 3%, including gas and cigarettes</w:t>
            </w:r>
          </w:p>
        </w:tc>
        <w:tc>
          <w:tcPr>
            <w:tcW w:type="dxa" w:w="3168"/>
            <w:vAlign w:val="top"/>
          </w:tcPr>
          <w:p>
            <w:pPr>
              <w:spacing w:after="0" w:line="240" w:lineRule="auto"/>
            </w:pPr>
            <w:r/>
            <w:r>
              <w:rPr>
                <w:rFonts w:ascii="Times New Roman" w:hAnsi="Times New Roman" w:eastAsia="Times New Roman"/>
                <w:b w:val="0"/>
                <w:sz w:val="16"/>
              </w:rPr>
              <w:t>0.25% of turnover amount above Rs. 3 million, after fixed tax on first Rs. 3 million</w:t>
            </w:r>
          </w:p>
        </w:tc>
        <w:tc>
          <w:tcPr>
            <w:tcW w:type="dxa" w:w="3168"/>
            <w:vAlign w:val="top"/>
          </w:tcPr>
          <w:p>
            <w:pPr>
              <w:spacing w:after="0" w:line="240" w:lineRule="auto"/>
            </w:pPr>
            <w:r/>
            <w:r>
              <w:rPr>
                <w:rFonts w:ascii="Times New Roman" w:hAnsi="Times New Roman" w:eastAsia="Times New Roman"/>
                <w:b w:val="0"/>
                <w:sz w:val="16"/>
              </w:rPr>
              <w:t>0.30% as specified, after applying the prescribed method</w:t>
            </w:r>
          </w:p>
        </w:tc>
      </w:tr>
      <w:tr>
        <w:tc>
          <w:tcPr>
            <w:tcW w:type="dxa" w:w="4032"/>
            <w:vAlign w:val="top"/>
          </w:tcPr>
          <w:p>
            <w:pPr>
              <w:spacing w:after="0" w:line="240" w:lineRule="auto"/>
            </w:pPr>
            <w:r/>
            <w:r>
              <w:rPr>
                <w:rFonts w:ascii="Times New Roman" w:hAnsi="Times New Roman" w:eastAsia="Times New Roman"/>
                <w:b w:val="0"/>
                <w:sz w:val="16"/>
              </w:rPr>
              <w:t>Other business except the above</w:t>
            </w:r>
          </w:p>
        </w:tc>
        <w:tc>
          <w:tcPr>
            <w:tcW w:type="dxa" w:w="3168"/>
            <w:vAlign w:val="top"/>
          </w:tcPr>
          <w:p>
            <w:pPr>
              <w:spacing w:after="0" w:line="240" w:lineRule="auto"/>
            </w:pPr>
            <w:r/>
            <w:r>
              <w:rPr>
                <w:rFonts w:ascii="Times New Roman" w:hAnsi="Times New Roman" w:eastAsia="Times New Roman"/>
                <w:b w:val="0"/>
                <w:sz w:val="16"/>
              </w:rPr>
              <w:t>1% of turnover amount above Rs. 3 million, after fixed tax on first Rs. 3 million</w:t>
            </w:r>
          </w:p>
        </w:tc>
        <w:tc>
          <w:tcPr>
            <w:tcW w:type="dxa" w:w="3168"/>
            <w:vAlign w:val="top"/>
          </w:tcPr>
          <w:p>
            <w:pPr>
              <w:spacing w:after="0" w:line="240" w:lineRule="auto"/>
            </w:pPr>
            <w:r/>
            <w:r>
              <w:rPr>
                <w:rFonts w:ascii="Times New Roman" w:hAnsi="Times New Roman" w:eastAsia="Times New Roman"/>
                <w:b w:val="0"/>
                <w:sz w:val="16"/>
              </w:rPr>
              <w:t>0.8% as specified, after applying the prescribed method</w:t>
            </w:r>
          </w:p>
        </w:tc>
      </w:tr>
      <w:tr>
        <w:tc>
          <w:tcPr>
            <w:tcW w:type="dxa" w:w="4032"/>
            <w:vAlign w:val="top"/>
          </w:tcPr>
          <w:p>
            <w:pPr>
              <w:spacing w:after="0" w:line="240" w:lineRule="auto"/>
            </w:pPr>
            <w:r/>
            <w:r>
              <w:rPr>
                <w:rFonts w:ascii="Times New Roman" w:hAnsi="Times New Roman" w:eastAsia="Times New Roman"/>
                <w:b w:val="0"/>
                <w:sz w:val="16"/>
              </w:rPr>
              <w:t>Service business</w:t>
            </w:r>
          </w:p>
        </w:tc>
        <w:tc>
          <w:tcPr>
            <w:tcW w:type="dxa" w:w="3168"/>
            <w:vAlign w:val="top"/>
          </w:tcPr>
          <w:p>
            <w:pPr>
              <w:spacing w:after="0" w:line="240" w:lineRule="auto"/>
            </w:pPr>
            <w:r/>
            <w:r>
              <w:rPr>
                <w:rFonts w:ascii="Times New Roman" w:hAnsi="Times New Roman" w:eastAsia="Times New Roman"/>
                <w:b w:val="0"/>
                <w:sz w:val="16"/>
              </w:rPr>
              <w:t>2% of turnover</w:t>
            </w:r>
          </w:p>
        </w:tc>
        <w:tc>
          <w:tcPr>
            <w:tcW w:type="dxa" w:w="3168"/>
            <w:vAlign w:val="top"/>
          </w:tcPr>
          <w:p>
            <w:pPr>
              <w:spacing w:after="0" w:line="240" w:lineRule="auto"/>
            </w:pPr>
            <w:r/>
            <w:r>
              <w:rPr>
                <w:rFonts w:ascii="Times New Roman" w:hAnsi="Times New Roman" w:eastAsia="Times New Roman"/>
                <w:b w:val="0"/>
                <w:sz w:val="16"/>
              </w:rPr>
              <w:t>2% of turnover</w:t>
            </w:r>
          </w:p>
        </w:tc>
      </w:tr>
    </w:tbl>
    <w:p/>
    <w:p>
      <w:pPr>
        <w:spacing w:after="80" w:line="252" w:lineRule="auto"/>
      </w:pPr>
      <w:r>
        <w:rPr>
          <w:rFonts w:ascii="Times New Roman" w:hAnsi="Times New Roman" w:eastAsia="Times New Roman"/>
          <w:b w:val="0"/>
          <w:i w:val="0"/>
          <w:sz w:val="21"/>
        </w:rPr>
        <w:t>A turnover-based taxpayer pays tax in two instalments. By the end of Poush, tax is paid on turnover up to Poush 20 at the prescribed rate. By the end of Ashadh, tax is computed by estimating total turnover up to the end of Ashadh on the basis of actual turnover up to Ashadh 20, and the Poush payment is deducted from the tax so computed.</w:t>
      </w:r>
    </w:p>
    <w:p>
      <w:pPr>
        <w:pStyle w:val="Heading3"/>
        <w:spacing w:after="80" w:line="252" w:lineRule="auto"/>
      </w:pPr>
      <w:r>
        <w:rPr>
          <w:rFonts w:ascii="Times New Roman" w:hAnsi="Times New Roman" w:eastAsia="Times New Roman"/>
          <w:b w:val="0"/>
          <w:i w:val="0"/>
        </w:rPr>
        <w:t>23.2.5 Tax payable by owners of vehicles for hire</w:t>
      </w:r>
    </w:p>
    <w:p>
      <w:pPr>
        <w:spacing w:after="80" w:line="252" w:lineRule="auto"/>
      </w:pPr>
      <w:r>
        <w:rPr>
          <w:rFonts w:ascii="Times New Roman" w:hAnsi="Times New Roman" w:eastAsia="Times New Roman"/>
          <w:b w:val="0"/>
          <w:i w:val="0"/>
          <w:sz w:val="21"/>
        </w:rPr>
        <w:t>Where a vehicle for hire is registered in Nepal in the name of a person, annual tax is collected through the transport management office at the time of registration or renewal. The Directive presents the following rates.</w:t>
      </w:r>
    </w:p>
    <w:tbl>
      <w:tblPr>
        <w:tblStyle w:val="TableGrid"/>
        <w:tblW w:type="auto" w:w="0"/>
        <w:jc w:val="center"/>
        <w:tblLook w:firstColumn="1" w:firstRow="1" w:lastColumn="0" w:lastRow="0" w:noHBand="0" w:noVBand="1" w:val="04A0"/>
      </w:tblPr>
      <w:tblGrid>
        <w:gridCol w:w="3298"/>
        <w:gridCol w:w="3298"/>
        <w:gridCol w:w="3298"/>
      </w:tblGrid>
      <w:tr>
        <w:trPr>
          <w:tblHeader w:val="true"/>
        </w:trPr>
        <w:tc>
          <w:tcPr>
            <w:tcW w:type="dxa" w:w="4896"/>
            <w:vAlign w:val="top"/>
            <w:shd w:fill="D9EAF7"/>
          </w:tcPr>
          <w:p>
            <w:pPr>
              <w:spacing w:after="0" w:line="240" w:lineRule="auto"/>
            </w:pPr>
            <w:r/>
            <w:r>
              <w:rPr>
                <w:rFonts w:ascii="Times New Roman" w:hAnsi="Times New Roman" w:eastAsia="Times New Roman"/>
                <w:b/>
                <w:sz w:val="16"/>
              </w:rPr>
              <w:t>Vehicle type</w:t>
            </w:r>
          </w:p>
        </w:tc>
        <w:tc>
          <w:tcPr>
            <w:tcW w:type="dxa" w:w="2304"/>
            <w:vAlign w:val="top"/>
            <w:shd w:fill="D9EAF7"/>
          </w:tcPr>
          <w:p>
            <w:pPr>
              <w:spacing w:after="0" w:line="240" w:lineRule="auto"/>
            </w:pPr>
            <w:r/>
            <w:r>
              <w:rPr>
                <w:rFonts w:ascii="Times New Roman" w:hAnsi="Times New Roman" w:eastAsia="Times New Roman"/>
                <w:b/>
                <w:sz w:val="16"/>
              </w:rPr>
              <w:t>FY 2079/80</w:t>
            </w:r>
          </w:p>
        </w:tc>
        <w:tc>
          <w:tcPr>
            <w:tcW w:type="dxa" w:w="2592"/>
            <w:vAlign w:val="top"/>
            <w:shd w:fill="D9EAF7"/>
          </w:tcPr>
          <w:p>
            <w:pPr>
              <w:spacing w:after="0" w:line="240" w:lineRule="auto"/>
            </w:pPr>
            <w:r/>
            <w:r>
              <w:rPr>
                <w:rFonts w:ascii="Times New Roman" w:hAnsi="Times New Roman" w:eastAsia="Times New Roman"/>
                <w:b/>
                <w:sz w:val="16"/>
              </w:rPr>
              <w:t>FY 2080/81 and FY 2081/82</w:t>
            </w:r>
          </w:p>
        </w:tc>
      </w:tr>
      <w:tr>
        <w:tc>
          <w:tcPr>
            <w:tcW w:type="dxa" w:w="4896"/>
            <w:vAlign w:val="top"/>
          </w:tcPr>
          <w:p>
            <w:pPr>
              <w:spacing w:after="0" w:line="240" w:lineRule="auto"/>
            </w:pPr>
            <w:r/>
            <w:r>
              <w:rPr>
                <w:rFonts w:ascii="Times New Roman" w:hAnsi="Times New Roman" w:eastAsia="Times New Roman"/>
                <w:b w:val="0"/>
                <w:sz w:val="16"/>
              </w:rPr>
              <w:t>Car, jeep, van, microbus - up to 1300 cc</w:t>
            </w:r>
          </w:p>
        </w:tc>
        <w:tc>
          <w:tcPr>
            <w:tcW w:type="dxa" w:w="2304"/>
            <w:vAlign w:val="top"/>
          </w:tcPr>
          <w:p>
            <w:pPr>
              <w:spacing w:after="0" w:line="240" w:lineRule="auto"/>
            </w:pPr>
            <w:r/>
            <w:r>
              <w:rPr>
                <w:rFonts w:ascii="Times New Roman" w:hAnsi="Times New Roman" w:eastAsia="Times New Roman"/>
                <w:b w:val="0"/>
                <w:sz w:val="16"/>
              </w:rPr>
              <w:t>Rs. 4,000</w:t>
            </w:r>
          </w:p>
        </w:tc>
        <w:tc>
          <w:tcPr>
            <w:tcW w:type="dxa" w:w="2592"/>
            <w:vAlign w:val="top"/>
          </w:tcPr>
          <w:p>
            <w:pPr>
              <w:spacing w:after="0" w:line="240" w:lineRule="auto"/>
            </w:pPr>
            <w:r/>
            <w:r>
              <w:rPr>
                <w:rFonts w:ascii="Times New Roman" w:hAnsi="Times New Roman" w:eastAsia="Times New Roman"/>
                <w:b w:val="0"/>
                <w:sz w:val="16"/>
              </w:rPr>
              <w:t>Rs. 5,500</w:t>
            </w:r>
          </w:p>
        </w:tc>
      </w:tr>
      <w:tr>
        <w:tc>
          <w:tcPr>
            <w:tcW w:type="dxa" w:w="4896"/>
            <w:vAlign w:val="top"/>
          </w:tcPr>
          <w:p>
            <w:pPr>
              <w:spacing w:after="0" w:line="240" w:lineRule="auto"/>
            </w:pPr>
            <w:r/>
            <w:r>
              <w:rPr>
                <w:rFonts w:ascii="Times New Roman" w:hAnsi="Times New Roman" w:eastAsia="Times New Roman"/>
                <w:b w:val="0"/>
                <w:sz w:val="16"/>
              </w:rPr>
              <w:t>Car, jeep, van, microbus - 1301 cc to 2000 cc</w:t>
            </w:r>
          </w:p>
        </w:tc>
        <w:tc>
          <w:tcPr>
            <w:tcW w:type="dxa" w:w="2304"/>
            <w:vAlign w:val="top"/>
          </w:tcPr>
          <w:p>
            <w:pPr>
              <w:spacing w:after="0" w:line="240" w:lineRule="auto"/>
            </w:pPr>
            <w:r/>
            <w:r>
              <w:rPr>
                <w:rFonts w:ascii="Times New Roman" w:hAnsi="Times New Roman" w:eastAsia="Times New Roman"/>
                <w:b w:val="0"/>
                <w:sz w:val="16"/>
              </w:rPr>
              <w:t>Rs. 4,500</w:t>
            </w:r>
          </w:p>
        </w:tc>
        <w:tc>
          <w:tcPr>
            <w:tcW w:type="dxa" w:w="2592"/>
            <w:vAlign w:val="top"/>
          </w:tcPr>
          <w:p>
            <w:pPr>
              <w:spacing w:after="0" w:line="240" w:lineRule="auto"/>
            </w:pPr>
            <w:r/>
            <w:r>
              <w:rPr>
                <w:rFonts w:ascii="Times New Roman" w:hAnsi="Times New Roman" w:eastAsia="Times New Roman"/>
                <w:b w:val="0"/>
                <w:sz w:val="16"/>
              </w:rPr>
              <w:t>Rs. 6,000</w:t>
            </w:r>
          </w:p>
        </w:tc>
      </w:tr>
      <w:tr>
        <w:tc>
          <w:tcPr>
            <w:tcW w:type="dxa" w:w="4896"/>
            <w:vAlign w:val="top"/>
          </w:tcPr>
          <w:p>
            <w:pPr>
              <w:spacing w:after="0" w:line="240" w:lineRule="auto"/>
            </w:pPr>
            <w:r/>
            <w:r>
              <w:rPr>
                <w:rFonts w:ascii="Times New Roman" w:hAnsi="Times New Roman" w:eastAsia="Times New Roman"/>
                <w:b w:val="0"/>
                <w:sz w:val="16"/>
              </w:rPr>
              <w:t>Car, jeep, van, microbus - 2001 cc to 2900 cc</w:t>
            </w:r>
          </w:p>
        </w:tc>
        <w:tc>
          <w:tcPr>
            <w:tcW w:type="dxa" w:w="2304"/>
            <w:vAlign w:val="top"/>
          </w:tcPr>
          <w:p>
            <w:pPr>
              <w:spacing w:after="0" w:line="240" w:lineRule="auto"/>
            </w:pPr>
            <w:r/>
            <w:r>
              <w:rPr>
                <w:rFonts w:ascii="Times New Roman" w:hAnsi="Times New Roman" w:eastAsia="Times New Roman"/>
                <w:b w:val="0"/>
                <w:sz w:val="16"/>
              </w:rPr>
              <w:t>Rs. 5,000</w:t>
            </w:r>
          </w:p>
        </w:tc>
        <w:tc>
          <w:tcPr>
            <w:tcW w:type="dxa" w:w="2592"/>
            <w:vAlign w:val="top"/>
          </w:tcPr>
          <w:p>
            <w:pPr>
              <w:spacing w:after="0" w:line="240" w:lineRule="auto"/>
            </w:pPr>
            <w:r/>
            <w:r>
              <w:rPr>
                <w:rFonts w:ascii="Times New Roman" w:hAnsi="Times New Roman" w:eastAsia="Times New Roman"/>
                <w:b w:val="0"/>
                <w:sz w:val="16"/>
              </w:rPr>
              <w:t>Rs. 6,500</w:t>
            </w:r>
          </w:p>
        </w:tc>
      </w:tr>
      <w:tr>
        <w:tc>
          <w:tcPr>
            <w:tcW w:type="dxa" w:w="4896"/>
            <w:vAlign w:val="top"/>
          </w:tcPr>
          <w:p>
            <w:pPr>
              <w:spacing w:after="0" w:line="240" w:lineRule="auto"/>
            </w:pPr>
            <w:r/>
            <w:r>
              <w:rPr>
                <w:rFonts w:ascii="Times New Roman" w:hAnsi="Times New Roman" w:eastAsia="Times New Roman"/>
                <w:b w:val="0"/>
                <w:sz w:val="16"/>
              </w:rPr>
              <w:t>Car, jeep, van, microbus - 2901 cc to 4000 cc</w:t>
            </w:r>
          </w:p>
        </w:tc>
        <w:tc>
          <w:tcPr>
            <w:tcW w:type="dxa" w:w="2304"/>
            <w:vAlign w:val="top"/>
          </w:tcPr>
          <w:p>
            <w:pPr>
              <w:spacing w:after="0" w:line="240" w:lineRule="auto"/>
            </w:pPr>
            <w:r/>
            <w:r>
              <w:rPr>
                <w:rFonts w:ascii="Times New Roman" w:hAnsi="Times New Roman" w:eastAsia="Times New Roman"/>
                <w:b w:val="0"/>
                <w:sz w:val="16"/>
              </w:rPr>
              <w:t>Rs. 6,000</w:t>
            </w:r>
          </w:p>
        </w:tc>
        <w:tc>
          <w:tcPr>
            <w:tcW w:type="dxa" w:w="2592"/>
            <w:vAlign w:val="top"/>
          </w:tcPr>
          <w:p>
            <w:pPr>
              <w:spacing w:after="0" w:line="240" w:lineRule="auto"/>
            </w:pPr>
            <w:r/>
            <w:r>
              <w:rPr>
                <w:rFonts w:ascii="Times New Roman" w:hAnsi="Times New Roman" w:eastAsia="Times New Roman"/>
                <w:b w:val="0"/>
                <w:sz w:val="16"/>
              </w:rPr>
              <w:t>Rs. 8,000</w:t>
            </w:r>
          </w:p>
        </w:tc>
      </w:tr>
      <w:tr>
        <w:tc>
          <w:tcPr>
            <w:tcW w:type="dxa" w:w="4896"/>
            <w:vAlign w:val="top"/>
          </w:tcPr>
          <w:p>
            <w:pPr>
              <w:spacing w:after="0" w:line="240" w:lineRule="auto"/>
            </w:pPr>
            <w:r/>
            <w:r>
              <w:rPr>
                <w:rFonts w:ascii="Times New Roman" w:hAnsi="Times New Roman" w:eastAsia="Times New Roman"/>
                <w:b w:val="0"/>
                <w:sz w:val="16"/>
              </w:rPr>
              <w:t>Car, jeep, van, microbus - above 4000 cc</w:t>
            </w:r>
          </w:p>
        </w:tc>
        <w:tc>
          <w:tcPr>
            <w:tcW w:type="dxa" w:w="2304"/>
            <w:vAlign w:val="top"/>
          </w:tcPr>
          <w:p>
            <w:pPr>
              <w:spacing w:after="0" w:line="240" w:lineRule="auto"/>
            </w:pPr>
            <w:r/>
            <w:r>
              <w:rPr>
                <w:rFonts w:ascii="Times New Roman" w:hAnsi="Times New Roman" w:eastAsia="Times New Roman"/>
                <w:b w:val="0"/>
                <w:sz w:val="16"/>
              </w:rPr>
              <w:t>Rs. 7,000</w:t>
            </w:r>
          </w:p>
        </w:tc>
        <w:tc>
          <w:tcPr>
            <w:tcW w:type="dxa" w:w="2592"/>
            <w:vAlign w:val="top"/>
          </w:tcPr>
          <w:p>
            <w:pPr>
              <w:spacing w:after="0" w:line="240" w:lineRule="auto"/>
            </w:pPr>
            <w:r/>
            <w:r>
              <w:rPr>
                <w:rFonts w:ascii="Times New Roman" w:hAnsi="Times New Roman" w:eastAsia="Times New Roman"/>
                <w:b w:val="0"/>
                <w:sz w:val="16"/>
              </w:rPr>
              <w:t>Rs. 9,000</w:t>
            </w:r>
          </w:p>
        </w:tc>
      </w:tr>
      <w:tr>
        <w:tc>
          <w:tcPr>
            <w:tcW w:type="dxa" w:w="4896"/>
            <w:vAlign w:val="top"/>
          </w:tcPr>
          <w:p>
            <w:pPr>
              <w:spacing w:after="0" w:line="240" w:lineRule="auto"/>
            </w:pPr>
            <w:r/>
            <w:r>
              <w:rPr>
                <w:rFonts w:ascii="Times New Roman" w:hAnsi="Times New Roman" w:eastAsia="Times New Roman"/>
                <w:b w:val="0"/>
                <w:sz w:val="16"/>
              </w:rPr>
              <w:t>Mini-truck, minibus, water tanker</w:t>
            </w:r>
          </w:p>
        </w:tc>
        <w:tc>
          <w:tcPr>
            <w:tcW w:type="dxa" w:w="2304"/>
            <w:vAlign w:val="top"/>
          </w:tcPr>
          <w:p>
            <w:pPr>
              <w:spacing w:after="0" w:line="240" w:lineRule="auto"/>
            </w:pPr>
            <w:r/>
            <w:r>
              <w:rPr>
                <w:rFonts w:ascii="Times New Roman" w:hAnsi="Times New Roman" w:eastAsia="Times New Roman"/>
                <w:b w:val="0"/>
                <w:sz w:val="16"/>
              </w:rPr>
              <w:t>Rs. 6,000</w:t>
            </w:r>
          </w:p>
        </w:tc>
        <w:tc>
          <w:tcPr>
            <w:tcW w:type="dxa" w:w="2592"/>
            <w:vAlign w:val="top"/>
          </w:tcPr>
          <w:p>
            <w:pPr>
              <w:spacing w:after="0" w:line="240" w:lineRule="auto"/>
            </w:pPr>
            <w:r/>
            <w:r>
              <w:rPr>
                <w:rFonts w:ascii="Times New Roman" w:hAnsi="Times New Roman" w:eastAsia="Times New Roman"/>
                <w:b w:val="0"/>
                <w:sz w:val="16"/>
              </w:rPr>
              <w:t>Rs. 8,000</w:t>
            </w:r>
          </w:p>
        </w:tc>
      </w:tr>
      <w:tr>
        <w:tc>
          <w:tcPr>
            <w:tcW w:type="dxa" w:w="4896"/>
            <w:vAlign w:val="top"/>
          </w:tcPr>
          <w:p>
            <w:pPr>
              <w:spacing w:after="0" w:line="240" w:lineRule="auto"/>
            </w:pPr>
            <w:r/>
            <w:r>
              <w:rPr>
                <w:rFonts w:ascii="Times New Roman" w:hAnsi="Times New Roman" w:eastAsia="Times New Roman"/>
                <w:b w:val="0"/>
                <w:sz w:val="16"/>
              </w:rPr>
              <w:t>Mini tipper</w:t>
            </w:r>
          </w:p>
        </w:tc>
        <w:tc>
          <w:tcPr>
            <w:tcW w:type="dxa" w:w="2304"/>
            <w:vAlign w:val="top"/>
          </w:tcPr>
          <w:p>
            <w:pPr>
              <w:spacing w:after="0" w:line="240" w:lineRule="auto"/>
            </w:pPr>
            <w:r/>
            <w:r>
              <w:rPr>
                <w:rFonts w:ascii="Times New Roman" w:hAnsi="Times New Roman" w:eastAsia="Times New Roman"/>
                <w:b w:val="0"/>
                <w:sz w:val="16"/>
              </w:rPr>
              <w:t>Rs. 7,000</w:t>
            </w:r>
          </w:p>
        </w:tc>
        <w:tc>
          <w:tcPr>
            <w:tcW w:type="dxa" w:w="2592"/>
            <w:vAlign w:val="top"/>
          </w:tcPr>
          <w:p>
            <w:pPr>
              <w:spacing w:after="0" w:line="240" w:lineRule="auto"/>
            </w:pPr>
            <w:r/>
            <w:r>
              <w:rPr>
                <w:rFonts w:ascii="Times New Roman" w:hAnsi="Times New Roman" w:eastAsia="Times New Roman"/>
                <w:b w:val="0"/>
                <w:sz w:val="16"/>
              </w:rPr>
              <w:t>Rs. 9,000</w:t>
            </w:r>
          </w:p>
        </w:tc>
      </w:tr>
      <w:tr>
        <w:tc>
          <w:tcPr>
            <w:tcW w:type="dxa" w:w="4896"/>
            <w:vAlign w:val="top"/>
          </w:tcPr>
          <w:p>
            <w:pPr>
              <w:spacing w:after="0" w:line="240" w:lineRule="auto"/>
            </w:pPr>
            <w:r/>
            <w:r>
              <w:rPr>
                <w:rFonts w:ascii="Times New Roman" w:hAnsi="Times New Roman" w:eastAsia="Times New Roman"/>
                <w:b w:val="0"/>
                <w:sz w:val="16"/>
              </w:rPr>
              <w:t>Truck or bus</w:t>
            </w:r>
          </w:p>
        </w:tc>
        <w:tc>
          <w:tcPr>
            <w:tcW w:type="dxa" w:w="2304"/>
            <w:vAlign w:val="top"/>
          </w:tcPr>
          <w:p>
            <w:pPr>
              <w:spacing w:after="0" w:line="240" w:lineRule="auto"/>
            </w:pPr>
            <w:r/>
            <w:r>
              <w:rPr>
                <w:rFonts w:ascii="Times New Roman" w:hAnsi="Times New Roman" w:eastAsia="Times New Roman"/>
                <w:b w:val="0"/>
                <w:sz w:val="16"/>
              </w:rPr>
              <w:t>Rs. 8,000</w:t>
            </w:r>
          </w:p>
        </w:tc>
        <w:tc>
          <w:tcPr>
            <w:tcW w:type="dxa" w:w="2592"/>
            <w:vAlign w:val="top"/>
          </w:tcPr>
          <w:p>
            <w:pPr>
              <w:spacing w:after="0" w:line="240" w:lineRule="auto"/>
            </w:pPr>
            <w:r/>
            <w:r>
              <w:rPr>
                <w:rFonts w:ascii="Times New Roman" w:hAnsi="Times New Roman" w:eastAsia="Times New Roman"/>
                <w:b w:val="0"/>
                <w:sz w:val="16"/>
              </w:rPr>
              <w:t>Rs. 10,500</w:t>
            </w:r>
          </w:p>
        </w:tc>
      </w:tr>
      <w:tr>
        <w:tc>
          <w:tcPr>
            <w:tcW w:type="dxa" w:w="4896"/>
            <w:vAlign w:val="top"/>
          </w:tcPr>
          <w:p>
            <w:pPr>
              <w:spacing w:after="0" w:line="240" w:lineRule="auto"/>
            </w:pPr>
            <w:r/>
            <w:r>
              <w:rPr>
                <w:rFonts w:ascii="Times New Roman" w:hAnsi="Times New Roman" w:eastAsia="Times New Roman"/>
                <w:b w:val="0"/>
                <w:sz w:val="16"/>
              </w:rPr>
              <w:t>Excavator, loader, roller, crane and similar machinery equipment</w:t>
            </w:r>
          </w:p>
        </w:tc>
        <w:tc>
          <w:tcPr>
            <w:tcW w:type="dxa" w:w="2304"/>
            <w:vAlign w:val="top"/>
          </w:tcPr>
          <w:p>
            <w:pPr>
              <w:spacing w:after="0" w:line="240" w:lineRule="auto"/>
            </w:pPr>
            <w:r/>
            <w:r>
              <w:rPr>
                <w:rFonts w:ascii="Times New Roman" w:hAnsi="Times New Roman" w:eastAsia="Times New Roman"/>
                <w:b w:val="0"/>
                <w:sz w:val="16"/>
              </w:rPr>
              <w:t>Rs. 12,000</w:t>
            </w:r>
          </w:p>
        </w:tc>
        <w:tc>
          <w:tcPr>
            <w:tcW w:type="dxa" w:w="2592"/>
            <w:vAlign w:val="top"/>
          </w:tcPr>
          <w:p>
            <w:pPr>
              <w:spacing w:after="0" w:line="240" w:lineRule="auto"/>
            </w:pPr>
            <w:r/>
            <w:r>
              <w:rPr>
                <w:rFonts w:ascii="Times New Roman" w:hAnsi="Times New Roman" w:eastAsia="Times New Roman"/>
                <w:b w:val="0"/>
                <w:sz w:val="16"/>
              </w:rPr>
              <w:t>Rs. 15,500</w:t>
            </w:r>
          </w:p>
        </w:tc>
      </w:tr>
      <w:tr>
        <w:tc>
          <w:tcPr>
            <w:tcW w:type="dxa" w:w="4896"/>
            <w:vAlign w:val="top"/>
          </w:tcPr>
          <w:p>
            <w:pPr>
              <w:spacing w:after="0" w:line="240" w:lineRule="auto"/>
            </w:pPr>
            <w:r/>
            <w:r>
              <w:rPr>
                <w:rFonts w:ascii="Times New Roman" w:hAnsi="Times New Roman" w:eastAsia="Times New Roman"/>
                <w:b w:val="0"/>
                <w:sz w:val="16"/>
              </w:rPr>
              <w:t>Oil tanker, gas bullet, tipper</w:t>
            </w:r>
          </w:p>
        </w:tc>
        <w:tc>
          <w:tcPr>
            <w:tcW w:type="dxa" w:w="2304"/>
            <w:vAlign w:val="top"/>
          </w:tcPr>
          <w:p>
            <w:pPr>
              <w:spacing w:after="0" w:line="240" w:lineRule="auto"/>
            </w:pPr>
            <w:r/>
            <w:r>
              <w:rPr>
                <w:rFonts w:ascii="Times New Roman" w:hAnsi="Times New Roman" w:eastAsia="Times New Roman"/>
                <w:b w:val="0"/>
                <w:sz w:val="16"/>
              </w:rPr>
              <w:t>Rs. 12,000</w:t>
            </w:r>
          </w:p>
        </w:tc>
        <w:tc>
          <w:tcPr>
            <w:tcW w:type="dxa" w:w="2592"/>
            <w:vAlign w:val="top"/>
          </w:tcPr>
          <w:p>
            <w:pPr>
              <w:spacing w:after="0" w:line="240" w:lineRule="auto"/>
            </w:pPr>
            <w:r/>
            <w:r>
              <w:rPr>
                <w:rFonts w:ascii="Times New Roman" w:hAnsi="Times New Roman" w:eastAsia="Times New Roman"/>
                <w:b w:val="0"/>
                <w:sz w:val="16"/>
              </w:rPr>
              <w:t>Rs. 15,500</w:t>
            </w:r>
          </w:p>
        </w:tc>
      </w:tr>
      <w:tr>
        <w:tc>
          <w:tcPr>
            <w:tcW w:type="dxa" w:w="4896"/>
            <w:vAlign w:val="top"/>
          </w:tcPr>
          <w:p>
            <w:pPr>
              <w:spacing w:after="0" w:line="240" w:lineRule="auto"/>
            </w:pPr>
            <w:r/>
            <w:r>
              <w:rPr>
                <w:rFonts w:ascii="Times New Roman" w:hAnsi="Times New Roman" w:eastAsia="Times New Roman"/>
                <w:b w:val="0"/>
                <w:sz w:val="16"/>
              </w:rPr>
              <w:t>Tractor</w:t>
            </w:r>
          </w:p>
        </w:tc>
        <w:tc>
          <w:tcPr>
            <w:tcW w:type="dxa" w:w="2304"/>
            <w:vAlign w:val="top"/>
          </w:tcPr>
          <w:p>
            <w:pPr>
              <w:spacing w:after="0" w:line="240" w:lineRule="auto"/>
            </w:pPr>
            <w:r/>
            <w:r>
              <w:rPr>
                <w:rFonts w:ascii="Times New Roman" w:hAnsi="Times New Roman" w:eastAsia="Times New Roman"/>
                <w:b w:val="0"/>
                <w:sz w:val="16"/>
              </w:rPr>
              <w:t>Rs. 2,000</w:t>
            </w:r>
          </w:p>
        </w:tc>
        <w:tc>
          <w:tcPr>
            <w:tcW w:type="dxa" w:w="2592"/>
            <w:vAlign w:val="top"/>
          </w:tcPr>
          <w:p>
            <w:pPr>
              <w:spacing w:after="0" w:line="240" w:lineRule="auto"/>
            </w:pPr>
            <w:r/>
            <w:r>
              <w:rPr>
                <w:rFonts w:ascii="Times New Roman" w:hAnsi="Times New Roman" w:eastAsia="Times New Roman"/>
                <w:b w:val="0"/>
                <w:sz w:val="16"/>
              </w:rPr>
              <w:t>Rs. 2,500</w:t>
            </w:r>
          </w:p>
        </w:tc>
      </w:tr>
      <w:tr>
        <w:tc>
          <w:tcPr>
            <w:tcW w:type="dxa" w:w="4896"/>
            <w:vAlign w:val="top"/>
          </w:tcPr>
          <w:p>
            <w:pPr>
              <w:spacing w:after="0" w:line="240" w:lineRule="auto"/>
            </w:pPr>
            <w:r/>
            <w:r>
              <w:rPr>
                <w:rFonts w:ascii="Times New Roman" w:hAnsi="Times New Roman" w:eastAsia="Times New Roman"/>
                <w:b w:val="0"/>
                <w:sz w:val="16"/>
              </w:rPr>
              <w:t>Power tiller</w:t>
            </w:r>
          </w:p>
        </w:tc>
        <w:tc>
          <w:tcPr>
            <w:tcW w:type="dxa" w:w="2304"/>
            <w:vAlign w:val="top"/>
          </w:tcPr>
          <w:p>
            <w:pPr>
              <w:spacing w:after="0" w:line="240" w:lineRule="auto"/>
            </w:pPr>
            <w:r/>
            <w:r>
              <w:rPr>
                <w:rFonts w:ascii="Times New Roman" w:hAnsi="Times New Roman" w:eastAsia="Times New Roman"/>
                <w:b w:val="0"/>
                <w:sz w:val="16"/>
              </w:rPr>
              <w:t>Rs. 1,500</w:t>
            </w:r>
          </w:p>
        </w:tc>
        <w:tc>
          <w:tcPr>
            <w:tcW w:type="dxa" w:w="2592"/>
            <w:vAlign w:val="top"/>
          </w:tcPr>
          <w:p>
            <w:pPr>
              <w:spacing w:after="0" w:line="240" w:lineRule="auto"/>
            </w:pPr>
            <w:r/>
            <w:r>
              <w:rPr>
                <w:rFonts w:ascii="Times New Roman" w:hAnsi="Times New Roman" w:eastAsia="Times New Roman"/>
                <w:b w:val="0"/>
                <w:sz w:val="16"/>
              </w:rPr>
              <w:t>Rs. 2,000</w:t>
            </w:r>
          </w:p>
        </w:tc>
      </w:tr>
      <w:tr>
        <w:tc>
          <w:tcPr>
            <w:tcW w:type="dxa" w:w="4896"/>
            <w:vAlign w:val="top"/>
          </w:tcPr>
          <w:p>
            <w:pPr>
              <w:spacing w:after="0" w:line="240" w:lineRule="auto"/>
            </w:pPr>
            <w:r/>
            <w:r>
              <w:rPr>
                <w:rFonts w:ascii="Times New Roman" w:hAnsi="Times New Roman" w:eastAsia="Times New Roman"/>
                <w:b w:val="0"/>
                <w:sz w:val="16"/>
              </w:rPr>
              <w:t>Auto-rickshaw, three-wheeler, tempo</w:t>
            </w:r>
          </w:p>
        </w:tc>
        <w:tc>
          <w:tcPr>
            <w:tcW w:type="dxa" w:w="2304"/>
            <w:vAlign w:val="top"/>
          </w:tcPr>
          <w:p>
            <w:pPr>
              <w:spacing w:after="0" w:line="240" w:lineRule="auto"/>
            </w:pPr>
            <w:r/>
            <w:r>
              <w:rPr>
                <w:rFonts w:ascii="Times New Roman" w:hAnsi="Times New Roman" w:eastAsia="Times New Roman"/>
                <w:b w:val="0"/>
                <w:sz w:val="16"/>
              </w:rPr>
              <w:t>Rs. 2,000</w:t>
            </w:r>
          </w:p>
        </w:tc>
        <w:tc>
          <w:tcPr>
            <w:tcW w:type="dxa" w:w="2592"/>
            <w:vAlign w:val="top"/>
          </w:tcPr>
          <w:p>
            <w:pPr>
              <w:spacing w:after="0" w:line="240" w:lineRule="auto"/>
            </w:pPr>
            <w:r/>
            <w:r>
              <w:rPr>
                <w:rFonts w:ascii="Times New Roman" w:hAnsi="Times New Roman" w:eastAsia="Times New Roman"/>
                <w:b w:val="0"/>
                <w:sz w:val="16"/>
              </w:rPr>
              <w:t>Rs. 2,500</w:t>
            </w:r>
          </w:p>
        </w:tc>
      </w:tr>
      <w:tr>
        <w:tc>
          <w:tcPr>
            <w:tcW w:type="dxa" w:w="4896"/>
            <w:vAlign w:val="top"/>
          </w:tcPr>
          <w:p>
            <w:pPr>
              <w:spacing w:after="0" w:line="240" w:lineRule="auto"/>
            </w:pPr>
            <w:r/>
            <w:r>
              <w:rPr>
                <w:rFonts w:ascii="Times New Roman" w:hAnsi="Times New Roman" w:eastAsia="Times New Roman"/>
                <w:b w:val="0"/>
                <w:sz w:val="16"/>
              </w:rPr>
              <w:t>Electric vehicle up to 50 kW</w:t>
            </w:r>
          </w:p>
        </w:tc>
        <w:tc>
          <w:tcPr>
            <w:tcW w:type="dxa" w:w="2304"/>
            <w:vAlign w:val="top"/>
          </w:tcPr>
          <w:p>
            <w:pPr>
              <w:spacing w:after="0" w:line="240" w:lineRule="auto"/>
            </w:pPr>
            <w:r/>
            <w:r>
              <w:rPr>
                <w:rFonts w:ascii="Times New Roman" w:hAnsi="Times New Roman" w:eastAsia="Times New Roman"/>
                <w:b w:val="0"/>
                <w:sz w:val="16"/>
              </w:rPr>
              <w:t>-</w:t>
            </w:r>
          </w:p>
        </w:tc>
        <w:tc>
          <w:tcPr>
            <w:tcW w:type="dxa" w:w="2592"/>
            <w:vAlign w:val="top"/>
          </w:tcPr>
          <w:p>
            <w:pPr>
              <w:spacing w:after="0" w:line="240" w:lineRule="auto"/>
            </w:pPr>
            <w:r/>
            <w:r>
              <w:rPr>
                <w:rFonts w:ascii="Times New Roman" w:hAnsi="Times New Roman" w:eastAsia="Times New Roman"/>
                <w:b w:val="0"/>
                <w:sz w:val="16"/>
              </w:rPr>
              <w:t>Rs. 3,000</w:t>
            </w:r>
          </w:p>
        </w:tc>
      </w:tr>
      <w:tr>
        <w:tc>
          <w:tcPr>
            <w:tcW w:type="dxa" w:w="4896"/>
            <w:vAlign w:val="top"/>
          </w:tcPr>
          <w:p>
            <w:pPr>
              <w:spacing w:after="0" w:line="240" w:lineRule="auto"/>
            </w:pPr>
            <w:r/>
            <w:r>
              <w:rPr>
                <w:rFonts w:ascii="Times New Roman" w:hAnsi="Times New Roman" w:eastAsia="Times New Roman"/>
                <w:b w:val="0"/>
                <w:sz w:val="16"/>
              </w:rPr>
              <w:t>Electric vehicle above 50 kW up to 125 kW</w:t>
            </w:r>
          </w:p>
        </w:tc>
        <w:tc>
          <w:tcPr>
            <w:tcW w:type="dxa" w:w="2304"/>
            <w:vAlign w:val="top"/>
          </w:tcPr>
          <w:p>
            <w:pPr>
              <w:spacing w:after="0" w:line="240" w:lineRule="auto"/>
            </w:pPr>
            <w:r/>
            <w:r>
              <w:rPr>
                <w:rFonts w:ascii="Times New Roman" w:hAnsi="Times New Roman" w:eastAsia="Times New Roman"/>
                <w:b w:val="0"/>
                <w:sz w:val="16"/>
              </w:rPr>
              <w:t>-</w:t>
            </w:r>
          </w:p>
        </w:tc>
        <w:tc>
          <w:tcPr>
            <w:tcW w:type="dxa" w:w="2592"/>
            <w:vAlign w:val="top"/>
          </w:tcPr>
          <w:p>
            <w:pPr>
              <w:spacing w:after="0" w:line="240" w:lineRule="auto"/>
            </w:pPr>
            <w:r/>
            <w:r>
              <w:rPr>
                <w:rFonts w:ascii="Times New Roman" w:hAnsi="Times New Roman" w:eastAsia="Times New Roman"/>
                <w:b w:val="0"/>
                <w:sz w:val="16"/>
              </w:rPr>
              <w:t>Rs. 4,000</w:t>
            </w:r>
          </w:p>
        </w:tc>
      </w:tr>
      <w:tr>
        <w:tc>
          <w:tcPr>
            <w:tcW w:type="dxa" w:w="4896"/>
            <w:vAlign w:val="top"/>
          </w:tcPr>
          <w:p>
            <w:pPr>
              <w:spacing w:after="0" w:line="240" w:lineRule="auto"/>
            </w:pPr>
            <w:r/>
            <w:r>
              <w:rPr>
                <w:rFonts w:ascii="Times New Roman" w:hAnsi="Times New Roman" w:eastAsia="Times New Roman"/>
                <w:b w:val="0"/>
                <w:sz w:val="16"/>
              </w:rPr>
              <w:t>Electric vehicle above 125 kW up to 200 kW</w:t>
            </w:r>
          </w:p>
        </w:tc>
        <w:tc>
          <w:tcPr>
            <w:tcW w:type="dxa" w:w="2304"/>
            <w:vAlign w:val="top"/>
          </w:tcPr>
          <w:p>
            <w:pPr>
              <w:spacing w:after="0" w:line="240" w:lineRule="auto"/>
            </w:pPr>
            <w:r/>
            <w:r>
              <w:rPr>
                <w:rFonts w:ascii="Times New Roman" w:hAnsi="Times New Roman" w:eastAsia="Times New Roman"/>
                <w:b w:val="0"/>
                <w:sz w:val="16"/>
              </w:rPr>
              <w:t>-</w:t>
            </w:r>
          </w:p>
        </w:tc>
        <w:tc>
          <w:tcPr>
            <w:tcW w:type="dxa" w:w="2592"/>
            <w:vAlign w:val="top"/>
          </w:tcPr>
          <w:p>
            <w:pPr>
              <w:spacing w:after="0" w:line="240" w:lineRule="auto"/>
            </w:pPr>
            <w:r/>
            <w:r>
              <w:rPr>
                <w:rFonts w:ascii="Times New Roman" w:hAnsi="Times New Roman" w:eastAsia="Times New Roman"/>
                <w:b w:val="0"/>
                <w:sz w:val="16"/>
              </w:rPr>
              <w:t>Rs. 6,000</w:t>
            </w:r>
          </w:p>
        </w:tc>
      </w:tr>
      <w:tr>
        <w:tc>
          <w:tcPr>
            <w:tcW w:type="dxa" w:w="4896"/>
            <w:vAlign w:val="top"/>
          </w:tcPr>
          <w:p>
            <w:pPr>
              <w:spacing w:after="0" w:line="240" w:lineRule="auto"/>
            </w:pPr>
            <w:r/>
            <w:r>
              <w:rPr>
                <w:rFonts w:ascii="Times New Roman" w:hAnsi="Times New Roman" w:eastAsia="Times New Roman"/>
                <w:b w:val="0"/>
                <w:sz w:val="16"/>
              </w:rPr>
              <w:t>Electric vehicle above 200 kW</w:t>
            </w:r>
          </w:p>
        </w:tc>
        <w:tc>
          <w:tcPr>
            <w:tcW w:type="dxa" w:w="2304"/>
            <w:vAlign w:val="top"/>
          </w:tcPr>
          <w:p>
            <w:pPr>
              <w:spacing w:after="0" w:line="240" w:lineRule="auto"/>
            </w:pPr>
            <w:r/>
            <w:r>
              <w:rPr>
                <w:rFonts w:ascii="Times New Roman" w:hAnsi="Times New Roman" w:eastAsia="Times New Roman"/>
                <w:b w:val="0"/>
                <w:sz w:val="16"/>
              </w:rPr>
              <w:t>-</w:t>
            </w:r>
          </w:p>
        </w:tc>
        <w:tc>
          <w:tcPr>
            <w:tcW w:type="dxa" w:w="2592"/>
            <w:vAlign w:val="top"/>
          </w:tcPr>
          <w:p>
            <w:pPr>
              <w:spacing w:after="0" w:line="240" w:lineRule="auto"/>
            </w:pPr>
            <w:r/>
            <w:r>
              <w:rPr>
                <w:rFonts w:ascii="Times New Roman" w:hAnsi="Times New Roman" w:eastAsia="Times New Roman"/>
                <w:b w:val="0"/>
                <w:sz w:val="16"/>
              </w:rPr>
              <w:t>Rs. 7,500</w:t>
            </w:r>
          </w:p>
        </w:tc>
      </w:tr>
    </w:tbl>
    <w:p/>
    <w:p>
      <w:pPr>
        <w:pStyle w:val="Heading3"/>
        <w:spacing w:after="80" w:line="252" w:lineRule="auto"/>
      </w:pPr>
      <w:r>
        <w:rPr>
          <w:rFonts w:ascii="Times New Roman" w:hAnsi="Times New Roman" w:eastAsia="Times New Roman"/>
          <w:b w:val="0"/>
          <w:i w:val="0"/>
        </w:rPr>
        <w:t>23.2.6 Tax applicable to a non-resident natural person</w:t>
      </w:r>
    </w:p>
    <w:p>
      <w:pPr>
        <w:spacing w:after="80" w:line="252" w:lineRule="auto"/>
      </w:pPr>
      <w:r>
        <w:rPr>
          <w:rFonts w:ascii="Times New Roman" w:hAnsi="Times New Roman" w:eastAsia="Times New Roman"/>
          <w:b w:val="0"/>
          <w:i w:val="0"/>
          <w:sz w:val="21"/>
        </w:rPr>
        <w:t>A non-resident natural person is taxed at 25% on taxable income having source in Nepal. The person cannot deduct the amounts specifically allowed to resident natural persons in computing taxable income and cannot claim the medical-treatment tax credit. Additional tax for income above Rs. 2,000,000 or Rs. 5,000,000 does not apply to such non-resident natural person under this rule.</w:t>
      </w:r>
    </w:p>
    <w:p>
      <w:pPr>
        <w:pStyle w:val="Heading3"/>
        <w:spacing w:after="80" w:line="252" w:lineRule="auto"/>
      </w:pPr>
      <w:r>
        <w:rPr>
          <w:rFonts w:ascii="Times New Roman" w:hAnsi="Times New Roman" w:eastAsia="Times New Roman"/>
          <w:b w:val="0"/>
          <w:i w:val="0"/>
        </w:rPr>
        <w:t>23.2.7 Concession for a woman having only employment income</w:t>
      </w:r>
    </w:p>
    <w:p>
      <w:pPr>
        <w:spacing w:after="80" w:line="252" w:lineRule="auto"/>
      </w:pPr>
      <w:r>
        <w:rPr>
          <w:rFonts w:ascii="Times New Roman" w:hAnsi="Times New Roman" w:eastAsia="Times New Roman"/>
          <w:b w:val="0"/>
          <w:i w:val="0"/>
          <w:sz w:val="21"/>
        </w:rPr>
        <w:t>A resident natural person who is a woman and derives only remuneration income is allowed a 10% rebate in the tax payable. The Directive illustrates this with an employee of Nepal Bank Limited posted in Manang.</w:t>
      </w:r>
    </w:p>
    <w:tbl>
      <w:tblPr>
        <w:tblStyle w:val="TableGrid"/>
        <w:tblW w:type="auto" w:w="0"/>
        <w:jc w:val="center"/>
        <w:tblLook w:firstColumn="1" w:firstRow="1" w:lastColumn="0" w:lastRow="0" w:noHBand="0" w:noVBand="1" w:val="04A0"/>
      </w:tblPr>
      <w:tblGrid>
        <w:gridCol w:w="4946"/>
        <w:gridCol w:w="4946"/>
      </w:tblGrid>
      <w:tr>
        <w:trPr>
          <w:tblHeader w:val="true"/>
        </w:trPr>
        <w:tc>
          <w:tcPr>
            <w:tcW w:type="dxa" w:w="6912"/>
            <w:vAlign w:val="top"/>
            <w:shd w:fill="D9EAF7"/>
          </w:tcPr>
          <w:p>
            <w:pPr>
              <w:spacing w:after="0" w:line="240" w:lineRule="auto"/>
            </w:pPr>
            <w:r/>
            <w:r>
              <w:rPr>
                <w:rFonts w:ascii="Times New Roman" w:hAnsi="Times New Roman" w:eastAsia="Times New Roman"/>
                <w:b/>
                <w:sz w:val="16"/>
              </w:rPr>
              <w:t>Particulars</w:t>
            </w:r>
          </w:p>
        </w:tc>
        <w:tc>
          <w:tcPr>
            <w:tcW w:type="dxa" w:w="3168"/>
            <w:vAlign w:val="top"/>
            <w:shd w:fill="D9EAF7"/>
          </w:tcPr>
          <w:p>
            <w:pPr>
              <w:spacing w:after="0" w:line="240" w:lineRule="auto"/>
            </w:pPr>
            <w:r/>
            <w:r>
              <w:rPr>
                <w:rFonts w:ascii="Times New Roman" w:hAnsi="Times New Roman" w:eastAsia="Times New Roman"/>
                <w:b/>
                <w:sz w:val="16"/>
              </w:rPr>
              <w:t>Amount</w:t>
            </w:r>
          </w:p>
        </w:tc>
      </w:tr>
      <w:tr>
        <w:tc>
          <w:tcPr>
            <w:tcW w:type="dxa" w:w="6912"/>
            <w:vAlign w:val="top"/>
          </w:tcPr>
          <w:p>
            <w:pPr>
              <w:spacing w:after="0" w:line="240" w:lineRule="auto"/>
            </w:pPr>
            <w:r/>
            <w:r>
              <w:rPr>
                <w:rFonts w:ascii="Times New Roman" w:hAnsi="Times New Roman" w:eastAsia="Times New Roman"/>
                <w:b w:val="0"/>
                <w:sz w:val="16"/>
              </w:rPr>
              <w:t>Salary and allowance: Rs. 70,000 per month</w:t>
            </w:r>
          </w:p>
        </w:tc>
        <w:tc>
          <w:tcPr>
            <w:tcW w:type="dxa" w:w="3168"/>
            <w:vAlign w:val="top"/>
          </w:tcPr>
          <w:p>
            <w:pPr>
              <w:spacing w:after="0" w:line="240" w:lineRule="auto"/>
            </w:pPr>
            <w:r/>
            <w:r>
              <w:rPr>
                <w:rFonts w:ascii="Times New Roman" w:hAnsi="Times New Roman" w:eastAsia="Times New Roman"/>
                <w:b w:val="0"/>
                <w:sz w:val="16"/>
              </w:rPr>
              <w:t>Rs. 840,000</w:t>
            </w:r>
          </w:p>
        </w:tc>
      </w:tr>
      <w:tr>
        <w:tc>
          <w:tcPr>
            <w:tcW w:type="dxa" w:w="6912"/>
            <w:vAlign w:val="top"/>
          </w:tcPr>
          <w:p>
            <w:pPr>
              <w:spacing w:after="0" w:line="240" w:lineRule="auto"/>
            </w:pPr>
            <w:r/>
            <w:r>
              <w:rPr>
                <w:rFonts w:ascii="Times New Roman" w:hAnsi="Times New Roman" w:eastAsia="Times New Roman"/>
                <w:b w:val="0"/>
                <w:sz w:val="16"/>
              </w:rPr>
              <w:t>Dashain allowance</w:t>
            </w:r>
          </w:p>
        </w:tc>
        <w:tc>
          <w:tcPr>
            <w:tcW w:type="dxa" w:w="3168"/>
            <w:vAlign w:val="top"/>
          </w:tcPr>
          <w:p>
            <w:pPr>
              <w:spacing w:after="0" w:line="240" w:lineRule="auto"/>
            </w:pPr>
            <w:r/>
            <w:r>
              <w:rPr>
                <w:rFonts w:ascii="Times New Roman" w:hAnsi="Times New Roman" w:eastAsia="Times New Roman"/>
                <w:b w:val="0"/>
                <w:sz w:val="16"/>
              </w:rPr>
              <w:t>Rs. 60,000</w:t>
            </w:r>
          </w:p>
        </w:tc>
      </w:tr>
      <w:tr>
        <w:tc>
          <w:tcPr>
            <w:tcW w:type="dxa" w:w="6912"/>
            <w:vAlign w:val="top"/>
          </w:tcPr>
          <w:p>
            <w:pPr>
              <w:spacing w:after="0" w:line="240" w:lineRule="auto"/>
            </w:pPr>
            <w:r/>
            <w:r>
              <w:rPr>
                <w:rFonts w:ascii="Times New Roman" w:hAnsi="Times New Roman" w:eastAsia="Times New Roman"/>
                <w:b w:val="0"/>
                <w:sz w:val="16"/>
              </w:rPr>
              <w:t>Bonus</w:t>
            </w:r>
          </w:p>
        </w:tc>
        <w:tc>
          <w:tcPr>
            <w:tcW w:type="dxa" w:w="3168"/>
            <w:vAlign w:val="top"/>
          </w:tcPr>
          <w:p>
            <w:pPr>
              <w:spacing w:after="0" w:line="240" w:lineRule="auto"/>
            </w:pPr>
            <w:r/>
            <w:r>
              <w:rPr>
                <w:rFonts w:ascii="Times New Roman" w:hAnsi="Times New Roman" w:eastAsia="Times New Roman"/>
                <w:b w:val="0"/>
                <w:sz w:val="16"/>
              </w:rPr>
              <w:t>Rs. 40,000</w:t>
            </w:r>
          </w:p>
        </w:tc>
      </w:tr>
      <w:tr>
        <w:tc>
          <w:tcPr>
            <w:tcW w:type="dxa" w:w="6912"/>
            <w:vAlign w:val="top"/>
          </w:tcPr>
          <w:p>
            <w:pPr>
              <w:spacing w:after="0" w:line="240" w:lineRule="auto"/>
            </w:pPr>
            <w:r/>
            <w:r>
              <w:rPr>
                <w:rFonts w:ascii="Times New Roman" w:hAnsi="Times New Roman" w:eastAsia="Times New Roman"/>
                <w:b w:val="0"/>
                <w:sz w:val="16"/>
              </w:rPr>
              <w:t>Employer contribution to approved retirement fund</w:t>
            </w:r>
          </w:p>
        </w:tc>
        <w:tc>
          <w:tcPr>
            <w:tcW w:type="dxa" w:w="3168"/>
            <w:vAlign w:val="top"/>
          </w:tcPr>
          <w:p>
            <w:pPr>
              <w:spacing w:after="0" w:line="240" w:lineRule="auto"/>
            </w:pPr>
            <w:r/>
            <w:r>
              <w:rPr>
                <w:rFonts w:ascii="Times New Roman" w:hAnsi="Times New Roman" w:eastAsia="Times New Roman"/>
                <w:b w:val="0"/>
                <w:sz w:val="16"/>
              </w:rPr>
              <w:t>Rs. 72,000</w:t>
            </w:r>
          </w:p>
        </w:tc>
      </w:tr>
      <w:tr>
        <w:tc>
          <w:tcPr>
            <w:tcW w:type="dxa" w:w="6912"/>
            <w:vAlign w:val="top"/>
          </w:tcPr>
          <w:p>
            <w:pPr>
              <w:spacing w:after="0" w:line="240" w:lineRule="auto"/>
            </w:pPr>
            <w:r/>
            <w:r>
              <w:rPr>
                <w:rFonts w:ascii="Times New Roman" w:hAnsi="Times New Roman" w:eastAsia="Times New Roman"/>
                <w:b w:val="0"/>
                <w:sz w:val="16"/>
              </w:rPr>
              <w:t>Total assessable income</w:t>
            </w:r>
          </w:p>
        </w:tc>
        <w:tc>
          <w:tcPr>
            <w:tcW w:type="dxa" w:w="3168"/>
            <w:vAlign w:val="top"/>
          </w:tcPr>
          <w:p>
            <w:pPr>
              <w:spacing w:after="0" w:line="240" w:lineRule="auto"/>
            </w:pPr>
            <w:r/>
            <w:r>
              <w:rPr>
                <w:rFonts w:ascii="Times New Roman" w:hAnsi="Times New Roman" w:eastAsia="Times New Roman"/>
                <w:b w:val="0"/>
                <w:sz w:val="16"/>
              </w:rPr>
              <w:t>Rs. 1,012,000</w:t>
            </w:r>
          </w:p>
        </w:tc>
      </w:tr>
      <w:tr>
        <w:tc>
          <w:tcPr>
            <w:tcW w:type="dxa" w:w="6912"/>
            <w:vAlign w:val="top"/>
          </w:tcPr>
          <w:p>
            <w:pPr>
              <w:spacing w:after="0" w:line="240" w:lineRule="auto"/>
            </w:pPr>
            <w:r/>
            <w:r>
              <w:rPr>
                <w:rFonts w:ascii="Times New Roman" w:hAnsi="Times New Roman" w:eastAsia="Times New Roman"/>
                <w:b w:val="0"/>
                <w:sz w:val="16"/>
              </w:rPr>
              <w:t>Less: contribution to approved retirement fund</w:t>
            </w:r>
          </w:p>
        </w:tc>
        <w:tc>
          <w:tcPr>
            <w:tcW w:type="dxa" w:w="3168"/>
            <w:vAlign w:val="top"/>
          </w:tcPr>
          <w:p>
            <w:pPr>
              <w:spacing w:after="0" w:line="240" w:lineRule="auto"/>
            </w:pPr>
            <w:r/>
            <w:r>
              <w:rPr>
                <w:rFonts w:ascii="Times New Roman" w:hAnsi="Times New Roman" w:eastAsia="Times New Roman"/>
                <w:b w:val="0"/>
                <w:sz w:val="16"/>
              </w:rPr>
              <w:t>Rs. 144,000</w:t>
            </w:r>
          </w:p>
        </w:tc>
      </w:tr>
      <w:tr>
        <w:tc>
          <w:tcPr>
            <w:tcW w:type="dxa" w:w="6912"/>
            <w:vAlign w:val="top"/>
          </w:tcPr>
          <w:p>
            <w:pPr>
              <w:spacing w:after="0" w:line="240" w:lineRule="auto"/>
            </w:pPr>
            <w:r/>
            <w:r>
              <w:rPr>
                <w:rFonts w:ascii="Times New Roman" w:hAnsi="Times New Roman" w:eastAsia="Times New Roman"/>
                <w:b w:val="0"/>
                <w:sz w:val="16"/>
              </w:rPr>
              <w:t>Taxable income</w:t>
            </w:r>
          </w:p>
        </w:tc>
        <w:tc>
          <w:tcPr>
            <w:tcW w:type="dxa" w:w="3168"/>
            <w:vAlign w:val="top"/>
          </w:tcPr>
          <w:p>
            <w:pPr>
              <w:spacing w:after="0" w:line="240" w:lineRule="auto"/>
            </w:pPr>
            <w:r/>
            <w:r>
              <w:rPr>
                <w:rFonts w:ascii="Times New Roman" w:hAnsi="Times New Roman" w:eastAsia="Times New Roman"/>
                <w:b w:val="0"/>
                <w:sz w:val="16"/>
              </w:rPr>
              <w:t>Rs. 868,000</w:t>
            </w:r>
          </w:p>
        </w:tc>
      </w:tr>
      <w:tr>
        <w:tc>
          <w:tcPr>
            <w:tcW w:type="dxa" w:w="6912"/>
            <w:vAlign w:val="top"/>
          </w:tcPr>
          <w:p>
            <w:pPr>
              <w:spacing w:after="0" w:line="240" w:lineRule="auto"/>
            </w:pPr>
            <w:r/>
            <w:r>
              <w:rPr>
                <w:rFonts w:ascii="Times New Roman" w:hAnsi="Times New Roman" w:eastAsia="Times New Roman"/>
                <w:b w:val="0"/>
                <w:sz w:val="16"/>
              </w:rPr>
              <w:t>Less: Class A remote-area allowance</w:t>
            </w:r>
          </w:p>
        </w:tc>
        <w:tc>
          <w:tcPr>
            <w:tcW w:type="dxa" w:w="3168"/>
            <w:vAlign w:val="top"/>
          </w:tcPr>
          <w:p>
            <w:pPr>
              <w:spacing w:after="0" w:line="240" w:lineRule="auto"/>
            </w:pPr>
            <w:r/>
            <w:r>
              <w:rPr>
                <w:rFonts w:ascii="Times New Roman" w:hAnsi="Times New Roman" w:eastAsia="Times New Roman"/>
                <w:b w:val="0"/>
                <w:sz w:val="16"/>
              </w:rPr>
              <w:t>Rs. 50,000</w:t>
            </w:r>
          </w:p>
        </w:tc>
      </w:tr>
      <w:tr>
        <w:tc>
          <w:tcPr>
            <w:tcW w:type="dxa" w:w="6912"/>
            <w:vAlign w:val="top"/>
          </w:tcPr>
          <w:p>
            <w:pPr>
              <w:spacing w:after="0" w:line="240" w:lineRule="auto"/>
            </w:pPr>
            <w:r/>
            <w:r>
              <w:rPr>
                <w:rFonts w:ascii="Times New Roman" w:hAnsi="Times New Roman" w:eastAsia="Times New Roman"/>
                <w:b w:val="0"/>
                <w:sz w:val="16"/>
              </w:rPr>
              <w:t>Balance taxable income</w:t>
            </w:r>
          </w:p>
        </w:tc>
        <w:tc>
          <w:tcPr>
            <w:tcW w:type="dxa" w:w="3168"/>
            <w:vAlign w:val="top"/>
          </w:tcPr>
          <w:p>
            <w:pPr>
              <w:spacing w:after="0" w:line="240" w:lineRule="auto"/>
            </w:pPr>
            <w:r/>
            <w:r>
              <w:rPr>
                <w:rFonts w:ascii="Times New Roman" w:hAnsi="Times New Roman" w:eastAsia="Times New Roman"/>
                <w:b w:val="0"/>
                <w:sz w:val="16"/>
              </w:rPr>
              <w:t>Rs. 818,000</w:t>
            </w:r>
          </w:p>
        </w:tc>
      </w:tr>
      <w:tr>
        <w:tc>
          <w:tcPr>
            <w:tcW w:type="dxa" w:w="6912"/>
            <w:vAlign w:val="top"/>
          </w:tcPr>
          <w:p>
            <w:pPr>
              <w:spacing w:after="0" w:line="240" w:lineRule="auto"/>
            </w:pPr>
            <w:r/>
            <w:r>
              <w:rPr>
                <w:rFonts w:ascii="Times New Roman" w:hAnsi="Times New Roman" w:eastAsia="Times New Roman"/>
                <w:b w:val="0"/>
                <w:sz w:val="16"/>
              </w:rPr>
              <w:t>Tax: 1% on first Rs. 500,000</w:t>
            </w:r>
          </w:p>
        </w:tc>
        <w:tc>
          <w:tcPr>
            <w:tcW w:type="dxa" w:w="3168"/>
            <w:vAlign w:val="top"/>
          </w:tcPr>
          <w:p>
            <w:pPr>
              <w:spacing w:after="0" w:line="240" w:lineRule="auto"/>
            </w:pPr>
            <w:r/>
            <w:r>
              <w:rPr>
                <w:rFonts w:ascii="Times New Roman" w:hAnsi="Times New Roman" w:eastAsia="Times New Roman"/>
                <w:b w:val="0"/>
                <w:sz w:val="16"/>
              </w:rPr>
              <w:t>Rs. 5,000</w:t>
            </w:r>
          </w:p>
        </w:tc>
      </w:tr>
      <w:tr>
        <w:tc>
          <w:tcPr>
            <w:tcW w:type="dxa" w:w="6912"/>
            <w:vAlign w:val="top"/>
          </w:tcPr>
          <w:p>
            <w:pPr>
              <w:spacing w:after="0" w:line="240" w:lineRule="auto"/>
            </w:pPr>
            <w:r/>
            <w:r>
              <w:rPr>
                <w:rFonts w:ascii="Times New Roman" w:hAnsi="Times New Roman" w:eastAsia="Times New Roman"/>
                <w:b w:val="0"/>
                <w:sz w:val="16"/>
              </w:rPr>
              <w:t>Tax: 10% on next Rs. 200,000</w:t>
            </w:r>
          </w:p>
        </w:tc>
        <w:tc>
          <w:tcPr>
            <w:tcW w:type="dxa" w:w="3168"/>
            <w:vAlign w:val="top"/>
          </w:tcPr>
          <w:p>
            <w:pPr>
              <w:spacing w:after="0" w:line="240" w:lineRule="auto"/>
            </w:pPr>
            <w:r/>
            <w:r>
              <w:rPr>
                <w:rFonts w:ascii="Times New Roman" w:hAnsi="Times New Roman" w:eastAsia="Times New Roman"/>
                <w:b w:val="0"/>
                <w:sz w:val="16"/>
              </w:rPr>
              <w:t>Rs. 20,000</w:t>
            </w:r>
          </w:p>
        </w:tc>
      </w:tr>
      <w:tr>
        <w:tc>
          <w:tcPr>
            <w:tcW w:type="dxa" w:w="6912"/>
            <w:vAlign w:val="top"/>
          </w:tcPr>
          <w:p>
            <w:pPr>
              <w:spacing w:after="0" w:line="240" w:lineRule="auto"/>
            </w:pPr>
            <w:r/>
            <w:r>
              <w:rPr>
                <w:rFonts w:ascii="Times New Roman" w:hAnsi="Times New Roman" w:eastAsia="Times New Roman"/>
                <w:b w:val="0"/>
                <w:sz w:val="16"/>
              </w:rPr>
              <w:t>Tax: 20% on balance Rs. 118,000</w:t>
            </w:r>
          </w:p>
        </w:tc>
        <w:tc>
          <w:tcPr>
            <w:tcW w:type="dxa" w:w="3168"/>
            <w:vAlign w:val="top"/>
          </w:tcPr>
          <w:p>
            <w:pPr>
              <w:spacing w:after="0" w:line="240" w:lineRule="auto"/>
            </w:pPr>
            <w:r/>
            <w:r>
              <w:rPr>
                <w:rFonts w:ascii="Times New Roman" w:hAnsi="Times New Roman" w:eastAsia="Times New Roman"/>
                <w:b w:val="0"/>
                <w:sz w:val="16"/>
              </w:rPr>
              <w:t>Rs. 23,600</w:t>
            </w:r>
          </w:p>
        </w:tc>
      </w:tr>
      <w:tr>
        <w:tc>
          <w:tcPr>
            <w:tcW w:type="dxa" w:w="6912"/>
            <w:vAlign w:val="top"/>
          </w:tcPr>
          <w:p>
            <w:pPr>
              <w:spacing w:after="0" w:line="240" w:lineRule="auto"/>
            </w:pPr>
            <w:r/>
            <w:r>
              <w:rPr>
                <w:rFonts w:ascii="Times New Roman" w:hAnsi="Times New Roman" w:eastAsia="Times New Roman"/>
                <w:b w:val="0"/>
                <w:sz w:val="16"/>
              </w:rPr>
              <w:t>Total before rebate</w:t>
            </w:r>
          </w:p>
        </w:tc>
        <w:tc>
          <w:tcPr>
            <w:tcW w:type="dxa" w:w="3168"/>
            <w:vAlign w:val="top"/>
          </w:tcPr>
          <w:p>
            <w:pPr>
              <w:spacing w:after="0" w:line="240" w:lineRule="auto"/>
            </w:pPr>
            <w:r/>
            <w:r>
              <w:rPr>
                <w:rFonts w:ascii="Times New Roman" w:hAnsi="Times New Roman" w:eastAsia="Times New Roman"/>
                <w:b w:val="0"/>
                <w:sz w:val="16"/>
              </w:rPr>
              <w:t>Rs. 48,600</w:t>
            </w:r>
          </w:p>
        </w:tc>
      </w:tr>
      <w:tr>
        <w:tc>
          <w:tcPr>
            <w:tcW w:type="dxa" w:w="6912"/>
            <w:vAlign w:val="top"/>
          </w:tcPr>
          <w:p>
            <w:pPr>
              <w:spacing w:after="0" w:line="240" w:lineRule="auto"/>
            </w:pPr>
            <w:r/>
            <w:r>
              <w:rPr>
                <w:rFonts w:ascii="Times New Roman" w:hAnsi="Times New Roman" w:eastAsia="Times New Roman"/>
                <w:b w:val="0"/>
                <w:sz w:val="16"/>
              </w:rPr>
              <w:t>Less: 10% rebate for woman with employment income only</w:t>
            </w:r>
          </w:p>
        </w:tc>
        <w:tc>
          <w:tcPr>
            <w:tcW w:type="dxa" w:w="3168"/>
            <w:vAlign w:val="top"/>
          </w:tcPr>
          <w:p>
            <w:pPr>
              <w:spacing w:after="0" w:line="240" w:lineRule="auto"/>
            </w:pPr>
            <w:r/>
            <w:r>
              <w:rPr>
                <w:rFonts w:ascii="Times New Roman" w:hAnsi="Times New Roman" w:eastAsia="Times New Roman"/>
                <w:b w:val="0"/>
                <w:sz w:val="16"/>
              </w:rPr>
              <w:t>Rs. 4,860</w:t>
            </w:r>
          </w:p>
        </w:tc>
      </w:tr>
      <w:tr>
        <w:tc>
          <w:tcPr>
            <w:tcW w:type="dxa" w:w="6912"/>
            <w:vAlign w:val="top"/>
          </w:tcPr>
          <w:p>
            <w:pPr>
              <w:spacing w:after="0" w:line="240" w:lineRule="auto"/>
            </w:pPr>
            <w:r/>
            <w:r>
              <w:rPr>
                <w:rFonts w:ascii="Times New Roman" w:hAnsi="Times New Roman" w:eastAsia="Times New Roman"/>
                <w:b w:val="0"/>
                <w:sz w:val="16"/>
              </w:rPr>
              <w:t>Annual tax payable</w:t>
            </w:r>
          </w:p>
        </w:tc>
        <w:tc>
          <w:tcPr>
            <w:tcW w:type="dxa" w:w="3168"/>
            <w:vAlign w:val="top"/>
          </w:tcPr>
          <w:p>
            <w:pPr>
              <w:spacing w:after="0" w:line="240" w:lineRule="auto"/>
            </w:pPr>
            <w:r/>
            <w:r>
              <w:rPr>
                <w:rFonts w:ascii="Times New Roman" w:hAnsi="Times New Roman" w:eastAsia="Times New Roman"/>
                <w:b w:val="0"/>
                <w:sz w:val="16"/>
              </w:rPr>
              <w:t>Rs. 43,740</w:t>
            </w:r>
          </w:p>
        </w:tc>
      </w:tr>
    </w:tbl>
    <w:p/>
    <w:p>
      <w:pPr>
        <w:pStyle w:val="Heading3"/>
        <w:spacing w:after="80" w:line="252" w:lineRule="auto"/>
      </w:pPr>
      <w:r>
        <w:rPr>
          <w:rFonts w:ascii="Times New Roman" w:hAnsi="Times New Roman" w:eastAsia="Times New Roman"/>
          <w:b w:val="0"/>
          <w:i w:val="0"/>
        </w:rPr>
        <w:t>23.2.8 Tax payable by a person having only employment income</w:t>
      </w:r>
    </w:p>
    <w:p>
      <w:pPr>
        <w:spacing w:after="80" w:line="252" w:lineRule="auto"/>
      </w:pPr>
      <w:r>
        <w:rPr>
          <w:rFonts w:ascii="Times New Roman" w:hAnsi="Times New Roman" w:eastAsia="Times New Roman"/>
          <w:b w:val="0"/>
          <w:i w:val="0"/>
          <w:sz w:val="21"/>
        </w:rPr>
        <w:t>A resident natural person whose income for the year consists only of Nepal-source employment income may have a final tax liability equal to the total tax withheld by the employer under section 87, provided all employers are resident persons, there is only one employer at a time, and the person claims only the employer-paid medical-treatment tax credit and the retirement contribution paid by the employer. The person must not claim donation deduction under section 12. Where an employee changes employment during the year, the employee must submit the certificate of payment and tax withheld by the first employer to the next employer so that the later employer can compute withholding after adjusting the earlier payment and withholding.</w:t>
      </w:r>
    </w:p>
    <w:p>
      <w:pPr>
        <w:pStyle w:val="Heading3"/>
        <w:spacing w:after="80" w:line="252" w:lineRule="auto"/>
      </w:pPr>
      <w:r>
        <w:rPr>
          <w:rFonts w:ascii="Times New Roman" w:hAnsi="Times New Roman" w:eastAsia="Times New Roman"/>
          <w:b w:val="0"/>
          <w:i w:val="0"/>
        </w:rPr>
        <w:t>23.2.9 Tax concession for income from special industry</w:t>
      </w:r>
    </w:p>
    <w:p>
      <w:pPr>
        <w:spacing w:after="80" w:line="252" w:lineRule="auto"/>
      </w:pPr>
      <w:r>
        <w:rPr>
          <w:rFonts w:ascii="Times New Roman" w:hAnsi="Times New Roman" w:eastAsia="Times New Roman"/>
          <w:b w:val="0"/>
          <w:i w:val="0"/>
          <w:sz w:val="21"/>
        </w:rPr>
        <w:t>Section 11(2b) grants tax concession on income from a special industry operated fully throughout the year. If a resident natural person is taxed at 30% on such income, one-third of the tax is exempt, resulting in an effective 20% tax on the relevant income. For an entity, a 20% concession on the tax payable is available on income from such special industry, subject to the conditions of the Act.</w:t>
      </w:r>
    </w:p>
    <w:p>
      <w:pPr>
        <w:pStyle w:val="Heading3"/>
        <w:spacing w:after="80" w:line="252" w:lineRule="auto"/>
      </w:pPr>
      <w:r>
        <w:rPr>
          <w:rFonts w:ascii="Times New Roman" w:hAnsi="Times New Roman" w:eastAsia="Times New Roman"/>
          <w:b w:val="0"/>
          <w:i w:val="0"/>
        </w:rPr>
        <w:t>23.2.10 Tax concession on export income</w:t>
      </w:r>
    </w:p>
    <w:p>
      <w:pPr>
        <w:spacing w:after="80" w:line="252" w:lineRule="auto"/>
      </w:pPr>
      <w:r>
        <w:rPr>
          <w:rFonts w:ascii="Times New Roman" w:hAnsi="Times New Roman" w:eastAsia="Times New Roman"/>
          <w:b w:val="0"/>
          <w:i w:val="0"/>
          <w:sz w:val="21"/>
        </w:rPr>
        <w:t>For income derived from export from a Nepal source, section 11(3ङ) grants a concession depending on the taxpayer and income. If a resident natural person is taxed at 20%, 25% of such tax is exempt. If such person is taxed at 30%, 50% of such tax is exempt. In the case of an entity, 20% of the tax is exempt. For export of information-technology-based services such as business process outsourcing, software programming and cloud computing, where foreign currency is earned, 50% of the tax on the income received in foreign currency is exempt up to income year 2084/85. Additional 35% concession is available after the above export concession where goods produced by a manufacturing industry are exported, as specified in the Act.</w:t>
      </w:r>
    </w:p>
    <w:p>
      <w:pPr>
        <w:pStyle w:val="Heading2"/>
        <w:spacing w:after="80" w:line="252" w:lineRule="auto"/>
      </w:pPr>
      <w:r>
        <w:rPr>
          <w:rFonts w:ascii="Times New Roman" w:hAnsi="Times New Roman" w:eastAsia="Times New Roman"/>
          <w:b w:val="0"/>
          <w:i w:val="0"/>
        </w:rPr>
        <w:t>23.3 Entity</w:t>
      </w:r>
    </w:p>
    <w:p>
      <w:pPr>
        <w:spacing w:after="80" w:line="252" w:lineRule="auto"/>
      </w:pPr>
      <w:r>
        <w:rPr>
          <w:rFonts w:ascii="Times New Roman" w:hAnsi="Times New Roman" w:eastAsia="Times New Roman"/>
          <w:b w:val="0"/>
          <w:i w:val="0"/>
          <w:sz w:val="21"/>
        </w:rPr>
        <w:t>An entity is taxed separately from a natural person. The rates applicable to entities depend on whether the entity carries on ordinary business, banking or financial business, insurance, telecommunications, tobacco or alcohol business, petroleum operations, cooperative activities, education under a public trust, or other specified activities. Certain non-resident entities are taxed on repatriated income or on Nepal-source transport and telecommunication income under separate provisions.</w:t>
      </w:r>
    </w:p>
    <w:p>
      <w:pPr>
        <w:pStyle w:val="Heading2"/>
        <w:spacing w:after="80" w:line="252" w:lineRule="auto"/>
      </w:pPr>
      <w:r>
        <w:rPr>
          <w:rFonts w:ascii="Times New Roman" w:hAnsi="Times New Roman" w:eastAsia="Times New Roman"/>
          <w:b w:val="0"/>
          <w:i w:val="0"/>
        </w:rPr>
        <w:t>23.4 Tax rate applicable to entities</w:t>
      </w:r>
    </w:p>
    <w:p>
      <w:pPr>
        <w:pStyle w:val="Heading3"/>
        <w:spacing w:after="80" w:line="252" w:lineRule="auto"/>
      </w:pPr>
      <w:r>
        <w:rPr>
          <w:rFonts w:ascii="Times New Roman" w:hAnsi="Times New Roman" w:eastAsia="Times New Roman"/>
          <w:b w:val="0"/>
          <w:i w:val="0"/>
        </w:rPr>
        <w:t>23.4.1 Normal rate for entities</w:t>
      </w:r>
    </w:p>
    <w:p>
      <w:pPr>
        <w:spacing w:after="80" w:line="252" w:lineRule="auto"/>
      </w:pPr>
      <w:r>
        <w:rPr>
          <w:rFonts w:ascii="Times New Roman" w:hAnsi="Times New Roman" w:eastAsia="Times New Roman"/>
          <w:b w:val="0"/>
          <w:i w:val="0"/>
          <w:sz w:val="21"/>
        </w:rPr>
        <w:t>In the normal case, the taxable income of an entity is taxed at 25%.</w:t>
      </w:r>
    </w:p>
    <w:p>
      <w:pPr>
        <w:pStyle w:val="Heading3"/>
        <w:spacing w:after="80" w:line="252" w:lineRule="auto"/>
      </w:pPr>
      <w:r>
        <w:rPr>
          <w:rFonts w:ascii="Times New Roman" w:hAnsi="Times New Roman" w:eastAsia="Times New Roman"/>
          <w:b w:val="0"/>
          <w:i w:val="0"/>
        </w:rPr>
        <w:t>23.4.2 Higher rate for specified entities and businesses</w:t>
      </w:r>
    </w:p>
    <w:p>
      <w:pPr>
        <w:spacing w:after="80" w:line="252" w:lineRule="auto"/>
      </w:pPr>
      <w:r>
        <w:rPr>
          <w:rFonts w:ascii="Times New Roman" w:hAnsi="Times New Roman" w:eastAsia="Times New Roman"/>
          <w:b w:val="0"/>
          <w:i w:val="0"/>
          <w:sz w:val="21"/>
        </w:rPr>
        <w:t>A 30% rate applies to banks, financial institutions, general insurance businesses, entities carrying on financial transactions, telecommunications and internet services, money transfer, capital market business, securities business, merchant banking, commodity futures market, securities and commodity brokerage, cigarette, bidi, cigar, tobacco, khaini, gutkha, pan masala, liquor and beer businesses, and petroleum operations under the Nepal Petroleum Act, 2040.</w:t>
      </w:r>
    </w:p>
    <w:p>
      <w:pPr>
        <w:pStyle w:val="Heading3"/>
        <w:spacing w:after="80" w:line="252" w:lineRule="auto"/>
      </w:pPr>
      <w:r>
        <w:rPr>
          <w:rFonts w:ascii="Times New Roman" w:hAnsi="Times New Roman" w:eastAsia="Times New Roman"/>
          <w:b w:val="0"/>
          <w:i w:val="0"/>
        </w:rPr>
        <w:t>23.4.3 Tax on cooperative income</w:t>
      </w:r>
    </w:p>
    <w:tbl>
      <w:tblPr>
        <w:tblStyle w:val="TableGrid"/>
        <w:tblW w:type="auto" w:w="0"/>
        <w:jc w:val="center"/>
        <w:tblLook w:firstColumn="1" w:firstRow="1" w:lastColumn="0" w:lastRow="0" w:noHBand="0" w:noVBand="1" w:val="04A0"/>
      </w:tblPr>
      <w:tblGrid>
        <w:gridCol w:w="4946"/>
        <w:gridCol w:w="4946"/>
      </w:tblGrid>
      <w:tr>
        <w:trPr>
          <w:tblHeader w:val="true"/>
        </w:trPr>
        <w:tc>
          <w:tcPr>
            <w:tcW w:type="dxa" w:w="7488"/>
            <w:vAlign w:val="top"/>
            <w:shd w:fill="D9EAF7"/>
          </w:tcPr>
          <w:p>
            <w:pPr>
              <w:spacing w:after="0" w:line="240" w:lineRule="auto"/>
            </w:pPr>
            <w:r/>
            <w:r>
              <w:rPr>
                <w:rFonts w:ascii="Times New Roman" w:hAnsi="Times New Roman" w:eastAsia="Times New Roman"/>
                <w:b/>
                <w:sz w:val="16"/>
              </w:rPr>
              <w:t>Cooperative / place of operation</w:t>
            </w:r>
          </w:p>
        </w:tc>
        <w:tc>
          <w:tcPr>
            <w:tcW w:type="dxa" w:w="2160"/>
            <w:vAlign w:val="top"/>
            <w:shd w:fill="D9EAF7"/>
          </w:tcPr>
          <w:p>
            <w:pPr>
              <w:spacing w:after="0" w:line="240" w:lineRule="auto"/>
            </w:pPr>
            <w:r/>
            <w:r>
              <w:rPr>
                <w:rFonts w:ascii="Times New Roman" w:hAnsi="Times New Roman" w:eastAsia="Times New Roman"/>
                <w:b/>
                <w:sz w:val="16"/>
              </w:rPr>
              <w:t>Tax rate</w:t>
            </w:r>
          </w:p>
        </w:tc>
      </w:tr>
      <w:tr>
        <w:tc>
          <w:tcPr>
            <w:tcW w:type="dxa" w:w="7488"/>
            <w:vAlign w:val="top"/>
          </w:tcPr>
          <w:p>
            <w:pPr>
              <w:spacing w:after="0" w:line="240" w:lineRule="auto"/>
            </w:pPr>
            <w:r/>
            <w:r>
              <w:rPr>
                <w:rFonts w:ascii="Times New Roman" w:hAnsi="Times New Roman" w:eastAsia="Times New Roman"/>
                <w:b w:val="0"/>
                <w:sz w:val="16"/>
              </w:rPr>
              <w:t>Cooperative registered under the Cooperatives Act, 2074 carrying on non-exempt transactions - municipality area</w:t>
            </w:r>
          </w:p>
        </w:tc>
        <w:tc>
          <w:tcPr>
            <w:tcW w:type="dxa" w:w="2160"/>
            <w:vAlign w:val="top"/>
          </w:tcPr>
          <w:p>
            <w:pPr>
              <w:spacing w:after="0" w:line="240" w:lineRule="auto"/>
            </w:pPr>
            <w:r/>
            <w:r>
              <w:rPr>
                <w:rFonts w:ascii="Times New Roman" w:hAnsi="Times New Roman" w:eastAsia="Times New Roman"/>
                <w:b w:val="0"/>
                <w:sz w:val="16"/>
              </w:rPr>
              <w:t>5%</w:t>
            </w:r>
          </w:p>
        </w:tc>
      </w:tr>
      <w:tr>
        <w:tc>
          <w:tcPr>
            <w:tcW w:type="dxa" w:w="7488"/>
            <w:vAlign w:val="top"/>
          </w:tcPr>
          <w:p>
            <w:pPr>
              <w:spacing w:after="0" w:line="240" w:lineRule="auto"/>
            </w:pPr>
            <w:r/>
            <w:r>
              <w:rPr>
                <w:rFonts w:ascii="Times New Roman" w:hAnsi="Times New Roman" w:eastAsia="Times New Roman"/>
                <w:b w:val="0"/>
                <w:sz w:val="16"/>
              </w:rPr>
              <w:t>Cooperative registered under the Cooperatives Act, 2074 carrying on non-exempt transactions - sub-metropolitan city area</w:t>
            </w:r>
          </w:p>
        </w:tc>
        <w:tc>
          <w:tcPr>
            <w:tcW w:type="dxa" w:w="2160"/>
            <w:vAlign w:val="top"/>
          </w:tcPr>
          <w:p>
            <w:pPr>
              <w:spacing w:after="0" w:line="240" w:lineRule="auto"/>
            </w:pPr>
            <w:r/>
            <w:r>
              <w:rPr>
                <w:rFonts w:ascii="Times New Roman" w:hAnsi="Times New Roman" w:eastAsia="Times New Roman"/>
                <w:b w:val="0"/>
                <w:sz w:val="16"/>
              </w:rPr>
              <w:t>7%</w:t>
            </w:r>
          </w:p>
        </w:tc>
      </w:tr>
      <w:tr>
        <w:tc>
          <w:tcPr>
            <w:tcW w:type="dxa" w:w="7488"/>
            <w:vAlign w:val="top"/>
          </w:tcPr>
          <w:p>
            <w:pPr>
              <w:spacing w:after="0" w:line="240" w:lineRule="auto"/>
            </w:pPr>
            <w:r/>
            <w:r>
              <w:rPr>
                <w:rFonts w:ascii="Times New Roman" w:hAnsi="Times New Roman" w:eastAsia="Times New Roman"/>
                <w:b w:val="0"/>
                <w:sz w:val="16"/>
              </w:rPr>
              <w:t>Cooperative registered under the Cooperatives Act, 2074 carrying on non-exempt transactions - metropolitan city area</w:t>
            </w:r>
          </w:p>
        </w:tc>
        <w:tc>
          <w:tcPr>
            <w:tcW w:type="dxa" w:w="2160"/>
            <w:vAlign w:val="top"/>
          </w:tcPr>
          <w:p>
            <w:pPr>
              <w:spacing w:after="0" w:line="240" w:lineRule="auto"/>
            </w:pPr>
            <w:r/>
            <w:r>
              <w:rPr>
                <w:rFonts w:ascii="Times New Roman" w:hAnsi="Times New Roman" w:eastAsia="Times New Roman"/>
                <w:b w:val="0"/>
                <w:sz w:val="16"/>
              </w:rPr>
              <w:t>10%</w:t>
            </w:r>
          </w:p>
        </w:tc>
      </w:tr>
      <w:tr>
        <w:tc>
          <w:tcPr>
            <w:tcW w:type="dxa" w:w="7488"/>
            <w:vAlign w:val="top"/>
          </w:tcPr>
          <w:p>
            <w:pPr>
              <w:spacing w:after="0" w:line="240" w:lineRule="auto"/>
            </w:pPr>
            <w:r/>
            <w:r>
              <w:rPr>
                <w:rFonts w:ascii="Times New Roman" w:hAnsi="Times New Roman" w:eastAsia="Times New Roman"/>
                <w:b w:val="0"/>
                <w:sz w:val="16"/>
              </w:rPr>
              <w:t>Savings and credit cooperative - municipality area</w:t>
            </w:r>
          </w:p>
        </w:tc>
        <w:tc>
          <w:tcPr>
            <w:tcW w:type="dxa" w:w="2160"/>
            <w:vAlign w:val="top"/>
          </w:tcPr>
          <w:p>
            <w:pPr>
              <w:spacing w:after="0" w:line="240" w:lineRule="auto"/>
            </w:pPr>
            <w:r/>
            <w:r>
              <w:rPr>
                <w:rFonts w:ascii="Times New Roman" w:hAnsi="Times New Roman" w:eastAsia="Times New Roman"/>
                <w:b w:val="0"/>
                <w:sz w:val="16"/>
              </w:rPr>
              <w:t>10%</w:t>
            </w:r>
          </w:p>
        </w:tc>
      </w:tr>
      <w:tr>
        <w:tc>
          <w:tcPr>
            <w:tcW w:type="dxa" w:w="7488"/>
            <w:vAlign w:val="top"/>
          </w:tcPr>
          <w:p>
            <w:pPr>
              <w:spacing w:after="0" w:line="240" w:lineRule="auto"/>
            </w:pPr>
            <w:r/>
            <w:r>
              <w:rPr>
                <w:rFonts w:ascii="Times New Roman" w:hAnsi="Times New Roman" w:eastAsia="Times New Roman"/>
                <w:b w:val="0"/>
                <w:sz w:val="16"/>
              </w:rPr>
              <w:t>Savings and credit cooperative - sub-metropolitan city area</w:t>
            </w:r>
          </w:p>
        </w:tc>
        <w:tc>
          <w:tcPr>
            <w:tcW w:type="dxa" w:w="2160"/>
            <w:vAlign w:val="top"/>
          </w:tcPr>
          <w:p>
            <w:pPr>
              <w:spacing w:after="0" w:line="240" w:lineRule="auto"/>
            </w:pPr>
            <w:r/>
            <w:r>
              <w:rPr>
                <w:rFonts w:ascii="Times New Roman" w:hAnsi="Times New Roman" w:eastAsia="Times New Roman"/>
                <w:b w:val="0"/>
                <w:sz w:val="16"/>
              </w:rPr>
              <w:t>15%</w:t>
            </w:r>
          </w:p>
        </w:tc>
      </w:tr>
      <w:tr>
        <w:tc>
          <w:tcPr>
            <w:tcW w:type="dxa" w:w="7488"/>
            <w:vAlign w:val="top"/>
          </w:tcPr>
          <w:p>
            <w:pPr>
              <w:spacing w:after="0" w:line="240" w:lineRule="auto"/>
            </w:pPr>
            <w:r/>
            <w:r>
              <w:rPr>
                <w:rFonts w:ascii="Times New Roman" w:hAnsi="Times New Roman" w:eastAsia="Times New Roman"/>
                <w:b w:val="0"/>
                <w:sz w:val="16"/>
              </w:rPr>
              <w:t>Savings and credit cooperative - metropolitan city area</w:t>
            </w:r>
          </w:p>
        </w:tc>
        <w:tc>
          <w:tcPr>
            <w:tcW w:type="dxa" w:w="2160"/>
            <w:vAlign w:val="top"/>
          </w:tcPr>
          <w:p>
            <w:pPr>
              <w:spacing w:after="0" w:line="240" w:lineRule="auto"/>
            </w:pPr>
            <w:r/>
            <w:r>
              <w:rPr>
                <w:rFonts w:ascii="Times New Roman" w:hAnsi="Times New Roman" w:eastAsia="Times New Roman"/>
                <w:b w:val="0"/>
                <w:sz w:val="16"/>
              </w:rPr>
              <w:t>20%</w:t>
            </w:r>
          </w:p>
        </w:tc>
      </w:tr>
    </w:tbl>
    <w:p/>
    <w:p>
      <w:pPr>
        <w:pStyle w:val="Heading3"/>
        <w:spacing w:after="80" w:line="252" w:lineRule="auto"/>
      </w:pPr>
      <w:r>
        <w:rPr>
          <w:rFonts w:ascii="Times New Roman" w:hAnsi="Times New Roman" w:eastAsia="Times New Roman"/>
          <w:b w:val="0"/>
          <w:i w:val="0"/>
        </w:rPr>
        <w:t>23.4.4 Export income of an entity</w:t>
      </w:r>
    </w:p>
    <w:p>
      <w:pPr>
        <w:spacing w:after="80" w:line="252" w:lineRule="auto"/>
      </w:pPr>
      <w:r>
        <w:rPr>
          <w:rFonts w:ascii="Times New Roman" w:hAnsi="Times New Roman" w:eastAsia="Times New Roman"/>
          <w:b w:val="0"/>
          <w:i w:val="0"/>
          <w:sz w:val="21"/>
        </w:rPr>
        <w:t>A 20% concession is available in the tax on entity income derived from export from Nepal. IT-based service export with foreign-currency earnings receives the 50% concession up to income year 2084/85 to the extent of income received in foreign currency, as mentioned above.</w:t>
      </w:r>
    </w:p>
    <w:p>
      <w:pPr>
        <w:pStyle w:val="Heading3"/>
        <w:spacing w:after="80" w:line="252" w:lineRule="auto"/>
      </w:pPr>
      <w:r>
        <w:rPr>
          <w:rFonts w:ascii="Times New Roman" w:hAnsi="Times New Roman" w:eastAsia="Times New Roman"/>
          <w:b w:val="0"/>
          <w:i w:val="0"/>
        </w:rPr>
        <w:t>23.4.5 Trust holding property of deceased or incapacitated resident natural person</w:t>
      </w:r>
    </w:p>
    <w:p>
      <w:pPr>
        <w:spacing w:after="80" w:line="252" w:lineRule="auto"/>
      </w:pPr>
      <w:r>
        <w:rPr>
          <w:rFonts w:ascii="Times New Roman" w:hAnsi="Times New Roman" w:eastAsia="Times New Roman"/>
          <w:b w:val="0"/>
          <w:i w:val="0"/>
          <w:sz w:val="21"/>
        </w:rPr>
        <w:t>A trust that receives or manages the property of a deceased resident person, or a trust of an incapacitated resident natural person, is treated like a resident natural person for Schedule 1, section 1(1) and section 1(4). Although a trust is an entity, this rule applies because the purpose of such trust is to manage the property of a natural person.</w:t>
      </w:r>
    </w:p>
    <w:p>
      <w:pPr>
        <w:pStyle w:val="Heading3"/>
        <w:spacing w:after="80" w:line="252" w:lineRule="auto"/>
      </w:pPr>
      <w:r>
        <w:rPr>
          <w:rFonts w:ascii="Times New Roman" w:hAnsi="Times New Roman" w:eastAsia="Times New Roman"/>
          <w:b w:val="0"/>
          <w:i w:val="0"/>
        </w:rPr>
        <w:t>23.4.6 Tax on income repatriated by a foreign permanent establishment</w:t>
      </w:r>
    </w:p>
    <w:p>
      <w:pPr>
        <w:spacing w:after="80" w:line="252" w:lineRule="auto"/>
      </w:pPr>
      <w:r>
        <w:rPr>
          <w:rFonts w:ascii="Times New Roman" w:hAnsi="Times New Roman" w:eastAsia="Times New Roman"/>
          <w:b w:val="0"/>
          <w:i w:val="0"/>
          <w:sz w:val="21"/>
        </w:rPr>
        <w:t>Where a foreign permanent establishment of a non-resident person situated in Nepal repatriates income, tax is imposed at 5% on the repatriated income.</w:t>
      </w:r>
    </w:p>
    <w:p>
      <w:pPr>
        <w:pStyle w:val="Heading3"/>
        <w:spacing w:after="80" w:line="252" w:lineRule="auto"/>
      </w:pPr>
      <w:r>
        <w:rPr>
          <w:rFonts w:ascii="Times New Roman" w:hAnsi="Times New Roman" w:eastAsia="Times New Roman"/>
          <w:b w:val="0"/>
          <w:i w:val="0"/>
        </w:rPr>
        <w:t>23.4.7 Non-resident person providing water transport, air transport or telecommunication service</w:t>
      </w:r>
    </w:p>
    <w:p>
      <w:pPr>
        <w:spacing w:after="80" w:line="252" w:lineRule="auto"/>
      </w:pPr>
      <w:r>
        <w:rPr>
          <w:rFonts w:ascii="Times New Roman" w:hAnsi="Times New Roman" w:eastAsia="Times New Roman"/>
          <w:b w:val="0"/>
          <w:i w:val="0"/>
          <w:sz w:val="21"/>
        </w:rPr>
        <w:t>A non-resident person earning income mentioned in section 70 is taxed at 5%. However, where the service of water transport, air transport or telecommunication does not depart from Nepal to another foreign country, the rate is 2%. Under section 70, the relevant taxable income includes amounts from carriage of passengers departing from Nepal and carriage of mail, livestock or goods shipped from Nepal, and amounts from transmission of messages or information through a system established in Nepal. No credit is allowed against the tax payable on such amounts.</w:t>
      </w:r>
    </w:p>
    <w:p>
      <w:pPr>
        <w:pStyle w:val="Heading3"/>
        <w:spacing w:after="80" w:line="252" w:lineRule="auto"/>
      </w:pPr>
      <w:r>
        <w:rPr>
          <w:rFonts w:ascii="Times New Roman" w:hAnsi="Times New Roman" w:eastAsia="Times New Roman"/>
          <w:b w:val="0"/>
          <w:i w:val="0"/>
        </w:rPr>
        <w:t>Example 23.4.2</w:t>
      </w:r>
    </w:p>
    <w:p>
      <w:pPr>
        <w:spacing w:after="80" w:line="252" w:lineRule="auto"/>
      </w:pPr>
      <w:r>
        <w:rPr>
          <w:rFonts w:ascii="Times New Roman" w:hAnsi="Times New Roman" w:eastAsia="Times New Roman"/>
          <w:b w:val="0"/>
          <w:i w:val="0"/>
          <w:sz w:val="21"/>
        </w:rPr>
        <w:t>A foreign airline registered in Denmark operates air service in Nepal through a contact office. It sells tickets worth Rs. 500 million for passengers departing from Nepal and Rs. 100 million for tickets sold in Nepal for travel departing from another country. The airline is treated as a non-resident for this provision. Income from passengers departing from Nepal is taxed at 5%, while the income from tickets sold in Nepal for travel not departing from Nepal is taxed at 2%. Related expenditure is not deducted in computing other taxable income.</w:t>
      </w:r>
    </w:p>
    <w:p>
      <w:pPr>
        <w:pStyle w:val="Heading3"/>
        <w:spacing w:after="80" w:line="252" w:lineRule="auto"/>
      </w:pPr>
      <w:r>
        <w:rPr>
          <w:rFonts w:ascii="Times New Roman" w:hAnsi="Times New Roman" w:eastAsia="Times New Roman"/>
          <w:b w:val="0"/>
          <w:i w:val="0"/>
        </w:rPr>
        <w:t>Example 23.4.3</w:t>
      </w:r>
    </w:p>
    <w:p>
      <w:pPr>
        <w:spacing w:after="80" w:line="252" w:lineRule="auto"/>
      </w:pPr>
      <w:r>
        <w:rPr>
          <w:rFonts w:ascii="Times New Roman" w:hAnsi="Times New Roman" w:eastAsia="Times New Roman"/>
          <w:b w:val="0"/>
          <w:i w:val="0"/>
          <w:sz w:val="21"/>
        </w:rPr>
        <w:t>A Singapore resident telecommunication company establishes a communication hub in Nepal, without setting up an office, for transmission of data and information for clients in America and Europe. Amounts derived through the system established in Nepal are treated as Nepal-source income under section 70(2), and tax is payable at 5%.</w:t>
      </w:r>
    </w:p>
    <w:p>
      <w:pPr>
        <w:pStyle w:val="Heading3"/>
        <w:spacing w:after="80" w:line="252" w:lineRule="auto"/>
      </w:pPr>
      <w:r>
        <w:rPr>
          <w:rFonts w:ascii="Times New Roman" w:hAnsi="Times New Roman" w:eastAsia="Times New Roman"/>
          <w:b w:val="0"/>
          <w:i w:val="0"/>
        </w:rPr>
        <w:t>23.4.8 Entity tax table and business concessions</w:t>
      </w:r>
    </w:p>
    <w:tbl>
      <w:tblPr>
        <w:tblStyle w:val="TableGrid"/>
        <w:tblW w:type="auto" w:w="0"/>
        <w:jc w:val="center"/>
        <w:tblLook w:firstColumn="1" w:firstRow="1" w:lastColumn="0" w:lastRow="0" w:noHBand="0" w:noVBand="1" w:val="04A0"/>
      </w:tblPr>
      <w:tblGrid>
        <w:gridCol w:w="3298"/>
        <w:gridCol w:w="3298"/>
        <w:gridCol w:w="3298"/>
      </w:tblGrid>
      <w:tr>
        <w:trPr>
          <w:tblHeader w:val="true"/>
        </w:trPr>
        <w:tc>
          <w:tcPr>
            <w:tcW w:type="dxa" w:w="2304"/>
            <w:vAlign w:val="top"/>
            <w:shd w:fill="D9EAF7"/>
          </w:tcPr>
          <w:p>
            <w:pPr>
              <w:spacing w:after="0" w:line="240" w:lineRule="auto"/>
            </w:pPr>
            <w:r/>
            <w:r>
              <w:rPr>
                <w:rFonts w:ascii="Times New Roman" w:hAnsi="Times New Roman" w:eastAsia="Times New Roman"/>
                <w:b/>
                <w:sz w:val="16"/>
              </w:rPr>
              <w:t>Provision</w:t>
            </w:r>
          </w:p>
        </w:tc>
        <w:tc>
          <w:tcPr>
            <w:tcW w:type="dxa" w:w="6264"/>
            <w:vAlign w:val="top"/>
            <w:shd w:fill="D9EAF7"/>
          </w:tcPr>
          <w:p>
            <w:pPr>
              <w:spacing w:after="0" w:line="240" w:lineRule="auto"/>
            </w:pPr>
            <w:r/>
            <w:r>
              <w:rPr>
                <w:rFonts w:ascii="Times New Roman" w:hAnsi="Times New Roman" w:eastAsia="Times New Roman"/>
                <w:b/>
                <w:sz w:val="16"/>
              </w:rPr>
              <w:t>Business / entity / income condition</w:t>
            </w:r>
          </w:p>
        </w:tc>
        <w:tc>
          <w:tcPr>
            <w:tcW w:type="dxa" w:w="1800"/>
            <w:vAlign w:val="top"/>
            <w:shd w:fill="D9EAF7"/>
          </w:tcPr>
          <w:p>
            <w:pPr>
              <w:spacing w:after="0" w:line="240" w:lineRule="auto"/>
            </w:pPr>
            <w:r/>
            <w:r>
              <w:rPr>
                <w:rFonts w:ascii="Times New Roman" w:hAnsi="Times New Roman" w:eastAsia="Times New Roman"/>
                <w:b/>
                <w:sz w:val="16"/>
              </w:rPr>
              <w:t>Rate or concession</w:t>
            </w:r>
          </w:p>
        </w:tc>
      </w:tr>
      <w:tr>
        <w:tc>
          <w:tcPr>
            <w:tcW w:type="dxa" w:w="2304"/>
            <w:vAlign w:val="top"/>
          </w:tcPr>
          <w:p>
            <w:pPr>
              <w:spacing w:after="0" w:line="240" w:lineRule="auto"/>
            </w:pPr>
            <w:r/>
            <w:r>
              <w:rPr>
                <w:rFonts w:ascii="Times New Roman" w:hAnsi="Times New Roman" w:eastAsia="Times New Roman"/>
                <w:b w:val="0"/>
                <w:sz w:val="16"/>
              </w:rPr>
              <w:t>Schedule 1, section 2(1)</w:t>
            </w:r>
          </w:p>
        </w:tc>
        <w:tc>
          <w:tcPr>
            <w:tcW w:type="dxa" w:w="6264"/>
            <w:vAlign w:val="top"/>
          </w:tcPr>
          <w:p>
            <w:pPr>
              <w:spacing w:after="0" w:line="240" w:lineRule="auto"/>
            </w:pPr>
            <w:r/>
            <w:r>
              <w:rPr>
                <w:rFonts w:ascii="Times New Roman" w:hAnsi="Times New Roman" w:eastAsia="Times New Roman"/>
                <w:b w:val="0"/>
                <w:sz w:val="16"/>
              </w:rPr>
              <w:t>Entity carrying on ordinary business</w:t>
            </w:r>
          </w:p>
        </w:tc>
        <w:tc>
          <w:tcPr>
            <w:tcW w:type="dxa" w:w="1800"/>
            <w:vAlign w:val="top"/>
          </w:tcPr>
          <w:p>
            <w:pPr>
              <w:spacing w:after="0" w:line="240" w:lineRule="auto"/>
            </w:pPr>
            <w:r/>
            <w:r>
              <w:rPr>
                <w:rFonts w:ascii="Times New Roman" w:hAnsi="Times New Roman" w:eastAsia="Times New Roman"/>
                <w:b w:val="0"/>
                <w:sz w:val="16"/>
              </w:rPr>
              <w:t>25%</w:t>
            </w:r>
          </w:p>
        </w:tc>
      </w:tr>
      <w:tr>
        <w:tc>
          <w:tcPr>
            <w:tcW w:type="dxa" w:w="2304"/>
            <w:vAlign w:val="top"/>
          </w:tcPr>
          <w:p>
            <w:pPr>
              <w:spacing w:after="0" w:line="240" w:lineRule="auto"/>
            </w:pPr>
            <w:r/>
            <w:r>
              <w:rPr>
                <w:rFonts w:ascii="Times New Roman" w:hAnsi="Times New Roman" w:eastAsia="Times New Roman"/>
                <w:b w:val="0"/>
                <w:sz w:val="16"/>
              </w:rPr>
              <w:t>Schedule 1, section 2(2)</w:t>
            </w:r>
          </w:p>
        </w:tc>
        <w:tc>
          <w:tcPr>
            <w:tcW w:type="dxa" w:w="6264"/>
            <w:vAlign w:val="top"/>
          </w:tcPr>
          <w:p>
            <w:pPr>
              <w:spacing w:after="0" w:line="240" w:lineRule="auto"/>
            </w:pPr>
            <w:r/>
            <w:r>
              <w:rPr>
                <w:rFonts w:ascii="Times New Roman" w:hAnsi="Times New Roman" w:eastAsia="Times New Roman"/>
                <w:b w:val="0"/>
                <w:sz w:val="16"/>
              </w:rPr>
              <w:t>Banks, financial institutions, general insurance, financial businesses, telecom/internet, money transfer, capital market, securities and commodity businesses, tobacco/alcohol businesses, petroleum operations</w:t>
            </w:r>
          </w:p>
        </w:tc>
        <w:tc>
          <w:tcPr>
            <w:tcW w:type="dxa" w:w="1800"/>
            <w:vAlign w:val="top"/>
          </w:tcPr>
          <w:p>
            <w:pPr>
              <w:spacing w:after="0" w:line="240" w:lineRule="auto"/>
            </w:pPr>
            <w:r/>
            <w:r>
              <w:rPr>
                <w:rFonts w:ascii="Times New Roman" w:hAnsi="Times New Roman" w:eastAsia="Times New Roman"/>
                <w:b w:val="0"/>
                <w:sz w:val="16"/>
              </w:rPr>
              <w:t>30%</w:t>
            </w:r>
          </w:p>
        </w:tc>
      </w:tr>
      <w:tr>
        <w:tc>
          <w:tcPr>
            <w:tcW w:type="dxa" w:w="2304"/>
            <w:vAlign w:val="top"/>
          </w:tcPr>
          <w:p>
            <w:pPr>
              <w:spacing w:after="0" w:line="240" w:lineRule="auto"/>
            </w:pPr>
            <w:r/>
            <w:r>
              <w:rPr>
                <w:rFonts w:ascii="Times New Roman" w:hAnsi="Times New Roman" w:eastAsia="Times New Roman"/>
                <w:b w:val="0"/>
                <w:sz w:val="16"/>
              </w:rPr>
              <w:t>Schedule 1, section 2(3)</w:t>
            </w:r>
          </w:p>
        </w:tc>
        <w:tc>
          <w:tcPr>
            <w:tcW w:type="dxa" w:w="6264"/>
            <w:vAlign w:val="top"/>
          </w:tcPr>
          <w:p>
            <w:pPr>
              <w:spacing w:after="0" w:line="240" w:lineRule="auto"/>
            </w:pPr>
            <w:r/>
            <w:r>
              <w:rPr>
                <w:rFonts w:ascii="Times New Roman" w:hAnsi="Times New Roman" w:eastAsia="Times New Roman"/>
                <w:b w:val="0"/>
                <w:sz w:val="16"/>
              </w:rPr>
              <w:t>Cooperatives registered under the Cooperatives Act, 2074, excluding exempt transactions</w:t>
            </w:r>
          </w:p>
        </w:tc>
        <w:tc>
          <w:tcPr>
            <w:tcW w:type="dxa" w:w="1800"/>
            <w:vAlign w:val="top"/>
          </w:tcPr>
          <w:p>
            <w:pPr>
              <w:spacing w:after="0" w:line="240" w:lineRule="auto"/>
            </w:pPr>
            <w:r/>
            <w:r>
              <w:rPr>
                <w:rFonts w:ascii="Times New Roman" w:hAnsi="Times New Roman" w:eastAsia="Times New Roman"/>
                <w:b w:val="0"/>
                <w:sz w:val="16"/>
              </w:rPr>
              <w:t>5%, 7% or 10%; savings and credit cooperatives 10%, 15% or 20% depending on location</w:t>
            </w:r>
          </w:p>
        </w:tc>
      </w:tr>
      <w:tr>
        <w:tc>
          <w:tcPr>
            <w:tcW w:type="dxa" w:w="2304"/>
            <w:vAlign w:val="top"/>
          </w:tcPr>
          <w:p>
            <w:pPr>
              <w:spacing w:after="0" w:line="240" w:lineRule="auto"/>
            </w:pPr>
            <w:r/>
            <w:r>
              <w:rPr>
                <w:rFonts w:ascii="Times New Roman" w:hAnsi="Times New Roman" w:eastAsia="Times New Roman"/>
                <w:b w:val="0"/>
                <w:sz w:val="16"/>
              </w:rPr>
              <w:t>Schedule 1, section 2(3b)</w:t>
            </w:r>
          </w:p>
        </w:tc>
        <w:tc>
          <w:tcPr>
            <w:tcW w:type="dxa" w:w="6264"/>
            <w:vAlign w:val="top"/>
          </w:tcPr>
          <w:p>
            <w:pPr>
              <w:spacing w:after="0" w:line="240" w:lineRule="auto"/>
            </w:pPr>
            <w:r/>
            <w:r>
              <w:rPr>
                <w:rFonts w:ascii="Times New Roman" w:hAnsi="Times New Roman" w:eastAsia="Times New Roman"/>
                <w:b w:val="0"/>
                <w:sz w:val="16"/>
              </w:rPr>
              <w:t>School or college operated under a public trust</w:t>
            </w:r>
          </w:p>
        </w:tc>
        <w:tc>
          <w:tcPr>
            <w:tcW w:type="dxa" w:w="1800"/>
            <w:vAlign w:val="top"/>
          </w:tcPr>
          <w:p>
            <w:pPr>
              <w:spacing w:after="0" w:line="240" w:lineRule="auto"/>
            </w:pPr>
            <w:r/>
            <w:r>
              <w:rPr>
                <w:rFonts w:ascii="Times New Roman" w:hAnsi="Times New Roman" w:eastAsia="Times New Roman"/>
                <w:b w:val="0"/>
                <w:sz w:val="16"/>
              </w:rPr>
              <w:t>20%</w:t>
            </w:r>
          </w:p>
        </w:tc>
      </w:tr>
      <w:tr>
        <w:tc>
          <w:tcPr>
            <w:tcW w:type="dxa" w:w="2304"/>
            <w:vAlign w:val="top"/>
          </w:tcPr>
          <w:p>
            <w:pPr>
              <w:spacing w:after="0" w:line="240" w:lineRule="auto"/>
            </w:pPr>
            <w:r/>
            <w:r>
              <w:rPr>
                <w:rFonts w:ascii="Times New Roman" w:hAnsi="Times New Roman" w:eastAsia="Times New Roman"/>
                <w:b w:val="0"/>
                <w:sz w:val="16"/>
              </w:rPr>
              <w:t>Schedule 1, section 2(6)</w:t>
            </w:r>
          </w:p>
        </w:tc>
        <w:tc>
          <w:tcPr>
            <w:tcW w:type="dxa" w:w="6264"/>
            <w:vAlign w:val="top"/>
          </w:tcPr>
          <w:p>
            <w:pPr>
              <w:spacing w:after="0" w:line="240" w:lineRule="auto"/>
            </w:pPr>
            <w:r/>
            <w:r>
              <w:rPr>
                <w:rFonts w:ascii="Times New Roman" w:hAnsi="Times New Roman" w:eastAsia="Times New Roman"/>
                <w:b w:val="0"/>
                <w:sz w:val="16"/>
              </w:rPr>
              <w:t>Income repatriated by foreign permanent establishment of a non-resident in Nepal</w:t>
            </w:r>
          </w:p>
        </w:tc>
        <w:tc>
          <w:tcPr>
            <w:tcW w:type="dxa" w:w="1800"/>
            <w:vAlign w:val="top"/>
          </w:tcPr>
          <w:p>
            <w:pPr>
              <w:spacing w:after="0" w:line="240" w:lineRule="auto"/>
            </w:pPr>
            <w:r/>
            <w:r>
              <w:rPr>
                <w:rFonts w:ascii="Times New Roman" w:hAnsi="Times New Roman" w:eastAsia="Times New Roman"/>
                <w:b w:val="0"/>
                <w:sz w:val="16"/>
              </w:rPr>
              <w:t>5%</w:t>
            </w:r>
          </w:p>
        </w:tc>
      </w:tr>
      <w:tr>
        <w:tc>
          <w:tcPr>
            <w:tcW w:type="dxa" w:w="2304"/>
            <w:vAlign w:val="top"/>
          </w:tcPr>
          <w:p>
            <w:pPr>
              <w:spacing w:after="0" w:line="240" w:lineRule="auto"/>
            </w:pPr>
            <w:r/>
            <w:r>
              <w:rPr>
                <w:rFonts w:ascii="Times New Roman" w:hAnsi="Times New Roman" w:eastAsia="Times New Roman"/>
                <w:b w:val="0"/>
                <w:sz w:val="16"/>
              </w:rPr>
              <w:t>Schedule 1, section 2(7)</w:t>
            </w:r>
          </w:p>
        </w:tc>
        <w:tc>
          <w:tcPr>
            <w:tcW w:type="dxa" w:w="6264"/>
            <w:vAlign w:val="top"/>
          </w:tcPr>
          <w:p>
            <w:pPr>
              <w:spacing w:after="0" w:line="240" w:lineRule="auto"/>
            </w:pPr>
            <w:r/>
            <w:r>
              <w:rPr>
                <w:rFonts w:ascii="Times New Roman" w:hAnsi="Times New Roman" w:eastAsia="Times New Roman"/>
                <w:b w:val="0"/>
                <w:sz w:val="16"/>
              </w:rPr>
              <w:t>Section 70 income of non-resident from water transport, air transport or telecommunication service</w:t>
            </w:r>
          </w:p>
        </w:tc>
        <w:tc>
          <w:tcPr>
            <w:tcW w:type="dxa" w:w="1800"/>
            <w:vAlign w:val="top"/>
          </w:tcPr>
          <w:p>
            <w:pPr>
              <w:spacing w:after="0" w:line="240" w:lineRule="auto"/>
            </w:pPr>
            <w:r/>
            <w:r>
              <w:rPr>
                <w:rFonts w:ascii="Times New Roman" w:hAnsi="Times New Roman" w:eastAsia="Times New Roman"/>
                <w:b w:val="0"/>
                <w:sz w:val="16"/>
              </w:rPr>
              <w:t>5%; 2% where service does not depart from Nepal to another foreign country</w:t>
            </w:r>
          </w:p>
        </w:tc>
      </w:tr>
    </w:tbl>
    <w:p/>
    <w:p>
      <w:pPr>
        <w:pStyle w:val="Heading3"/>
        <w:spacing w:after="80" w:line="252" w:lineRule="auto"/>
      </w:pPr>
      <w:r>
        <w:rPr>
          <w:rFonts w:ascii="Times New Roman" w:hAnsi="Times New Roman" w:eastAsia="Times New Roman"/>
          <w:b w:val="0"/>
          <w:i w:val="0"/>
        </w:rPr>
        <w:t>Main concessions under section 11</w:t>
      </w:r>
    </w:p>
    <w:tbl>
      <w:tblPr>
        <w:tblStyle w:val="TableGrid"/>
        <w:tblW w:type="auto" w:w="0"/>
        <w:jc w:val="center"/>
        <w:tblLook w:firstColumn="1" w:firstRow="1" w:lastColumn="0" w:lastRow="0" w:noHBand="0" w:noVBand="1" w:val="04A0"/>
      </w:tblPr>
      <w:tblGrid>
        <w:gridCol w:w="3298"/>
        <w:gridCol w:w="3298"/>
        <w:gridCol w:w="3298"/>
      </w:tblGrid>
      <w:tr>
        <w:trPr>
          <w:tblHeader w:val="true"/>
        </w:trPr>
        <w:tc>
          <w:tcPr>
            <w:tcW w:type="dxa" w:w="1440"/>
            <w:vAlign w:val="top"/>
            <w:shd w:fill="D9EAF7"/>
          </w:tcPr>
          <w:p>
            <w:pPr>
              <w:spacing w:after="0" w:line="240" w:lineRule="auto"/>
            </w:pPr>
            <w:r/>
            <w:r>
              <w:rPr>
                <w:rFonts w:ascii="Times New Roman" w:hAnsi="Times New Roman" w:eastAsia="Times New Roman"/>
                <w:b/>
                <w:sz w:val="15"/>
              </w:rPr>
              <w:t>Section</w:t>
            </w:r>
          </w:p>
        </w:tc>
        <w:tc>
          <w:tcPr>
            <w:tcW w:type="dxa" w:w="6696"/>
            <w:vAlign w:val="top"/>
            <w:shd w:fill="D9EAF7"/>
          </w:tcPr>
          <w:p>
            <w:pPr>
              <w:spacing w:after="0" w:line="240" w:lineRule="auto"/>
            </w:pPr>
            <w:r/>
            <w:r>
              <w:rPr>
                <w:rFonts w:ascii="Times New Roman" w:hAnsi="Times New Roman" w:eastAsia="Times New Roman"/>
                <w:b/>
                <w:sz w:val="15"/>
              </w:rPr>
              <w:t>Business / income condition</w:t>
            </w:r>
          </w:p>
        </w:tc>
        <w:tc>
          <w:tcPr>
            <w:tcW w:type="dxa" w:w="2232"/>
            <w:vAlign w:val="top"/>
            <w:shd w:fill="D9EAF7"/>
          </w:tcPr>
          <w:p>
            <w:pPr>
              <w:spacing w:after="0" w:line="240" w:lineRule="auto"/>
            </w:pPr>
            <w:r/>
            <w:r>
              <w:rPr>
                <w:rFonts w:ascii="Times New Roman" w:hAnsi="Times New Roman" w:eastAsia="Times New Roman"/>
                <w:b/>
                <w:sz w:val="15"/>
              </w:rPr>
              <w:t>Concession</w:t>
            </w:r>
          </w:p>
        </w:tc>
      </w:tr>
      <w:tr>
        <w:tc>
          <w:tcPr>
            <w:tcW w:type="dxa" w:w="1440"/>
            <w:vAlign w:val="top"/>
          </w:tcPr>
          <w:p>
            <w:pPr>
              <w:spacing w:after="0" w:line="240" w:lineRule="auto"/>
            </w:pPr>
            <w:r/>
            <w:r>
              <w:rPr>
                <w:rFonts w:ascii="Times New Roman" w:hAnsi="Times New Roman" w:eastAsia="Times New Roman"/>
                <w:b w:val="0"/>
                <w:sz w:val="15"/>
              </w:rPr>
              <w:t>11(1)</w:t>
            </w:r>
          </w:p>
        </w:tc>
        <w:tc>
          <w:tcPr>
            <w:tcW w:type="dxa" w:w="6696"/>
            <w:vAlign w:val="top"/>
          </w:tcPr>
          <w:p>
            <w:pPr>
              <w:spacing w:after="0" w:line="240" w:lineRule="auto"/>
            </w:pPr>
            <w:r/>
            <w:r>
              <w:rPr>
                <w:rFonts w:ascii="Times New Roman" w:hAnsi="Times New Roman" w:eastAsia="Times New Roman"/>
                <w:b w:val="0"/>
                <w:sz w:val="15"/>
              </w:rPr>
              <w:t>Agricultural business, vegetable dehydration or cold storage business registered as firm, company, partnership or organised institution; other agricultural income except land specified in the Land Act</w:t>
            </w:r>
          </w:p>
        </w:tc>
        <w:tc>
          <w:tcPr>
            <w:tcW w:type="dxa" w:w="2232"/>
            <w:vAlign w:val="top"/>
          </w:tcPr>
          <w:p>
            <w:pPr>
              <w:spacing w:after="0" w:line="240" w:lineRule="auto"/>
            </w:pPr>
            <w:r/>
            <w:r>
              <w:rPr>
                <w:rFonts w:ascii="Times New Roman" w:hAnsi="Times New Roman" w:eastAsia="Times New Roman"/>
                <w:b w:val="0"/>
                <w:sz w:val="15"/>
              </w:rPr>
              <w:t>Non-taxable or 50% concession on tax, as applicable</w:t>
            </w:r>
          </w:p>
        </w:tc>
      </w:tr>
      <w:tr>
        <w:tc>
          <w:tcPr>
            <w:tcW w:type="dxa" w:w="1440"/>
            <w:vAlign w:val="top"/>
          </w:tcPr>
          <w:p>
            <w:pPr>
              <w:spacing w:after="0" w:line="240" w:lineRule="auto"/>
            </w:pPr>
            <w:r/>
            <w:r>
              <w:rPr>
                <w:rFonts w:ascii="Times New Roman" w:hAnsi="Times New Roman" w:eastAsia="Times New Roman"/>
                <w:b w:val="0"/>
                <w:sz w:val="15"/>
              </w:rPr>
              <w:t>11(2)</w:t>
            </w:r>
          </w:p>
        </w:tc>
        <w:tc>
          <w:tcPr>
            <w:tcW w:type="dxa" w:w="6696"/>
            <w:vAlign w:val="top"/>
          </w:tcPr>
          <w:p>
            <w:pPr>
              <w:spacing w:after="0" w:line="240" w:lineRule="auto"/>
            </w:pPr>
            <w:r/>
            <w:r>
              <w:rPr>
                <w:rFonts w:ascii="Times New Roman" w:hAnsi="Times New Roman" w:eastAsia="Times New Roman"/>
                <w:b w:val="0"/>
                <w:sz w:val="15"/>
              </w:rPr>
              <w:t>Specified agricultural and forest-based cooperatives and cooperatives operating in rural municipality areas, including dividends distributed by such cooperatives</w:t>
            </w:r>
          </w:p>
        </w:tc>
        <w:tc>
          <w:tcPr>
            <w:tcW w:type="dxa" w:w="2232"/>
            <w:vAlign w:val="top"/>
          </w:tcPr>
          <w:p>
            <w:pPr>
              <w:spacing w:after="0" w:line="240" w:lineRule="auto"/>
            </w:pPr>
            <w:r/>
            <w:r>
              <w:rPr>
                <w:rFonts w:ascii="Times New Roman" w:hAnsi="Times New Roman" w:eastAsia="Times New Roman"/>
                <w:b w:val="0"/>
                <w:sz w:val="15"/>
              </w:rPr>
              <w:t>Non-taxable</w:t>
            </w:r>
          </w:p>
        </w:tc>
      </w:tr>
      <w:tr>
        <w:tc>
          <w:tcPr>
            <w:tcW w:type="dxa" w:w="1440"/>
            <w:vAlign w:val="top"/>
          </w:tcPr>
          <w:p>
            <w:pPr>
              <w:spacing w:after="0" w:line="240" w:lineRule="auto"/>
            </w:pPr>
            <w:r/>
            <w:r>
              <w:rPr>
                <w:rFonts w:ascii="Times New Roman" w:hAnsi="Times New Roman" w:eastAsia="Times New Roman"/>
                <w:b w:val="0"/>
                <w:sz w:val="15"/>
              </w:rPr>
              <w:t>11(2a)</w:t>
            </w:r>
          </w:p>
        </w:tc>
        <w:tc>
          <w:tcPr>
            <w:tcW w:type="dxa" w:w="6696"/>
            <w:vAlign w:val="top"/>
          </w:tcPr>
          <w:p>
            <w:pPr>
              <w:spacing w:after="0" w:line="240" w:lineRule="auto"/>
            </w:pPr>
            <w:r/>
            <w:r>
              <w:rPr>
                <w:rFonts w:ascii="Times New Roman" w:hAnsi="Times New Roman" w:eastAsia="Times New Roman"/>
                <w:b w:val="0"/>
                <w:sz w:val="15"/>
              </w:rPr>
              <w:t>Interest up to Rs. 25,000 on deposits in specified rural micro-finance institutions, rural development banks, postal savings banks and cooperatives</w:t>
            </w:r>
          </w:p>
        </w:tc>
        <w:tc>
          <w:tcPr>
            <w:tcW w:type="dxa" w:w="2232"/>
            <w:vAlign w:val="top"/>
          </w:tcPr>
          <w:p>
            <w:pPr>
              <w:spacing w:after="0" w:line="240" w:lineRule="auto"/>
            </w:pPr>
            <w:r/>
            <w:r>
              <w:rPr>
                <w:rFonts w:ascii="Times New Roman" w:hAnsi="Times New Roman" w:eastAsia="Times New Roman"/>
                <w:b w:val="0"/>
                <w:sz w:val="15"/>
              </w:rPr>
              <w:t>Non-taxable</w:t>
            </w:r>
          </w:p>
        </w:tc>
      </w:tr>
      <w:tr>
        <w:tc>
          <w:tcPr>
            <w:tcW w:type="dxa" w:w="1440"/>
            <w:vAlign w:val="top"/>
          </w:tcPr>
          <w:p>
            <w:pPr>
              <w:spacing w:after="0" w:line="240" w:lineRule="auto"/>
            </w:pPr>
            <w:r/>
            <w:r>
              <w:rPr>
                <w:rFonts w:ascii="Times New Roman" w:hAnsi="Times New Roman" w:eastAsia="Times New Roman"/>
                <w:b w:val="0"/>
                <w:sz w:val="15"/>
              </w:rPr>
              <w:t>11(2b)</w:t>
            </w:r>
          </w:p>
        </w:tc>
        <w:tc>
          <w:tcPr>
            <w:tcW w:type="dxa" w:w="6696"/>
            <w:vAlign w:val="top"/>
          </w:tcPr>
          <w:p>
            <w:pPr>
              <w:spacing w:after="0" w:line="240" w:lineRule="auto"/>
            </w:pPr>
            <w:r/>
            <w:r>
              <w:rPr>
                <w:rFonts w:ascii="Times New Roman" w:hAnsi="Times New Roman" w:eastAsia="Times New Roman"/>
                <w:b w:val="0"/>
                <w:sz w:val="15"/>
              </w:rPr>
              <w:t>Income from special industry operated fully throughout the year</w:t>
            </w:r>
          </w:p>
        </w:tc>
        <w:tc>
          <w:tcPr>
            <w:tcW w:type="dxa" w:w="2232"/>
            <w:vAlign w:val="top"/>
          </w:tcPr>
          <w:p>
            <w:pPr>
              <w:spacing w:after="0" w:line="240" w:lineRule="auto"/>
            </w:pPr>
            <w:r/>
            <w:r>
              <w:rPr>
                <w:rFonts w:ascii="Times New Roman" w:hAnsi="Times New Roman" w:eastAsia="Times New Roman"/>
                <w:b w:val="0"/>
                <w:sz w:val="15"/>
              </w:rPr>
              <w:t>One-third concession where resident natural person is taxed at 30%; 20% concession for entity</w:t>
            </w:r>
          </w:p>
        </w:tc>
      </w:tr>
      <w:tr>
        <w:tc>
          <w:tcPr>
            <w:tcW w:type="dxa" w:w="1440"/>
            <w:vAlign w:val="top"/>
          </w:tcPr>
          <w:p>
            <w:pPr>
              <w:spacing w:after="0" w:line="240" w:lineRule="auto"/>
            </w:pPr>
            <w:r/>
            <w:r>
              <w:rPr>
                <w:rFonts w:ascii="Times New Roman" w:hAnsi="Times New Roman" w:eastAsia="Times New Roman"/>
                <w:b w:val="0"/>
                <w:sz w:val="15"/>
              </w:rPr>
              <w:t>11(3)(a)</w:t>
            </w:r>
          </w:p>
        </w:tc>
        <w:tc>
          <w:tcPr>
            <w:tcW w:type="dxa" w:w="6696"/>
            <w:vAlign w:val="top"/>
          </w:tcPr>
          <w:p>
            <w:pPr>
              <w:spacing w:after="0" w:line="240" w:lineRule="auto"/>
            </w:pPr>
            <w:r/>
            <w:r>
              <w:rPr>
                <w:rFonts w:ascii="Times New Roman" w:hAnsi="Times New Roman" w:eastAsia="Times New Roman"/>
                <w:b w:val="0"/>
                <w:sz w:val="15"/>
              </w:rPr>
              <w:t>Special industry and information technology industry providing direct employment to 100/300/500/1000 or more Nepali citizens throughout the year</w:t>
            </w:r>
          </w:p>
        </w:tc>
        <w:tc>
          <w:tcPr>
            <w:tcW w:type="dxa" w:w="2232"/>
            <w:vAlign w:val="top"/>
          </w:tcPr>
          <w:p>
            <w:pPr>
              <w:spacing w:after="0" w:line="240" w:lineRule="auto"/>
            </w:pPr>
            <w:r/>
            <w:r>
              <w:rPr>
                <w:rFonts w:ascii="Times New Roman" w:hAnsi="Times New Roman" w:eastAsia="Times New Roman"/>
                <w:b w:val="0"/>
                <w:sz w:val="15"/>
              </w:rPr>
              <w:t>Tax payable reduced to 90%, 80%, 75% or 70%; additional 10% concession if at least 33% are women, Dalit or persons with disability and more than 100 Nepali citizens are employed</w:t>
            </w:r>
          </w:p>
        </w:tc>
      </w:tr>
      <w:tr>
        <w:tc>
          <w:tcPr>
            <w:tcW w:type="dxa" w:w="1440"/>
            <w:vAlign w:val="top"/>
          </w:tcPr>
          <w:p>
            <w:pPr>
              <w:spacing w:after="0" w:line="240" w:lineRule="auto"/>
            </w:pPr>
            <w:r/>
            <w:r>
              <w:rPr>
                <w:rFonts w:ascii="Times New Roman" w:hAnsi="Times New Roman" w:eastAsia="Times New Roman"/>
                <w:b w:val="0"/>
                <w:sz w:val="15"/>
              </w:rPr>
              <w:t>11(3)(b)</w:t>
            </w:r>
          </w:p>
        </w:tc>
        <w:tc>
          <w:tcPr>
            <w:tcW w:type="dxa" w:w="6696"/>
            <w:vAlign w:val="top"/>
          </w:tcPr>
          <w:p>
            <w:pPr>
              <w:spacing w:after="0" w:line="240" w:lineRule="auto"/>
            </w:pPr>
            <w:r/>
            <w:r>
              <w:rPr>
                <w:rFonts w:ascii="Times New Roman" w:hAnsi="Times New Roman" w:eastAsia="Times New Roman"/>
                <w:b w:val="0"/>
                <w:sz w:val="15"/>
              </w:rPr>
              <w:t>Special industry in highly undeveloped, undeveloped or less developed areas</w:t>
            </w:r>
          </w:p>
        </w:tc>
        <w:tc>
          <w:tcPr>
            <w:tcW w:type="dxa" w:w="2232"/>
            <w:vAlign w:val="top"/>
          </w:tcPr>
          <w:p>
            <w:pPr>
              <w:spacing w:after="0" w:line="240" w:lineRule="auto"/>
            </w:pPr>
            <w:r/>
            <w:r>
              <w:rPr>
                <w:rFonts w:ascii="Times New Roman" w:hAnsi="Times New Roman" w:eastAsia="Times New Roman"/>
                <w:b w:val="0"/>
                <w:sz w:val="15"/>
              </w:rPr>
              <w:t>Tax at 10%, 20% or 30% of normal tax for ten years; full exemption for 15 years for qualifying special industries in Karnali Province and hill districts of Sudurpaschim Province employing more than 100 Nepali citizens</w:t>
            </w:r>
          </w:p>
        </w:tc>
      </w:tr>
      <w:tr>
        <w:tc>
          <w:tcPr>
            <w:tcW w:type="dxa" w:w="1440"/>
            <w:vAlign w:val="top"/>
          </w:tcPr>
          <w:p>
            <w:pPr>
              <w:spacing w:after="0" w:line="240" w:lineRule="auto"/>
            </w:pPr>
            <w:r/>
            <w:r>
              <w:rPr>
                <w:rFonts w:ascii="Times New Roman" w:hAnsi="Times New Roman" w:eastAsia="Times New Roman"/>
                <w:b w:val="0"/>
                <w:sz w:val="15"/>
              </w:rPr>
              <w:t>11(3)(c)</w:t>
            </w:r>
          </w:p>
        </w:tc>
        <w:tc>
          <w:tcPr>
            <w:tcW w:type="dxa" w:w="6696"/>
            <w:vAlign w:val="top"/>
          </w:tcPr>
          <w:p>
            <w:pPr>
              <w:spacing w:after="0" w:line="240" w:lineRule="auto"/>
            </w:pPr>
            <w:r/>
            <w:r>
              <w:rPr>
                <w:rFonts w:ascii="Times New Roman" w:hAnsi="Times New Roman" w:eastAsia="Times New Roman"/>
                <w:b w:val="0"/>
                <w:sz w:val="15"/>
              </w:rPr>
              <w:t>Special industry or tourism industry (except casino) established with investment above Rs. 1 billion and direct employment above 500 persons throughout the year</w:t>
            </w:r>
          </w:p>
        </w:tc>
        <w:tc>
          <w:tcPr>
            <w:tcW w:type="dxa" w:w="2232"/>
            <w:vAlign w:val="top"/>
          </w:tcPr>
          <w:p>
            <w:pPr>
              <w:spacing w:after="0" w:line="240" w:lineRule="auto"/>
            </w:pPr>
            <w:r/>
            <w:r>
              <w:rPr>
                <w:rFonts w:ascii="Times New Roman" w:hAnsi="Times New Roman" w:eastAsia="Times New Roman"/>
                <w:b w:val="0"/>
                <w:sz w:val="15"/>
              </w:rPr>
              <w:t>Full exemption for 5 years and 50% concession for next 3 years; capacity-expansion cases as specified</w:t>
            </w:r>
          </w:p>
        </w:tc>
      </w:tr>
      <w:tr>
        <w:tc>
          <w:tcPr>
            <w:tcW w:type="dxa" w:w="1440"/>
            <w:vAlign w:val="top"/>
          </w:tcPr>
          <w:p>
            <w:pPr>
              <w:spacing w:after="0" w:line="240" w:lineRule="auto"/>
            </w:pPr>
            <w:r/>
            <w:r>
              <w:rPr>
                <w:rFonts w:ascii="Times New Roman" w:hAnsi="Times New Roman" w:eastAsia="Times New Roman"/>
                <w:b w:val="0"/>
                <w:sz w:val="15"/>
              </w:rPr>
              <w:t>11(3a)</w:t>
            </w:r>
          </w:p>
        </w:tc>
        <w:tc>
          <w:tcPr>
            <w:tcW w:type="dxa" w:w="6696"/>
            <w:vAlign w:val="top"/>
          </w:tcPr>
          <w:p>
            <w:pPr>
              <w:spacing w:after="0" w:line="240" w:lineRule="auto"/>
            </w:pPr>
            <w:r/>
            <w:r>
              <w:rPr>
                <w:rFonts w:ascii="Times New Roman" w:hAnsi="Times New Roman" w:eastAsia="Times New Roman"/>
                <w:b w:val="0"/>
                <w:sz w:val="15"/>
              </w:rPr>
              <w:t>Industries established in special economic zones</w:t>
            </w:r>
          </w:p>
        </w:tc>
        <w:tc>
          <w:tcPr>
            <w:tcW w:type="dxa" w:w="2232"/>
            <w:vAlign w:val="top"/>
          </w:tcPr>
          <w:p>
            <w:pPr>
              <w:spacing w:after="0" w:line="240" w:lineRule="auto"/>
            </w:pPr>
            <w:r/>
            <w:r>
              <w:rPr>
                <w:rFonts w:ascii="Times New Roman" w:hAnsi="Times New Roman" w:eastAsia="Times New Roman"/>
                <w:b w:val="0"/>
                <w:sz w:val="15"/>
              </w:rPr>
              <w:t>Full exemption for 5 or 10 years depending on location, then 50% concession; dividend and foreign-technology/management fee concessions as specified</w:t>
            </w:r>
          </w:p>
        </w:tc>
      </w:tr>
      <w:tr>
        <w:tc>
          <w:tcPr>
            <w:tcW w:type="dxa" w:w="1440"/>
            <w:vAlign w:val="top"/>
          </w:tcPr>
          <w:p>
            <w:pPr>
              <w:spacing w:after="0" w:line="240" w:lineRule="auto"/>
            </w:pPr>
            <w:r/>
            <w:r>
              <w:rPr>
                <w:rFonts w:ascii="Times New Roman" w:hAnsi="Times New Roman" w:eastAsia="Times New Roman"/>
                <w:b w:val="0"/>
                <w:sz w:val="15"/>
              </w:rPr>
              <w:t>11(3b)</w:t>
            </w:r>
          </w:p>
        </w:tc>
        <w:tc>
          <w:tcPr>
            <w:tcW w:type="dxa" w:w="6696"/>
            <w:vAlign w:val="top"/>
          </w:tcPr>
          <w:p>
            <w:pPr>
              <w:spacing w:after="0" w:line="240" w:lineRule="auto"/>
            </w:pPr>
            <w:r/>
            <w:r>
              <w:rPr>
                <w:rFonts w:ascii="Times New Roman" w:hAnsi="Times New Roman" w:eastAsia="Times New Roman"/>
                <w:b w:val="0"/>
                <w:sz w:val="15"/>
              </w:rPr>
              <w:t>Mineral, petroleum, natural gas and fuel exploration/extraction commencing commercial operation within specified date</w:t>
            </w:r>
          </w:p>
        </w:tc>
        <w:tc>
          <w:tcPr>
            <w:tcW w:type="dxa" w:w="2232"/>
            <w:vAlign w:val="top"/>
          </w:tcPr>
          <w:p>
            <w:pPr>
              <w:spacing w:after="0" w:line="240" w:lineRule="auto"/>
            </w:pPr>
            <w:r/>
            <w:r>
              <w:rPr>
                <w:rFonts w:ascii="Times New Roman" w:hAnsi="Times New Roman" w:eastAsia="Times New Roman"/>
                <w:b w:val="0"/>
                <w:sz w:val="15"/>
              </w:rPr>
              <w:t>Full exemption for first 7 years and 50% concession for next 3 years</w:t>
            </w:r>
          </w:p>
        </w:tc>
      </w:tr>
      <w:tr>
        <w:tc>
          <w:tcPr>
            <w:tcW w:type="dxa" w:w="1440"/>
            <w:vAlign w:val="top"/>
          </w:tcPr>
          <w:p>
            <w:pPr>
              <w:spacing w:after="0" w:line="240" w:lineRule="auto"/>
            </w:pPr>
            <w:r/>
            <w:r>
              <w:rPr>
                <w:rFonts w:ascii="Times New Roman" w:hAnsi="Times New Roman" w:eastAsia="Times New Roman"/>
                <w:b w:val="0"/>
                <w:sz w:val="15"/>
              </w:rPr>
              <w:t>11(3g)</w:t>
            </w:r>
          </w:p>
        </w:tc>
        <w:tc>
          <w:tcPr>
            <w:tcW w:type="dxa" w:w="6696"/>
            <w:vAlign w:val="top"/>
          </w:tcPr>
          <w:p>
            <w:pPr>
              <w:spacing w:after="0" w:line="240" w:lineRule="auto"/>
            </w:pPr>
            <w:r/>
            <w:r>
              <w:rPr>
                <w:rFonts w:ascii="Times New Roman" w:hAnsi="Times New Roman" w:eastAsia="Times New Roman"/>
                <w:b w:val="0"/>
                <w:sz w:val="15"/>
              </w:rPr>
              <w:t>Zoological, geological, biotechnology, technology park, IT park, software development, data processing, cyber cafe, digital mapping and similar industries specified by Government notice</w:t>
            </w:r>
          </w:p>
        </w:tc>
        <w:tc>
          <w:tcPr>
            <w:tcW w:type="dxa" w:w="2232"/>
            <w:vAlign w:val="top"/>
          </w:tcPr>
          <w:p>
            <w:pPr>
              <w:spacing w:after="0" w:line="240" w:lineRule="auto"/>
            </w:pPr>
            <w:r/>
            <w:r>
              <w:rPr>
                <w:rFonts w:ascii="Times New Roman" w:hAnsi="Times New Roman" w:eastAsia="Times New Roman"/>
                <w:b w:val="0"/>
                <w:sz w:val="15"/>
              </w:rPr>
              <w:t>50% concession</w:t>
            </w:r>
          </w:p>
        </w:tc>
      </w:tr>
      <w:tr>
        <w:tc>
          <w:tcPr>
            <w:tcW w:type="dxa" w:w="1440"/>
            <w:vAlign w:val="top"/>
          </w:tcPr>
          <w:p>
            <w:pPr>
              <w:spacing w:after="0" w:line="240" w:lineRule="auto"/>
            </w:pPr>
            <w:r/>
            <w:r>
              <w:rPr>
                <w:rFonts w:ascii="Times New Roman" w:hAnsi="Times New Roman" w:eastAsia="Times New Roman"/>
                <w:b w:val="0"/>
                <w:sz w:val="15"/>
              </w:rPr>
              <w:t>11(3gh)</w:t>
            </w:r>
          </w:p>
        </w:tc>
        <w:tc>
          <w:tcPr>
            <w:tcW w:type="dxa" w:w="6696"/>
            <w:vAlign w:val="top"/>
          </w:tcPr>
          <w:p>
            <w:pPr>
              <w:spacing w:after="0" w:line="240" w:lineRule="auto"/>
            </w:pPr>
            <w:r/>
            <w:r>
              <w:rPr>
                <w:rFonts w:ascii="Times New Roman" w:hAnsi="Times New Roman" w:eastAsia="Times New Roman"/>
                <w:b w:val="0"/>
                <w:sz w:val="15"/>
              </w:rPr>
              <w:t>Hydropower, solar, wind and bio-energy production, transmission or distribution commencing commercial operation within specified date</w:t>
            </w:r>
          </w:p>
        </w:tc>
        <w:tc>
          <w:tcPr>
            <w:tcW w:type="dxa" w:w="2232"/>
            <w:vAlign w:val="top"/>
          </w:tcPr>
          <w:p>
            <w:pPr>
              <w:spacing w:after="0" w:line="240" w:lineRule="auto"/>
            </w:pPr>
            <w:r/>
            <w:r>
              <w:rPr>
                <w:rFonts w:ascii="Times New Roman" w:hAnsi="Times New Roman" w:eastAsia="Times New Roman"/>
                <w:b w:val="0"/>
                <w:sz w:val="15"/>
              </w:rPr>
              <w:t>Full exemption for first 10 years and 50% for next 5 years; special longer concession for qualifying reservoir/semi-reservoir projects</w:t>
            </w:r>
          </w:p>
        </w:tc>
      </w:tr>
      <w:tr>
        <w:tc>
          <w:tcPr>
            <w:tcW w:type="dxa" w:w="1440"/>
            <w:vAlign w:val="top"/>
          </w:tcPr>
          <w:p>
            <w:pPr>
              <w:spacing w:after="0" w:line="240" w:lineRule="auto"/>
            </w:pPr>
            <w:r/>
            <w:r>
              <w:rPr>
                <w:rFonts w:ascii="Times New Roman" w:hAnsi="Times New Roman" w:eastAsia="Times New Roman"/>
                <w:b w:val="0"/>
                <w:sz w:val="15"/>
              </w:rPr>
              <w:t>11(3ṅ)</w:t>
            </w:r>
          </w:p>
        </w:tc>
        <w:tc>
          <w:tcPr>
            <w:tcW w:type="dxa" w:w="6696"/>
            <w:vAlign w:val="top"/>
          </w:tcPr>
          <w:p>
            <w:pPr>
              <w:spacing w:after="0" w:line="240" w:lineRule="auto"/>
            </w:pPr>
            <w:r/>
            <w:r>
              <w:rPr>
                <w:rFonts w:ascii="Times New Roman" w:hAnsi="Times New Roman" w:eastAsia="Times New Roman"/>
                <w:b w:val="0"/>
                <w:sz w:val="15"/>
              </w:rPr>
              <w:t>Export income from Nepal source, including IT-based service export with foreign-currency earnings</w:t>
            </w:r>
          </w:p>
        </w:tc>
        <w:tc>
          <w:tcPr>
            <w:tcW w:type="dxa" w:w="2232"/>
            <w:vAlign w:val="top"/>
          </w:tcPr>
          <w:p>
            <w:pPr>
              <w:spacing w:after="0" w:line="240" w:lineRule="auto"/>
            </w:pPr>
            <w:r/>
            <w:r>
              <w:rPr>
                <w:rFonts w:ascii="Times New Roman" w:hAnsi="Times New Roman" w:eastAsia="Times New Roman"/>
                <w:b w:val="0"/>
                <w:sz w:val="15"/>
              </w:rPr>
              <w:t>25%, 50%, 20% or 50% concession depending on taxpayer and income; additional 35% concession for manufacturing export after basic export concession</w:t>
            </w:r>
          </w:p>
        </w:tc>
      </w:tr>
      <w:tr>
        <w:tc>
          <w:tcPr>
            <w:tcW w:type="dxa" w:w="1440"/>
            <w:vAlign w:val="top"/>
          </w:tcPr>
          <w:p>
            <w:pPr>
              <w:spacing w:after="0" w:line="240" w:lineRule="auto"/>
            </w:pPr>
            <w:r/>
            <w:r>
              <w:rPr>
                <w:rFonts w:ascii="Times New Roman" w:hAnsi="Times New Roman" w:eastAsia="Times New Roman"/>
                <w:b w:val="0"/>
                <w:sz w:val="15"/>
              </w:rPr>
              <w:t>11(3ch)</w:t>
            </w:r>
          </w:p>
        </w:tc>
        <w:tc>
          <w:tcPr>
            <w:tcW w:type="dxa" w:w="6696"/>
            <w:vAlign w:val="top"/>
          </w:tcPr>
          <w:p>
            <w:pPr>
              <w:spacing w:after="0" w:line="240" w:lineRule="auto"/>
            </w:pPr>
            <w:r/>
            <w:r>
              <w:rPr>
                <w:rFonts w:ascii="Times New Roman" w:hAnsi="Times New Roman" w:eastAsia="Times New Roman"/>
                <w:b w:val="0"/>
                <w:sz w:val="15"/>
              </w:rPr>
              <w:t>Tram/trolley bus, ropeway, cable car, sky bridge, road, bridge, tunnel, railway or airport construction and operation</w:t>
            </w:r>
          </w:p>
        </w:tc>
        <w:tc>
          <w:tcPr>
            <w:tcW w:type="dxa" w:w="2232"/>
            <w:vAlign w:val="top"/>
          </w:tcPr>
          <w:p>
            <w:pPr>
              <w:spacing w:after="0" w:line="240" w:lineRule="auto"/>
            </w:pPr>
            <w:r/>
            <w:r>
              <w:rPr>
                <w:rFonts w:ascii="Times New Roman" w:hAnsi="Times New Roman" w:eastAsia="Times New Roman"/>
                <w:b w:val="0"/>
                <w:sz w:val="15"/>
              </w:rPr>
              <w:t>40% or 50% concession for 10 years, depending on activity</w:t>
            </w:r>
          </w:p>
        </w:tc>
      </w:tr>
      <w:tr>
        <w:tc>
          <w:tcPr>
            <w:tcW w:type="dxa" w:w="1440"/>
            <w:vAlign w:val="top"/>
          </w:tcPr>
          <w:p>
            <w:pPr>
              <w:spacing w:after="0" w:line="240" w:lineRule="auto"/>
            </w:pPr>
            <w:r/>
            <w:r>
              <w:rPr>
                <w:rFonts w:ascii="Times New Roman" w:hAnsi="Times New Roman" w:eastAsia="Times New Roman"/>
                <w:b w:val="0"/>
                <w:sz w:val="15"/>
              </w:rPr>
              <w:t>11(3छ)</w:t>
            </w:r>
          </w:p>
        </w:tc>
        <w:tc>
          <w:tcPr>
            <w:tcW w:type="dxa" w:w="6696"/>
            <w:vAlign w:val="top"/>
          </w:tcPr>
          <w:p>
            <w:pPr>
              <w:spacing w:after="0" w:line="240" w:lineRule="auto"/>
            </w:pPr>
            <w:r/>
            <w:r>
              <w:rPr>
                <w:rFonts w:ascii="Times New Roman" w:hAnsi="Times New Roman" w:eastAsia="Times New Roman"/>
                <w:b w:val="0"/>
                <w:sz w:val="15"/>
              </w:rPr>
              <w:t>Listed manufacturing, tourism service, hydropower and specified entities</w:t>
            </w:r>
          </w:p>
        </w:tc>
        <w:tc>
          <w:tcPr>
            <w:tcW w:type="dxa" w:w="2232"/>
            <w:vAlign w:val="top"/>
          </w:tcPr>
          <w:p>
            <w:pPr>
              <w:spacing w:after="0" w:line="240" w:lineRule="auto"/>
            </w:pPr>
            <w:r/>
            <w:r>
              <w:rPr>
                <w:rFonts w:ascii="Times New Roman" w:hAnsi="Times New Roman" w:eastAsia="Times New Roman"/>
                <w:b w:val="0"/>
                <w:sz w:val="15"/>
              </w:rPr>
              <w:t>15% concession</w:t>
            </w:r>
          </w:p>
        </w:tc>
      </w:tr>
      <w:tr>
        <w:tc>
          <w:tcPr>
            <w:tcW w:type="dxa" w:w="1440"/>
            <w:vAlign w:val="top"/>
          </w:tcPr>
          <w:p>
            <w:pPr>
              <w:spacing w:after="0" w:line="240" w:lineRule="auto"/>
            </w:pPr>
            <w:r/>
            <w:r>
              <w:rPr>
                <w:rFonts w:ascii="Times New Roman" w:hAnsi="Times New Roman" w:eastAsia="Times New Roman"/>
                <w:b w:val="0"/>
                <w:sz w:val="15"/>
              </w:rPr>
              <w:t>11(3j)</w:t>
            </w:r>
          </w:p>
        </w:tc>
        <w:tc>
          <w:tcPr>
            <w:tcW w:type="dxa" w:w="6696"/>
            <w:vAlign w:val="top"/>
          </w:tcPr>
          <w:p>
            <w:pPr>
              <w:spacing w:after="0" w:line="240" w:lineRule="auto"/>
            </w:pPr>
            <w:r/>
            <w:r>
              <w:rPr>
                <w:rFonts w:ascii="Times New Roman" w:hAnsi="Times New Roman" w:eastAsia="Times New Roman"/>
                <w:b w:val="0"/>
                <w:sz w:val="15"/>
              </w:rPr>
              <w:t>Fruit-based brandy, cider and wine industries in highly undeveloped or undeveloped areas</w:t>
            </w:r>
          </w:p>
        </w:tc>
        <w:tc>
          <w:tcPr>
            <w:tcW w:type="dxa" w:w="2232"/>
            <w:vAlign w:val="top"/>
          </w:tcPr>
          <w:p>
            <w:pPr>
              <w:spacing w:after="0" w:line="240" w:lineRule="auto"/>
            </w:pPr>
            <w:r/>
            <w:r>
              <w:rPr>
                <w:rFonts w:ascii="Times New Roman" w:hAnsi="Times New Roman" w:eastAsia="Times New Roman"/>
                <w:b w:val="0"/>
                <w:sz w:val="15"/>
              </w:rPr>
              <w:t>40% or 25% concession for 10 years</w:t>
            </w:r>
          </w:p>
        </w:tc>
      </w:tr>
      <w:tr>
        <w:tc>
          <w:tcPr>
            <w:tcW w:type="dxa" w:w="1440"/>
            <w:vAlign w:val="top"/>
          </w:tcPr>
          <w:p>
            <w:pPr>
              <w:spacing w:after="0" w:line="240" w:lineRule="auto"/>
            </w:pPr>
            <w:r/>
            <w:r>
              <w:rPr>
                <w:rFonts w:ascii="Times New Roman" w:hAnsi="Times New Roman" w:eastAsia="Times New Roman"/>
                <w:b w:val="0"/>
                <w:sz w:val="15"/>
              </w:rPr>
              <w:t>11(3झ)/(ञ)</w:t>
            </w:r>
          </w:p>
        </w:tc>
        <w:tc>
          <w:tcPr>
            <w:tcW w:type="dxa" w:w="6696"/>
            <w:vAlign w:val="top"/>
          </w:tcPr>
          <w:p>
            <w:pPr>
              <w:spacing w:after="0" w:line="240" w:lineRule="auto"/>
            </w:pPr>
            <w:r/>
            <w:r>
              <w:rPr>
                <w:rFonts w:ascii="Times New Roman" w:hAnsi="Times New Roman" w:eastAsia="Times New Roman"/>
                <w:b w:val="0"/>
                <w:sz w:val="15"/>
              </w:rPr>
              <w:t>Royalty from export of intellectual property or income from transfer of intellectual property</w:t>
            </w:r>
          </w:p>
        </w:tc>
        <w:tc>
          <w:tcPr>
            <w:tcW w:type="dxa" w:w="2232"/>
            <w:vAlign w:val="top"/>
          </w:tcPr>
          <w:p>
            <w:pPr>
              <w:spacing w:after="0" w:line="240" w:lineRule="auto"/>
            </w:pPr>
            <w:r/>
            <w:r>
              <w:rPr>
                <w:rFonts w:ascii="Times New Roman" w:hAnsi="Times New Roman" w:eastAsia="Times New Roman"/>
                <w:b w:val="0"/>
                <w:sz w:val="15"/>
              </w:rPr>
              <w:t>25% or 50% concession</w:t>
            </w:r>
          </w:p>
        </w:tc>
      </w:tr>
      <w:tr>
        <w:tc>
          <w:tcPr>
            <w:tcW w:type="dxa" w:w="1440"/>
            <w:vAlign w:val="top"/>
          </w:tcPr>
          <w:p>
            <w:pPr>
              <w:spacing w:after="0" w:line="240" w:lineRule="auto"/>
            </w:pPr>
            <w:r/>
            <w:r>
              <w:rPr>
                <w:rFonts w:ascii="Times New Roman" w:hAnsi="Times New Roman" w:eastAsia="Times New Roman"/>
                <w:b w:val="0"/>
                <w:sz w:val="15"/>
              </w:rPr>
              <w:t>11(3ट)</w:t>
            </w:r>
          </w:p>
        </w:tc>
        <w:tc>
          <w:tcPr>
            <w:tcW w:type="dxa" w:w="6696"/>
            <w:vAlign w:val="top"/>
          </w:tcPr>
          <w:p>
            <w:pPr>
              <w:spacing w:after="0" w:line="240" w:lineRule="auto"/>
            </w:pPr>
            <w:r/>
            <w:r>
              <w:rPr>
                <w:rFonts w:ascii="Times New Roman" w:hAnsi="Times New Roman" w:eastAsia="Times New Roman"/>
                <w:b w:val="0"/>
                <w:sz w:val="15"/>
              </w:rPr>
              <w:t>Tourism-related industry or international airline with capital investment above Rs. 1 billion / Rs. 3 billion / Rs. 5 billion</w:t>
            </w:r>
          </w:p>
        </w:tc>
        <w:tc>
          <w:tcPr>
            <w:tcW w:type="dxa" w:w="2232"/>
            <w:vAlign w:val="top"/>
          </w:tcPr>
          <w:p>
            <w:pPr>
              <w:spacing w:after="0" w:line="240" w:lineRule="auto"/>
            </w:pPr>
            <w:r/>
            <w:r>
              <w:rPr>
                <w:rFonts w:ascii="Times New Roman" w:hAnsi="Times New Roman" w:eastAsia="Times New Roman"/>
                <w:b w:val="0"/>
                <w:sz w:val="15"/>
              </w:rPr>
              <w:t>Full exemption for 5/10/15 years and 50% concession thereafter where specified</w:t>
            </w:r>
          </w:p>
        </w:tc>
      </w:tr>
      <w:tr>
        <w:tc>
          <w:tcPr>
            <w:tcW w:type="dxa" w:w="1440"/>
            <w:vAlign w:val="top"/>
          </w:tcPr>
          <w:p>
            <w:pPr>
              <w:spacing w:after="0" w:line="240" w:lineRule="auto"/>
            </w:pPr>
            <w:r/>
            <w:r>
              <w:rPr>
                <w:rFonts w:ascii="Times New Roman" w:hAnsi="Times New Roman" w:eastAsia="Times New Roman"/>
                <w:b w:val="0"/>
                <w:sz w:val="15"/>
              </w:rPr>
              <w:t>11(3ठ)</w:t>
            </w:r>
          </w:p>
        </w:tc>
        <w:tc>
          <w:tcPr>
            <w:tcW w:type="dxa" w:w="6696"/>
            <w:vAlign w:val="top"/>
          </w:tcPr>
          <w:p>
            <w:pPr>
              <w:spacing w:after="0" w:line="240" w:lineRule="auto"/>
            </w:pPr>
            <w:r/>
            <w:r>
              <w:rPr>
                <w:rFonts w:ascii="Times New Roman" w:hAnsi="Times New Roman" w:eastAsia="Times New Roman"/>
                <w:b w:val="0"/>
                <w:sz w:val="15"/>
              </w:rPr>
              <w:t>Capitalisation of accumulated profits for capacity expansion by special industry, IT industry or tourism industry</w:t>
            </w:r>
          </w:p>
        </w:tc>
        <w:tc>
          <w:tcPr>
            <w:tcW w:type="dxa" w:w="2232"/>
            <w:vAlign w:val="top"/>
          </w:tcPr>
          <w:p>
            <w:pPr>
              <w:spacing w:after="0" w:line="240" w:lineRule="auto"/>
            </w:pPr>
            <w:r/>
            <w:r>
              <w:rPr>
                <w:rFonts w:ascii="Times New Roman" w:hAnsi="Times New Roman" w:eastAsia="Times New Roman"/>
                <w:b w:val="0"/>
                <w:sz w:val="15"/>
              </w:rPr>
              <w:t>100% exemption from dividend tax on such capitalisation</w:t>
            </w:r>
          </w:p>
        </w:tc>
      </w:tr>
      <w:tr>
        <w:tc>
          <w:tcPr>
            <w:tcW w:type="dxa" w:w="1440"/>
            <w:vAlign w:val="top"/>
          </w:tcPr>
          <w:p>
            <w:pPr>
              <w:spacing w:after="0" w:line="240" w:lineRule="auto"/>
            </w:pPr>
            <w:r/>
            <w:r>
              <w:rPr>
                <w:rFonts w:ascii="Times New Roman" w:hAnsi="Times New Roman" w:eastAsia="Times New Roman"/>
                <w:b w:val="0"/>
                <w:sz w:val="15"/>
              </w:rPr>
              <w:t>11(3ड)</w:t>
            </w:r>
          </w:p>
        </w:tc>
        <w:tc>
          <w:tcPr>
            <w:tcW w:type="dxa" w:w="6696"/>
            <w:vAlign w:val="top"/>
          </w:tcPr>
          <w:p>
            <w:pPr>
              <w:spacing w:after="0" w:line="240" w:lineRule="auto"/>
            </w:pPr>
            <w:r/>
            <w:r>
              <w:rPr>
                <w:rFonts w:ascii="Times New Roman" w:hAnsi="Times New Roman" w:eastAsia="Times New Roman"/>
                <w:b w:val="0"/>
                <w:sz w:val="15"/>
              </w:rPr>
              <w:t>Private company with paid-up capital of Rs. 500 million or more converted into a public company</w:t>
            </w:r>
          </w:p>
        </w:tc>
        <w:tc>
          <w:tcPr>
            <w:tcW w:type="dxa" w:w="2232"/>
            <w:vAlign w:val="top"/>
          </w:tcPr>
          <w:p>
            <w:pPr>
              <w:spacing w:after="0" w:line="240" w:lineRule="auto"/>
            </w:pPr>
            <w:r/>
            <w:r>
              <w:rPr>
                <w:rFonts w:ascii="Times New Roman" w:hAnsi="Times New Roman" w:eastAsia="Times New Roman"/>
                <w:b w:val="0"/>
                <w:sz w:val="15"/>
              </w:rPr>
              <w:t>10% concession for 3 years, except companies required by law to be public companies</w:t>
            </w:r>
          </w:p>
        </w:tc>
      </w:tr>
      <w:tr>
        <w:tc>
          <w:tcPr>
            <w:tcW w:type="dxa" w:w="1440"/>
            <w:vAlign w:val="top"/>
          </w:tcPr>
          <w:p>
            <w:pPr>
              <w:spacing w:after="0" w:line="240" w:lineRule="auto"/>
            </w:pPr>
            <w:r/>
            <w:r>
              <w:rPr>
                <w:rFonts w:ascii="Times New Roman" w:hAnsi="Times New Roman" w:eastAsia="Times New Roman"/>
                <w:b w:val="0"/>
                <w:sz w:val="15"/>
              </w:rPr>
              <w:t>11(3ढ)</w:t>
            </w:r>
          </w:p>
        </w:tc>
        <w:tc>
          <w:tcPr>
            <w:tcW w:type="dxa" w:w="6696"/>
            <w:vAlign w:val="top"/>
          </w:tcPr>
          <w:p>
            <w:pPr>
              <w:spacing w:after="0" w:line="240" w:lineRule="auto"/>
            </w:pPr>
            <w:r/>
            <w:r>
              <w:rPr>
                <w:rFonts w:ascii="Times New Roman" w:hAnsi="Times New Roman" w:eastAsia="Times New Roman"/>
                <w:b w:val="0"/>
                <w:sz w:val="15"/>
              </w:rPr>
              <w:t>Domestic tea production and processing, dairy products and textile manufacturing</w:t>
            </w:r>
          </w:p>
        </w:tc>
        <w:tc>
          <w:tcPr>
            <w:tcW w:type="dxa" w:w="2232"/>
            <w:vAlign w:val="top"/>
          </w:tcPr>
          <w:p>
            <w:pPr>
              <w:spacing w:after="0" w:line="240" w:lineRule="auto"/>
            </w:pPr>
            <w:r/>
            <w:r>
              <w:rPr>
                <w:rFonts w:ascii="Times New Roman" w:hAnsi="Times New Roman" w:eastAsia="Times New Roman"/>
                <w:b w:val="0"/>
                <w:sz w:val="15"/>
              </w:rPr>
              <w:t>50% concession</w:t>
            </w:r>
          </w:p>
        </w:tc>
      </w:tr>
      <w:tr>
        <w:tc>
          <w:tcPr>
            <w:tcW w:type="dxa" w:w="1440"/>
            <w:vAlign w:val="top"/>
          </w:tcPr>
          <w:p>
            <w:pPr>
              <w:spacing w:after="0" w:line="240" w:lineRule="auto"/>
            </w:pPr>
            <w:r/>
            <w:r>
              <w:rPr>
                <w:rFonts w:ascii="Times New Roman" w:hAnsi="Times New Roman" w:eastAsia="Times New Roman"/>
                <w:b w:val="0"/>
                <w:sz w:val="15"/>
              </w:rPr>
              <w:t>11(3ण)</w:t>
            </w:r>
          </w:p>
        </w:tc>
        <w:tc>
          <w:tcPr>
            <w:tcW w:type="dxa" w:w="6696"/>
            <w:vAlign w:val="top"/>
          </w:tcPr>
          <w:p>
            <w:pPr>
              <w:spacing w:after="0" w:line="240" w:lineRule="auto"/>
            </w:pPr>
            <w:r/>
            <w:r>
              <w:rPr>
                <w:rFonts w:ascii="Times New Roman" w:hAnsi="Times New Roman" w:eastAsia="Times New Roman"/>
                <w:b w:val="0"/>
                <w:sz w:val="15"/>
              </w:rPr>
              <w:t>Health institution operated by a community institution</w:t>
            </w:r>
          </w:p>
        </w:tc>
        <w:tc>
          <w:tcPr>
            <w:tcW w:type="dxa" w:w="2232"/>
            <w:vAlign w:val="top"/>
          </w:tcPr>
          <w:p>
            <w:pPr>
              <w:spacing w:after="0" w:line="240" w:lineRule="auto"/>
            </w:pPr>
            <w:r/>
            <w:r>
              <w:rPr>
                <w:rFonts w:ascii="Times New Roman" w:hAnsi="Times New Roman" w:eastAsia="Times New Roman"/>
                <w:b w:val="0"/>
                <w:sz w:val="15"/>
              </w:rPr>
              <w:t>20% concession</w:t>
            </w:r>
          </w:p>
        </w:tc>
      </w:tr>
      <w:tr>
        <w:tc>
          <w:tcPr>
            <w:tcW w:type="dxa" w:w="1440"/>
            <w:vAlign w:val="top"/>
          </w:tcPr>
          <w:p>
            <w:pPr>
              <w:spacing w:after="0" w:line="240" w:lineRule="auto"/>
            </w:pPr>
            <w:r/>
            <w:r>
              <w:rPr>
                <w:rFonts w:ascii="Times New Roman" w:hAnsi="Times New Roman" w:eastAsia="Times New Roman"/>
                <w:b w:val="0"/>
                <w:sz w:val="15"/>
              </w:rPr>
              <w:t>11(3त)</w:t>
            </w:r>
          </w:p>
        </w:tc>
        <w:tc>
          <w:tcPr>
            <w:tcW w:type="dxa" w:w="6696"/>
            <w:vAlign w:val="top"/>
          </w:tcPr>
          <w:p>
            <w:pPr>
              <w:spacing w:after="0" w:line="240" w:lineRule="auto"/>
            </w:pPr>
            <w:r/>
            <w:r>
              <w:rPr>
                <w:rFonts w:ascii="Times New Roman" w:hAnsi="Times New Roman" w:eastAsia="Times New Roman"/>
                <w:b w:val="0"/>
                <w:sz w:val="15"/>
              </w:rPr>
              <w:t>Micro enterprise; additional period where operated by a woman entrepreneur</w:t>
            </w:r>
          </w:p>
        </w:tc>
        <w:tc>
          <w:tcPr>
            <w:tcW w:type="dxa" w:w="2232"/>
            <w:vAlign w:val="top"/>
          </w:tcPr>
          <w:p>
            <w:pPr>
              <w:spacing w:after="0" w:line="240" w:lineRule="auto"/>
            </w:pPr>
            <w:r/>
            <w:r>
              <w:rPr>
                <w:rFonts w:ascii="Times New Roman" w:hAnsi="Times New Roman" w:eastAsia="Times New Roman"/>
                <w:b w:val="0"/>
                <w:sz w:val="15"/>
              </w:rPr>
              <w:t>Full exemption for 7 years; additional 3 years for women entrepreneurs</w:t>
            </w:r>
          </w:p>
        </w:tc>
      </w:tr>
      <w:tr>
        <w:tc>
          <w:tcPr>
            <w:tcW w:type="dxa" w:w="1440"/>
            <w:vAlign w:val="top"/>
          </w:tcPr>
          <w:p>
            <w:pPr>
              <w:spacing w:after="0" w:line="240" w:lineRule="auto"/>
            </w:pPr>
            <w:r/>
            <w:r>
              <w:rPr>
                <w:rFonts w:ascii="Times New Roman" w:hAnsi="Times New Roman" w:eastAsia="Times New Roman"/>
                <w:b w:val="0"/>
                <w:sz w:val="15"/>
              </w:rPr>
              <w:t>11(3थ)</w:t>
            </w:r>
          </w:p>
        </w:tc>
        <w:tc>
          <w:tcPr>
            <w:tcW w:type="dxa" w:w="6696"/>
            <w:vAlign w:val="top"/>
          </w:tcPr>
          <w:p>
            <w:pPr>
              <w:spacing w:after="0" w:line="240" w:lineRule="auto"/>
            </w:pPr>
            <w:r/>
            <w:r>
              <w:rPr>
                <w:rFonts w:ascii="Times New Roman" w:hAnsi="Times New Roman" w:eastAsia="Times New Roman"/>
                <w:b w:val="0"/>
                <w:sz w:val="15"/>
              </w:rPr>
              <w:t>Public infrastructure projects and power-house construction, production and transmission projects to be transferred to Government of Nepal</w:t>
            </w:r>
          </w:p>
        </w:tc>
        <w:tc>
          <w:tcPr>
            <w:tcW w:type="dxa" w:w="2232"/>
            <w:vAlign w:val="top"/>
          </w:tcPr>
          <w:p>
            <w:pPr>
              <w:spacing w:after="0" w:line="240" w:lineRule="auto"/>
            </w:pPr>
            <w:r/>
            <w:r>
              <w:rPr>
                <w:rFonts w:ascii="Times New Roman" w:hAnsi="Times New Roman" w:eastAsia="Times New Roman"/>
                <w:b w:val="0"/>
                <w:sz w:val="15"/>
              </w:rPr>
              <w:t>20% concession</w:t>
            </w:r>
          </w:p>
        </w:tc>
      </w:tr>
      <w:tr>
        <w:tc>
          <w:tcPr>
            <w:tcW w:type="dxa" w:w="1440"/>
            <w:vAlign w:val="top"/>
          </w:tcPr>
          <w:p>
            <w:pPr>
              <w:spacing w:after="0" w:line="240" w:lineRule="auto"/>
            </w:pPr>
            <w:r/>
            <w:r>
              <w:rPr>
                <w:rFonts w:ascii="Times New Roman" w:hAnsi="Times New Roman" w:eastAsia="Times New Roman"/>
                <w:b w:val="0"/>
                <w:sz w:val="15"/>
              </w:rPr>
              <w:t>11(3द)</w:t>
            </w:r>
          </w:p>
        </w:tc>
        <w:tc>
          <w:tcPr>
            <w:tcW w:type="dxa" w:w="6696"/>
            <w:vAlign w:val="top"/>
          </w:tcPr>
          <w:p>
            <w:pPr>
              <w:spacing w:after="0" w:line="240" w:lineRule="auto"/>
            </w:pPr>
            <w:r/>
            <w:r>
              <w:rPr>
                <w:rFonts w:ascii="Times New Roman" w:hAnsi="Times New Roman" w:eastAsia="Times New Roman"/>
                <w:b w:val="0"/>
                <w:sz w:val="15"/>
              </w:rPr>
              <w:t>Special industry established or relocated to an industrial estate or industrial village</w:t>
            </w:r>
          </w:p>
        </w:tc>
        <w:tc>
          <w:tcPr>
            <w:tcW w:type="dxa" w:w="2232"/>
            <w:vAlign w:val="top"/>
          </w:tcPr>
          <w:p>
            <w:pPr>
              <w:spacing w:after="0" w:line="240" w:lineRule="auto"/>
            </w:pPr>
            <w:r/>
            <w:r>
              <w:rPr>
                <w:rFonts w:ascii="Times New Roman" w:hAnsi="Times New Roman" w:eastAsia="Times New Roman"/>
                <w:b w:val="0"/>
                <w:sz w:val="15"/>
              </w:rPr>
              <w:t>50% concession for first 3 years and 25% for next 5 years</w:t>
            </w:r>
          </w:p>
        </w:tc>
      </w:tr>
      <w:tr>
        <w:tc>
          <w:tcPr>
            <w:tcW w:type="dxa" w:w="1440"/>
            <w:vAlign w:val="top"/>
          </w:tcPr>
          <w:p>
            <w:pPr>
              <w:spacing w:after="0" w:line="240" w:lineRule="auto"/>
            </w:pPr>
            <w:r/>
            <w:r>
              <w:rPr>
                <w:rFonts w:ascii="Times New Roman" w:hAnsi="Times New Roman" w:eastAsia="Times New Roman"/>
                <w:b w:val="0"/>
                <w:sz w:val="15"/>
              </w:rPr>
              <w:t>11(3ध)</w:t>
            </w:r>
          </w:p>
        </w:tc>
        <w:tc>
          <w:tcPr>
            <w:tcW w:type="dxa" w:w="6696"/>
            <w:vAlign w:val="top"/>
          </w:tcPr>
          <w:p>
            <w:pPr>
              <w:spacing w:after="0" w:line="240" w:lineRule="auto"/>
            </w:pPr>
            <w:r/>
            <w:r>
              <w:rPr>
                <w:rFonts w:ascii="Times New Roman" w:hAnsi="Times New Roman" w:eastAsia="Times New Roman"/>
                <w:b w:val="0"/>
                <w:sz w:val="15"/>
              </w:rPr>
              <w:t>Income from sale of domestic raw or auxiliary materials to special industry</w:t>
            </w:r>
          </w:p>
        </w:tc>
        <w:tc>
          <w:tcPr>
            <w:tcW w:type="dxa" w:w="2232"/>
            <w:vAlign w:val="top"/>
          </w:tcPr>
          <w:p>
            <w:pPr>
              <w:spacing w:after="0" w:line="240" w:lineRule="auto"/>
            </w:pPr>
            <w:r/>
            <w:r>
              <w:rPr>
                <w:rFonts w:ascii="Times New Roman" w:hAnsi="Times New Roman" w:eastAsia="Times New Roman"/>
                <w:b w:val="0"/>
                <w:sz w:val="15"/>
              </w:rPr>
              <w:t>20% concession</w:t>
            </w:r>
          </w:p>
        </w:tc>
      </w:tr>
      <w:tr>
        <w:tc>
          <w:tcPr>
            <w:tcW w:type="dxa" w:w="1440"/>
            <w:vAlign w:val="top"/>
          </w:tcPr>
          <w:p>
            <w:pPr>
              <w:spacing w:after="0" w:line="240" w:lineRule="auto"/>
            </w:pPr>
            <w:r/>
            <w:r>
              <w:rPr>
                <w:rFonts w:ascii="Times New Roman" w:hAnsi="Times New Roman" w:eastAsia="Times New Roman"/>
                <w:b w:val="0"/>
                <w:sz w:val="15"/>
              </w:rPr>
              <w:t>11(3न)</w:t>
            </w:r>
          </w:p>
        </w:tc>
        <w:tc>
          <w:tcPr>
            <w:tcW w:type="dxa" w:w="6696"/>
            <w:vAlign w:val="top"/>
          </w:tcPr>
          <w:p>
            <w:pPr>
              <w:spacing w:after="0" w:line="240" w:lineRule="auto"/>
            </w:pPr>
            <w:r/>
            <w:r>
              <w:rPr>
                <w:rFonts w:ascii="Times New Roman" w:hAnsi="Times New Roman" w:eastAsia="Times New Roman"/>
                <w:b w:val="0"/>
                <w:sz w:val="15"/>
              </w:rPr>
              <w:t>Start-up business specified by the Department using innovative knowledge, ideas, skills, technology, behaviour or methods and annual turnover up to Rs. 10 million</w:t>
            </w:r>
          </w:p>
        </w:tc>
        <w:tc>
          <w:tcPr>
            <w:tcW w:type="dxa" w:w="2232"/>
            <w:vAlign w:val="top"/>
          </w:tcPr>
          <w:p>
            <w:pPr>
              <w:spacing w:after="0" w:line="240" w:lineRule="auto"/>
            </w:pPr>
            <w:r/>
            <w:r>
              <w:rPr>
                <w:rFonts w:ascii="Times New Roman" w:hAnsi="Times New Roman" w:eastAsia="Times New Roman"/>
                <w:b w:val="0"/>
                <w:sz w:val="15"/>
              </w:rPr>
              <w:t>100% concession for 5 years</w:t>
            </w:r>
          </w:p>
        </w:tc>
      </w:tr>
      <w:tr>
        <w:tc>
          <w:tcPr>
            <w:tcW w:type="dxa" w:w="1440"/>
            <w:vAlign w:val="top"/>
          </w:tcPr>
          <w:p>
            <w:pPr>
              <w:spacing w:after="0" w:line="240" w:lineRule="auto"/>
            </w:pPr>
            <w:r/>
            <w:r>
              <w:rPr>
                <w:rFonts w:ascii="Times New Roman" w:hAnsi="Times New Roman" w:eastAsia="Times New Roman"/>
                <w:b w:val="0"/>
                <w:sz w:val="15"/>
              </w:rPr>
              <w:t>11(3प)</w:t>
            </w:r>
          </w:p>
        </w:tc>
        <w:tc>
          <w:tcPr>
            <w:tcW w:type="dxa" w:w="6696"/>
            <w:vAlign w:val="top"/>
          </w:tcPr>
          <w:p>
            <w:pPr>
              <w:spacing w:after="0" w:line="240" w:lineRule="auto"/>
            </w:pPr>
            <w:r/>
            <w:r>
              <w:rPr>
                <w:rFonts w:ascii="Times New Roman" w:hAnsi="Times New Roman" w:eastAsia="Times New Roman"/>
                <w:b w:val="0"/>
                <w:sz w:val="15"/>
              </w:rPr>
              <w:t>Special industry relocated from Kathmandu Valley to outside the Valley</w:t>
            </w:r>
          </w:p>
        </w:tc>
        <w:tc>
          <w:tcPr>
            <w:tcW w:type="dxa" w:w="2232"/>
            <w:vAlign w:val="top"/>
          </w:tcPr>
          <w:p>
            <w:pPr>
              <w:spacing w:after="0" w:line="240" w:lineRule="auto"/>
            </w:pPr>
            <w:r/>
            <w:r>
              <w:rPr>
                <w:rFonts w:ascii="Times New Roman" w:hAnsi="Times New Roman" w:eastAsia="Times New Roman"/>
                <w:b w:val="0"/>
                <w:sz w:val="15"/>
              </w:rPr>
              <w:t>100% concession for 3 years and 50% for next 2 years</w:t>
            </w:r>
          </w:p>
        </w:tc>
      </w:tr>
      <w:tr>
        <w:tc>
          <w:tcPr>
            <w:tcW w:type="dxa" w:w="1440"/>
            <w:vAlign w:val="top"/>
          </w:tcPr>
          <w:p>
            <w:pPr>
              <w:spacing w:after="0" w:line="240" w:lineRule="auto"/>
            </w:pPr>
            <w:r/>
            <w:r>
              <w:rPr>
                <w:rFonts w:ascii="Times New Roman" w:hAnsi="Times New Roman" w:eastAsia="Times New Roman"/>
                <w:b w:val="0"/>
                <w:sz w:val="15"/>
              </w:rPr>
              <w:t>11(3फ)</w:t>
            </w:r>
          </w:p>
        </w:tc>
        <w:tc>
          <w:tcPr>
            <w:tcW w:type="dxa" w:w="6696"/>
            <w:vAlign w:val="top"/>
          </w:tcPr>
          <w:p>
            <w:pPr>
              <w:spacing w:after="0" w:line="240" w:lineRule="auto"/>
            </w:pPr>
            <w:r/>
            <w:r>
              <w:rPr>
                <w:rFonts w:ascii="Times New Roman" w:hAnsi="Times New Roman" w:eastAsia="Times New Roman"/>
                <w:b w:val="0"/>
                <w:sz w:val="15"/>
              </w:rPr>
              <w:t>Industry producing new goods using only used goods directly affecting the environment as raw material</w:t>
            </w:r>
          </w:p>
        </w:tc>
        <w:tc>
          <w:tcPr>
            <w:tcW w:type="dxa" w:w="2232"/>
            <w:vAlign w:val="top"/>
          </w:tcPr>
          <w:p>
            <w:pPr>
              <w:spacing w:after="0" w:line="240" w:lineRule="auto"/>
            </w:pPr>
            <w:r/>
            <w:r>
              <w:rPr>
                <w:rFonts w:ascii="Times New Roman" w:hAnsi="Times New Roman" w:eastAsia="Times New Roman"/>
                <w:b w:val="0"/>
                <w:sz w:val="15"/>
              </w:rPr>
              <w:t>50% concession for first 3 years and 25% for next 2 years</w:t>
            </w:r>
          </w:p>
        </w:tc>
      </w:tr>
      <w:tr>
        <w:tc>
          <w:tcPr>
            <w:tcW w:type="dxa" w:w="1440"/>
            <w:vAlign w:val="top"/>
          </w:tcPr>
          <w:p>
            <w:pPr>
              <w:spacing w:after="0" w:line="240" w:lineRule="auto"/>
            </w:pPr>
            <w:r/>
            <w:r>
              <w:rPr>
                <w:rFonts w:ascii="Times New Roman" w:hAnsi="Times New Roman" w:eastAsia="Times New Roman"/>
                <w:b w:val="0"/>
                <w:sz w:val="15"/>
              </w:rPr>
              <w:t>11(3ब)</w:t>
            </w:r>
          </w:p>
        </w:tc>
        <w:tc>
          <w:tcPr>
            <w:tcW w:type="dxa" w:w="6696"/>
            <w:vAlign w:val="top"/>
          </w:tcPr>
          <w:p>
            <w:pPr>
              <w:spacing w:after="0" w:line="240" w:lineRule="auto"/>
            </w:pPr>
            <w:r/>
            <w:r>
              <w:rPr>
                <w:rFonts w:ascii="Times New Roman" w:hAnsi="Times New Roman" w:eastAsia="Times New Roman"/>
                <w:b w:val="0"/>
                <w:sz w:val="15"/>
              </w:rPr>
              <w:t>Industry producing health vaccine, oxygen gas or sanitary pads</w:t>
            </w:r>
          </w:p>
        </w:tc>
        <w:tc>
          <w:tcPr>
            <w:tcW w:type="dxa" w:w="2232"/>
            <w:vAlign w:val="top"/>
          </w:tcPr>
          <w:p>
            <w:pPr>
              <w:spacing w:after="0" w:line="240" w:lineRule="auto"/>
            </w:pPr>
            <w:r/>
            <w:r>
              <w:rPr>
                <w:rFonts w:ascii="Times New Roman" w:hAnsi="Times New Roman" w:eastAsia="Times New Roman"/>
                <w:b w:val="0"/>
                <w:sz w:val="15"/>
              </w:rPr>
              <w:t>Full exemption for 5 years and 50% concession for next 2 years</w:t>
            </w:r>
          </w:p>
        </w:tc>
      </w:tr>
      <w:tr>
        <w:tc>
          <w:tcPr>
            <w:tcW w:type="dxa" w:w="1440"/>
            <w:vAlign w:val="top"/>
          </w:tcPr>
          <w:p>
            <w:pPr>
              <w:spacing w:after="0" w:line="240" w:lineRule="auto"/>
            </w:pPr>
            <w:r/>
            <w:r>
              <w:rPr>
                <w:rFonts w:ascii="Times New Roman" w:hAnsi="Times New Roman" w:eastAsia="Times New Roman"/>
                <w:b w:val="0"/>
                <w:sz w:val="15"/>
              </w:rPr>
              <w:t>11(3भ)</w:t>
            </w:r>
          </w:p>
        </w:tc>
        <w:tc>
          <w:tcPr>
            <w:tcW w:type="dxa" w:w="6696"/>
            <w:vAlign w:val="top"/>
          </w:tcPr>
          <w:p>
            <w:pPr>
              <w:spacing w:after="0" w:line="240" w:lineRule="auto"/>
            </w:pPr>
            <w:r/>
            <w:r>
              <w:rPr>
                <w:rFonts w:ascii="Times New Roman" w:hAnsi="Times New Roman" w:eastAsia="Times New Roman"/>
                <w:b w:val="0"/>
                <w:sz w:val="15"/>
              </w:rPr>
              <w:t>Industry established by Ashadh 2082 for production/assembly of electric vehicles</w:t>
            </w:r>
          </w:p>
        </w:tc>
        <w:tc>
          <w:tcPr>
            <w:tcW w:type="dxa" w:w="2232"/>
            <w:vAlign w:val="top"/>
          </w:tcPr>
          <w:p>
            <w:pPr>
              <w:spacing w:after="0" w:line="240" w:lineRule="auto"/>
            </w:pPr>
            <w:r/>
            <w:r>
              <w:rPr>
                <w:rFonts w:ascii="Times New Roman" w:hAnsi="Times New Roman" w:eastAsia="Times New Roman"/>
                <w:b w:val="0"/>
                <w:sz w:val="15"/>
              </w:rPr>
              <w:t>40% concession for 5 years</w:t>
            </w:r>
          </w:p>
        </w:tc>
      </w:tr>
      <w:tr>
        <w:tc>
          <w:tcPr>
            <w:tcW w:type="dxa" w:w="1440"/>
            <w:vAlign w:val="top"/>
          </w:tcPr>
          <w:p>
            <w:pPr>
              <w:spacing w:after="0" w:line="240" w:lineRule="auto"/>
            </w:pPr>
            <w:r/>
            <w:r>
              <w:rPr>
                <w:rFonts w:ascii="Times New Roman" w:hAnsi="Times New Roman" w:eastAsia="Times New Roman"/>
                <w:b w:val="0"/>
                <w:sz w:val="15"/>
              </w:rPr>
              <w:t>11(3म)</w:t>
            </w:r>
          </w:p>
        </w:tc>
        <w:tc>
          <w:tcPr>
            <w:tcW w:type="dxa" w:w="6696"/>
            <w:vAlign w:val="top"/>
          </w:tcPr>
          <w:p>
            <w:pPr>
              <w:spacing w:after="0" w:line="240" w:lineRule="auto"/>
            </w:pPr>
            <w:r/>
            <w:r>
              <w:rPr>
                <w:rFonts w:ascii="Times New Roman" w:hAnsi="Times New Roman" w:eastAsia="Times New Roman"/>
                <w:b w:val="0"/>
                <w:sz w:val="15"/>
              </w:rPr>
              <w:t>Industry established by Ashadh 2080 for production of agricultural tools</w:t>
            </w:r>
          </w:p>
        </w:tc>
        <w:tc>
          <w:tcPr>
            <w:tcW w:type="dxa" w:w="2232"/>
            <w:vAlign w:val="top"/>
          </w:tcPr>
          <w:p>
            <w:pPr>
              <w:spacing w:after="0" w:line="240" w:lineRule="auto"/>
            </w:pPr>
            <w:r/>
            <w:r>
              <w:rPr>
                <w:rFonts w:ascii="Times New Roman" w:hAnsi="Times New Roman" w:eastAsia="Times New Roman"/>
                <w:b w:val="0"/>
                <w:sz w:val="15"/>
              </w:rPr>
              <w:t>100% concession for 5 years</w:t>
            </w:r>
          </w:p>
        </w:tc>
      </w:tr>
      <w:tr>
        <w:tc>
          <w:tcPr>
            <w:tcW w:type="dxa" w:w="1440"/>
            <w:vAlign w:val="top"/>
          </w:tcPr>
          <w:p>
            <w:pPr>
              <w:spacing w:after="0" w:line="240" w:lineRule="auto"/>
            </w:pPr>
            <w:r/>
            <w:r>
              <w:rPr>
                <w:rFonts w:ascii="Times New Roman" w:hAnsi="Times New Roman" w:eastAsia="Times New Roman"/>
                <w:b w:val="0"/>
                <w:sz w:val="15"/>
              </w:rPr>
              <w:t>11(4)</w:t>
            </w:r>
          </w:p>
        </w:tc>
        <w:tc>
          <w:tcPr>
            <w:tcW w:type="dxa" w:w="6696"/>
            <w:vAlign w:val="top"/>
          </w:tcPr>
          <w:p>
            <w:pPr>
              <w:spacing w:after="0" w:line="240" w:lineRule="auto"/>
            </w:pPr>
            <w:r/>
            <w:r>
              <w:rPr>
                <w:rFonts w:ascii="Times New Roman" w:hAnsi="Times New Roman" w:eastAsia="Times New Roman"/>
                <w:b w:val="0"/>
                <w:sz w:val="15"/>
              </w:rPr>
              <w:t>Person carrying on separate transactions eligible for different concessions</w:t>
            </w:r>
          </w:p>
        </w:tc>
        <w:tc>
          <w:tcPr>
            <w:tcW w:type="dxa" w:w="2232"/>
            <w:vAlign w:val="top"/>
          </w:tcPr>
          <w:p>
            <w:pPr>
              <w:spacing w:after="0" w:line="240" w:lineRule="auto"/>
            </w:pPr>
            <w:r/>
            <w:r>
              <w:rPr>
                <w:rFonts w:ascii="Times New Roman" w:hAnsi="Times New Roman" w:eastAsia="Times New Roman"/>
                <w:b w:val="0"/>
                <w:sz w:val="15"/>
              </w:rPr>
              <w:t>Income must be computed as if separate persons derived separate incomes</w:t>
            </w:r>
          </w:p>
        </w:tc>
      </w:tr>
      <w:tr>
        <w:tc>
          <w:tcPr>
            <w:tcW w:type="dxa" w:w="1440"/>
            <w:vAlign w:val="top"/>
          </w:tcPr>
          <w:p>
            <w:pPr>
              <w:spacing w:after="0" w:line="240" w:lineRule="auto"/>
            </w:pPr>
            <w:r/>
            <w:r>
              <w:rPr>
                <w:rFonts w:ascii="Times New Roman" w:hAnsi="Times New Roman" w:eastAsia="Times New Roman"/>
                <w:b w:val="0"/>
                <w:sz w:val="15"/>
              </w:rPr>
              <w:t>11(5)</w:t>
            </w:r>
          </w:p>
        </w:tc>
        <w:tc>
          <w:tcPr>
            <w:tcW w:type="dxa" w:w="6696"/>
            <w:vAlign w:val="top"/>
          </w:tcPr>
          <w:p>
            <w:pPr>
              <w:spacing w:after="0" w:line="240" w:lineRule="auto"/>
            </w:pPr>
            <w:r/>
            <w:r>
              <w:rPr>
                <w:rFonts w:ascii="Times New Roman" w:hAnsi="Times New Roman" w:eastAsia="Times New Roman"/>
                <w:b w:val="0"/>
                <w:sz w:val="15"/>
              </w:rPr>
              <w:t>More than one concession available in respect of the same income</w:t>
            </w:r>
          </w:p>
        </w:tc>
        <w:tc>
          <w:tcPr>
            <w:tcW w:type="dxa" w:w="2232"/>
            <w:vAlign w:val="top"/>
          </w:tcPr>
          <w:p>
            <w:pPr>
              <w:spacing w:after="0" w:line="240" w:lineRule="auto"/>
            </w:pPr>
            <w:r/>
            <w:r>
              <w:rPr>
                <w:rFonts w:ascii="Times New Roman" w:hAnsi="Times New Roman" w:eastAsia="Times New Roman"/>
                <w:b w:val="0"/>
                <w:sz w:val="15"/>
              </w:rPr>
              <w:t>Only one concession chosen by the taxpayer is allowed, in addition to section 11(2b) where applicable</w:t>
            </w:r>
          </w:p>
        </w:tc>
      </w:tr>
      <w:tr>
        <w:tc>
          <w:tcPr>
            <w:tcW w:type="dxa" w:w="1440"/>
            <w:vAlign w:val="top"/>
          </w:tcPr>
          <w:p>
            <w:pPr>
              <w:spacing w:after="0" w:line="240" w:lineRule="auto"/>
            </w:pPr>
            <w:r/>
            <w:r>
              <w:rPr>
                <w:rFonts w:ascii="Times New Roman" w:hAnsi="Times New Roman" w:eastAsia="Times New Roman"/>
                <w:b w:val="0"/>
                <w:sz w:val="15"/>
              </w:rPr>
              <w:t>11A</w:t>
            </w:r>
          </w:p>
        </w:tc>
        <w:tc>
          <w:tcPr>
            <w:tcW w:type="dxa" w:w="6696"/>
            <w:vAlign w:val="top"/>
          </w:tcPr>
          <w:p>
            <w:pPr>
              <w:spacing w:after="0" w:line="240" w:lineRule="auto"/>
            </w:pPr>
            <w:r/>
            <w:r>
              <w:rPr>
                <w:rFonts w:ascii="Times New Roman" w:hAnsi="Times New Roman" w:eastAsia="Times New Roman"/>
                <w:b w:val="0"/>
                <w:sz w:val="15"/>
              </w:rPr>
              <w:t>Infrastructure construction and operation agreement with Government of Nepal</w:t>
            </w:r>
          </w:p>
        </w:tc>
        <w:tc>
          <w:tcPr>
            <w:tcW w:type="dxa" w:w="2232"/>
            <w:vAlign w:val="top"/>
          </w:tcPr>
          <w:p>
            <w:pPr>
              <w:spacing w:after="0" w:line="240" w:lineRule="auto"/>
            </w:pPr>
            <w:r/>
            <w:r>
              <w:rPr>
                <w:rFonts w:ascii="Times New Roman" w:hAnsi="Times New Roman" w:eastAsia="Times New Roman"/>
                <w:b w:val="0"/>
                <w:sz w:val="15"/>
              </w:rPr>
              <w:t>Tax concessions existing at the time of agreement may be enjoyed for the agreement period</w:t>
            </w:r>
          </w:p>
        </w:tc>
      </w:tr>
    </w:tbl>
    <w:p/>
    <w:p>
      <w:pPr>
        <w:spacing w:after="80" w:line="252" w:lineRule="auto"/>
        <w:jc w:val="center"/>
      </w:pPr>
      <w:r>
        <w:rPr>
          <w:rFonts w:ascii="Times New Roman" w:hAnsi="Times New Roman" w:eastAsia="Times New Roman"/>
          <w:b w:val="0"/>
          <w:i/>
          <w:sz w:val="21"/>
        </w:rPr>
        <w:t>End of Chapter 23</w:t>
      </w:r>
    </w:p>
    <w:p>
      <w:r>
        <w:br w:type="page"/>
      </w:r>
    </w:p>
    <w:p>
      <w:pPr>
        <w:pStyle w:val="Title"/>
        <w:spacing w:after="80" w:line="252" w:lineRule="auto"/>
        <w:jc w:val="center"/>
      </w:pPr>
      <w:r>
        <w:rPr>
          <w:rFonts w:ascii="Times New Roman" w:hAnsi="Times New Roman" w:eastAsia="Times New Roman"/>
          <w:b w:val="0"/>
          <w:i w:val="0"/>
        </w:rPr>
        <w:t>Income Tax Directive, 2066 (with Fifth Amendment, 2081)</w:t>
      </w:r>
    </w:p>
    <w:p>
      <w:pPr>
        <w:pStyle w:val="Title"/>
        <w:spacing w:after="80" w:line="252" w:lineRule="auto"/>
        <w:jc w:val="center"/>
      </w:pPr>
      <w:r>
        <w:rPr>
          <w:rFonts w:ascii="Times New Roman" w:hAnsi="Times New Roman" w:eastAsia="Times New Roman"/>
          <w:b w:val="0"/>
          <w:i w:val="0"/>
        </w:rPr>
        <w:t>English Translation - Part 24</w:t>
      </w:r>
    </w:p>
    <w:p>
      <w:pPr>
        <w:pStyle w:val="Heading1"/>
        <w:spacing w:after="80" w:line="252" w:lineRule="auto"/>
        <w:jc w:val="center"/>
      </w:pPr>
      <w:r>
        <w:rPr>
          <w:rFonts w:ascii="Times New Roman" w:hAnsi="Times New Roman" w:eastAsia="Times New Roman"/>
          <w:b w:val="0"/>
          <w:i w:val="0"/>
        </w:rPr>
        <w:t>Chapter 24: Instalment and Advance Tax</w:t>
      </w:r>
    </w:p>
    <w:p>
      <w:pPr>
        <w:spacing w:after="80" w:line="252" w:lineRule="auto"/>
        <w:jc w:val="center"/>
      </w:pPr>
      <w:r>
        <w:rPr>
          <w:rFonts w:ascii="Times New Roman" w:hAnsi="Times New Roman" w:eastAsia="Times New Roman"/>
          <w:b w:val="0"/>
          <w:i/>
          <w:sz w:val="21"/>
        </w:rPr>
        <w:t>Source pages: Directive pages 514-534</w:t>
      </w:r>
    </w:p>
    <w:p>
      <w:pPr>
        <w:spacing w:after="80" w:line="252" w:lineRule="auto"/>
      </w:pPr>
      <w:r>
        <w:rPr>
          <w:rFonts w:ascii="Times New Roman" w:hAnsi="Times New Roman" w:eastAsia="Times New Roman"/>
          <w:b w:val="0"/>
          <w:i/>
          <w:sz w:val="21"/>
        </w:rPr>
        <w:t>Note: This working translation follows the sequence, headings, examples and tabular presentation of the Nepali directive as far as practicable in Word format. Statutory expressions have been aligned with the official English terminology of the Income Tax Act, 2002 (2058) where applicable.</w:t>
      </w:r>
    </w:p>
    <w:p>
      <w:r>
        <w:br w:type="page"/>
      </w:r>
    </w:p>
    <w:p>
      <w:pPr>
        <w:pStyle w:val="Heading1"/>
        <w:spacing w:after="80" w:line="252" w:lineRule="auto"/>
        <w:jc w:val="center"/>
      </w:pPr>
      <w:r>
        <w:rPr>
          <w:rFonts w:ascii="Times New Roman" w:hAnsi="Times New Roman" w:eastAsia="Times New Roman"/>
          <w:b w:val="0"/>
          <w:i w:val="0"/>
        </w:rPr>
        <w:t>Chapter 24</w:t>
      </w:r>
    </w:p>
    <w:p>
      <w:pPr>
        <w:pStyle w:val="Heading1"/>
        <w:spacing w:after="80" w:line="252" w:lineRule="auto"/>
        <w:jc w:val="center"/>
      </w:pPr>
      <w:r>
        <w:rPr>
          <w:rFonts w:ascii="Times New Roman" w:hAnsi="Times New Roman" w:eastAsia="Times New Roman"/>
          <w:b w:val="0"/>
          <w:i w:val="0"/>
        </w:rPr>
        <w:t>Instalment and Advance Tax</w:t>
      </w:r>
    </w:p>
    <w:p>
      <w:pPr>
        <w:pStyle w:val="Heading2"/>
        <w:spacing w:after="80" w:line="252" w:lineRule="auto"/>
      </w:pPr>
      <w:r>
        <w:rPr>
          <w:rFonts w:ascii="Times New Roman" w:hAnsi="Times New Roman" w:eastAsia="Times New Roman"/>
          <w:b w:val="0"/>
          <w:i w:val="0"/>
        </w:rPr>
        <w:t>24.1 Introduction</w:t>
      </w:r>
    </w:p>
    <w:p>
      <w:pPr>
        <w:spacing w:after="80" w:line="252" w:lineRule="auto"/>
      </w:pPr>
      <w:r>
        <w:rPr>
          <w:rFonts w:ascii="Times New Roman" w:hAnsi="Times New Roman" w:eastAsia="Times New Roman"/>
          <w:b w:val="0"/>
          <w:i w:val="0"/>
          <w:sz w:val="21"/>
        </w:rPr>
        <w:t>The Income Tax Act, 2058 adopts the Pay As You Earn principle: tax should be paid when income is derived and to the extent income is derived. On this basis, the Act requires a person carrying on business or investment to estimate the total tax payable for an income year and deposit that estimated tax in instalments during the same year. A person having assessable income from business or investment, a foreign permanent establishment of a non-resident person situated in Nepal, and a foreign permanent establishment that repatriates income from Nepal must comply with the provisions on instalment tax and estimated tax statements. This chapter explains Chapter 18 of the Act on estimated tax statements, computation of estimated tax and payment of instalments.</w:t>
      </w:r>
    </w:p>
    <w:p>
      <w:pPr>
        <w:pStyle w:val="Heading2"/>
        <w:spacing w:after="80" w:line="252" w:lineRule="auto"/>
      </w:pPr>
      <w:r>
        <w:rPr>
          <w:rFonts w:ascii="Times New Roman" w:hAnsi="Times New Roman" w:eastAsia="Times New Roman"/>
          <w:b w:val="0"/>
          <w:i w:val="0"/>
        </w:rPr>
        <w:t>24.2 Person required to pay tax by instalment and submit estimated tax statement</w:t>
      </w:r>
    </w:p>
    <w:p>
      <w:pPr>
        <w:spacing w:after="80" w:line="252" w:lineRule="auto"/>
      </w:pPr>
      <w:r>
        <w:rPr>
          <w:rFonts w:ascii="Times New Roman" w:hAnsi="Times New Roman" w:eastAsia="Times New Roman"/>
          <w:b w:val="0"/>
          <w:i w:val="0"/>
          <w:sz w:val="21"/>
        </w:rPr>
        <w:t>Every person required to pay instalments in an income year must submit an estimated tax statement by the date on which the first instalment is due. Under section 95(1), the statement must be filed in the prescribed form and manner and must include the following estimates:</w:t>
      </w:r>
    </w:p>
    <w:p>
      <w:pPr>
        <w:pStyle w:val="ListBullet"/>
        <w:spacing w:after="80" w:line="252" w:lineRule="auto"/>
      </w:pPr>
      <w:r>
        <w:rPr>
          <w:rFonts w:ascii="Times New Roman" w:hAnsi="Times New Roman" w:eastAsia="Times New Roman"/>
          <w:b w:val="0"/>
          <w:i w:val="0"/>
        </w:rPr>
        <w:t>assessable income expected from each source of employment, business and investment and the source of such income;</w:t>
      </w:r>
    </w:p>
    <w:p>
      <w:pPr>
        <w:pStyle w:val="ListBullet"/>
        <w:spacing w:after="80" w:line="252" w:lineRule="auto"/>
      </w:pPr>
      <w:r>
        <w:rPr>
          <w:rFonts w:ascii="Times New Roman" w:hAnsi="Times New Roman" w:eastAsia="Times New Roman"/>
          <w:b w:val="0"/>
          <w:i w:val="0"/>
        </w:rPr>
        <w:t>taxable income expected for the year and the amount of tax payable under section 4, before reducing medical-treatment tax credit;</w:t>
      </w:r>
    </w:p>
    <w:p>
      <w:pPr>
        <w:pStyle w:val="ListBullet"/>
        <w:spacing w:after="80" w:line="252" w:lineRule="auto"/>
      </w:pPr>
      <w:r>
        <w:rPr>
          <w:rFonts w:ascii="Times New Roman" w:hAnsi="Times New Roman" w:eastAsia="Times New Roman"/>
          <w:b w:val="0"/>
          <w:i w:val="0"/>
        </w:rPr>
        <w:t>in the case of a foreign permanent establishment in Nepal of a non-resident person, income expected to be repatriated during the year and tax payable under section 4(5); and</w:t>
      </w:r>
    </w:p>
    <w:p>
      <w:pPr>
        <w:pStyle w:val="ListBullet"/>
        <w:spacing w:after="80" w:line="252" w:lineRule="auto"/>
      </w:pPr>
      <w:r>
        <w:rPr>
          <w:rFonts w:ascii="Times New Roman" w:hAnsi="Times New Roman" w:eastAsia="Times New Roman"/>
          <w:b w:val="0"/>
          <w:i w:val="0"/>
        </w:rPr>
        <w:t>any other information specified by the Department.</w:t>
      </w:r>
    </w:p>
    <w:p>
      <w:pPr>
        <w:spacing w:after="80" w:line="252" w:lineRule="auto"/>
      </w:pPr>
      <w:r>
        <w:rPr>
          <w:rFonts w:ascii="Times New Roman" w:hAnsi="Times New Roman" w:eastAsia="Times New Roman"/>
          <w:b w:val="0"/>
          <w:i w:val="0"/>
          <w:sz w:val="21"/>
        </w:rPr>
        <w:t>Rule 34 requires the estimated tax statement to be filed in the format of Schedule 2 of the Rules. In practice, the statement is to be filed by the end of Poush, the due date of the first instalment. Taxpayers are allowed to submit the statement electronically. Where a business is registered after Poush but before Chaitra, the statement should be filed within Chaitra; where it is registered after Chaitra, it should be filed within Ashadh.</w:t>
      </w:r>
    </w:p>
    <w:p>
      <w:pPr>
        <w:pStyle w:val="Heading2"/>
        <w:spacing w:after="80" w:line="252" w:lineRule="auto"/>
      </w:pPr>
      <w:r>
        <w:rPr>
          <w:rFonts w:ascii="Times New Roman" w:hAnsi="Times New Roman" w:eastAsia="Times New Roman"/>
          <w:b w:val="0"/>
          <w:i w:val="0"/>
        </w:rPr>
        <w:t>24.3 Persons not required to pay instalment tax</w:t>
      </w:r>
    </w:p>
    <w:p>
      <w:pPr>
        <w:spacing w:after="80" w:line="252" w:lineRule="auto"/>
      </w:pPr>
      <w:r>
        <w:rPr>
          <w:rFonts w:ascii="Times New Roman" w:hAnsi="Times New Roman" w:eastAsia="Times New Roman"/>
          <w:b w:val="0"/>
          <w:i w:val="0"/>
          <w:sz w:val="21"/>
        </w:rPr>
        <w:t>The Directive lists the following persons as not required to deposit tax by instalment.</w:t>
      </w:r>
    </w:p>
    <w:tbl>
      <w:tblPr>
        <w:tblStyle w:val="TableGrid"/>
        <w:tblW w:type="auto" w:w="0"/>
        <w:jc w:val="center"/>
        <w:tblLook w:firstColumn="1" w:firstRow="1" w:lastColumn="0" w:lastRow="0" w:noHBand="0" w:noVBand="1" w:val="04A0"/>
      </w:tblPr>
      <w:tblGrid>
        <w:gridCol w:w="4946"/>
        <w:gridCol w:w="4946"/>
      </w:tblGrid>
      <w:tr>
        <w:trPr>
          <w:tblHeader w:val="true"/>
        </w:trPr>
        <w:tc>
          <w:tcPr>
            <w:tcW w:type="dxa" w:w="4032"/>
            <w:vAlign w:val="top"/>
            <w:shd w:fill="D9EAF7"/>
          </w:tcPr>
          <w:p>
            <w:pPr>
              <w:spacing w:after="0" w:line="240" w:lineRule="auto"/>
            </w:pPr>
            <w:r/>
            <w:r>
              <w:rPr>
                <w:rFonts w:ascii="Times New Roman" w:hAnsi="Times New Roman" w:eastAsia="Times New Roman"/>
                <w:b/>
                <w:sz w:val="16"/>
              </w:rPr>
              <w:t>Person / situation</w:t>
            </w:r>
          </w:p>
        </w:tc>
        <w:tc>
          <w:tcPr>
            <w:tcW w:type="dxa" w:w="6048"/>
            <w:vAlign w:val="top"/>
            <w:shd w:fill="D9EAF7"/>
          </w:tcPr>
          <w:p>
            <w:pPr>
              <w:spacing w:after="0" w:line="240" w:lineRule="auto"/>
            </w:pPr>
            <w:r/>
            <w:r>
              <w:rPr>
                <w:rFonts w:ascii="Times New Roman" w:hAnsi="Times New Roman" w:eastAsia="Times New Roman"/>
                <w:b/>
                <w:sz w:val="16"/>
              </w:rPr>
              <w:t>Reason / treatment</w:t>
            </w:r>
          </w:p>
        </w:tc>
      </w:tr>
      <w:tr>
        <w:tc>
          <w:tcPr>
            <w:tcW w:type="dxa" w:w="4032"/>
            <w:vAlign w:val="top"/>
          </w:tcPr>
          <w:p>
            <w:pPr>
              <w:spacing w:after="0" w:line="240" w:lineRule="auto"/>
            </w:pPr>
            <w:r/>
            <w:r>
              <w:rPr>
                <w:rFonts w:ascii="Times New Roman" w:hAnsi="Times New Roman" w:eastAsia="Times New Roman"/>
                <w:b w:val="0"/>
                <w:sz w:val="16"/>
              </w:rPr>
              <w:t>Person whose total instalment amount is less than Rs. 7,500</w:t>
            </w:r>
          </w:p>
        </w:tc>
        <w:tc>
          <w:tcPr>
            <w:tcW w:type="dxa" w:w="6048"/>
            <w:vAlign w:val="top"/>
          </w:tcPr>
          <w:p>
            <w:pPr>
              <w:spacing w:after="0" w:line="240" w:lineRule="auto"/>
            </w:pPr>
            <w:r/>
            <w:r>
              <w:rPr>
                <w:rFonts w:ascii="Times New Roman" w:hAnsi="Times New Roman" w:eastAsia="Times New Roman"/>
                <w:b w:val="0"/>
                <w:sz w:val="16"/>
              </w:rPr>
              <w:t>Under section 94(2), where the total amount of instalments payable under section 94(1) is less than Rs. 7,500, instalment payment is not required.</w:t>
            </w:r>
          </w:p>
        </w:tc>
      </w:tr>
      <w:tr>
        <w:tc>
          <w:tcPr>
            <w:tcW w:type="dxa" w:w="4032"/>
            <w:vAlign w:val="top"/>
          </w:tcPr>
          <w:p>
            <w:pPr>
              <w:spacing w:after="0" w:line="240" w:lineRule="auto"/>
            </w:pPr>
            <w:r/>
            <w:r>
              <w:rPr>
                <w:rFonts w:ascii="Times New Roman" w:hAnsi="Times New Roman" w:eastAsia="Times New Roman"/>
                <w:b w:val="0"/>
                <w:sz w:val="16"/>
              </w:rPr>
              <w:t>Presumptive-tax taxpayer under section 4(4)</w:t>
            </w:r>
          </w:p>
        </w:tc>
        <w:tc>
          <w:tcPr>
            <w:tcW w:type="dxa" w:w="6048"/>
            <w:vAlign w:val="top"/>
          </w:tcPr>
          <w:p>
            <w:pPr>
              <w:spacing w:after="0" w:line="240" w:lineRule="auto"/>
            </w:pPr>
            <w:r/>
            <w:r>
              <w:rPr>
                <w:rFonts w:ascii="Times New Roman" w:hAnsi="Times New Roman" w:eastAsia="Times New Roman"/>
                <w:b w:val="0"/>
                <w:sz w:val="16"/>
              </w:rPr>
              <w:t>A resident natural person satisfying the presumptive-tax conditions does not file instalment tax and estimated tax statements. This includes the taxpayer having only Nepal-source business income, business income up to Rs. 300,000 and turnover not exceeding Rs. 3 million, without claiming medical tax credit or advance-tax credit.</w:t>
            </w:r>
          </w:p>
        </w:tc>
      </w:tr>
      <w:tr>
        <w:tc>
          <w:tcPr>
            <w:tcW w:type="dxa" w:w="4032"/>
            <w:vAlign w:val="top"/>
          </w:tcPr>
          <w:p>
            <w:pPr>
              <w:spacing w:after="0" w:line="240" w:lineRule="auto"/>
            </w:pPr>
            <w:r/>
            <w:r>
              <w:rPr>
                <w:rFonts w:ascii="Times New Roman" w:hAnsi="Times New Roman" w:eastAsia="Times New Roman"/>
                <w:b w:val="0"/>
                <w:sz w:val="16"/>
              </w:rPr>
              <w:t>Turnover-based taxpayer under section 4(4a)</w:t>
            </w:r>
          </w:p>
        </w:tc>
        <w:tc>
          <w:tcPr>
            <w:tcW w:type="dxa" w:w="6048"/>
            <w:vAlign w:val="top"/>
          </w:tcPr>
          <w:p>
            <w:pPr>
              <w:spacing w:after="0" w:line="240" w:lineRule="auto"/>
            </w:pPr>
            <w:r/>
            <w:r>
              <w:rPr>
                <w:rFonts w:ascii="Times New Roman" w:hAnsi="Times New Roman" w:eastAsia="Times New Roman"/>
                <w:b w:val="0"/>
                <w:sz w:val="16"/>
              </w:rPr>
              <w:t>Such taxpayer deposits tax in two instalments: by the end of Poush and by the end of Ashadh, according to actual and estimated turnover.</w:t>
            </w:r>
          </w:p>
        </w:tc>
      </w:tr>
      <w:tr>
        <w:tc>
          <w:tcPr>
            <w:tcW w:type="dxa" w:w="4032"/>
            <w:vAlign w:val="top"/>
          </w:tcPr>
          <w:p>
            <w:pPr>
              <w:spacing w:after="0" w:line="240" w:lineRule="auto"/>
            </w:pPr>
            <w:r/>
            <w:r>
              <w:rPr>
                <w:rFonts w:ascii="Times New Roman" w:hAnsi="Times New Roman" w:eastAsia="Times New Roman"/>
                <w:b w:val="0"/>
                <w:sz w:val="16"/>
              </w:rPr>
              <w:t>Person receiving only payments subject to final withholding</w:t>
            </w:r>
          </w:p>
        </w:tc>
        <w:tc>
          <w:tcPr>
            <w:tcW w:type="dxa" w:w="6048"/>
            <w:vAlign w:val="top"/>
          </w:tcPr>
          <w:p>
            <w:pPr>
              <w:spacing w:after="0" w:line="240" w:lineRule="auto"/>
            </w:pPr>
            <w:r/>
            <w:r>
              <w:rPr>
                <w:rFonts w:ascii="Times New Roman" w:hAnsi="Times New Roman" w:eastAsia="Times New Roman"/>
                <w:b w:val="0"/>
                <w:sz w:val="16"/>
              </w:rPr>
              <w:t>Examples include dividend from a resident company subject to final withholding, life-insurance payment, retirement payment, interest from bank or financial institution, payments received by non-resident persons, and meeting allowance up to Rs. 20,000 per meeting subject to final withholding.</w:t>
            </w:r>
          </w:p>
        </w:tc>
      </w:tr>
      <w:tr>
        <w:tc>
          <w:tcPr>
            <w:tcW w:type="dxa" w:w="4032"/>
            <w:vAlign w:val="top"/>
          </w:tcPr>
          <w:p>
            <w:pPr>
              <w:spacing w:after="0" w:line="240" w:lineRule="auto"/>
            </w:pPr>
            <w:r/>
            <w:r>
              <w:rPr>
                <w:rFonts w:ascii="Times New Roman" w:hAnsi="Times New Roman" w:eastAsia="Times New Roman"/>
                <w:b w:val="0"/>
                <w:sz w:val="16"/>
              </w:rPr>
              <w:t>Person having only employment income</w:t>
            </w:r>
          </w:p>
        </w:tc>
        <w:tc>
          <w:tcPr>
            <w:tcW w:type="dxa" w:w="6048"/>
            <w:vAlign w:val="top"/>
          </w:tcPr>
          <w:p>
            <w:pPr>
              <w:spacing w:after="0" w:line="240" w:lineRule="auto"/>
            </w:pPr>
            <w:r/>
            <w:r>
              <w:rPr>
                <w:rFonts w:ascii="Times New Roman" w:hAnsi="Times New Roman" w:eastAsia="Times New Roman"/>
                <w:b w:val="0"/>
                <w:sz w:val="16"/>
              </w:rPr>
              <w:t>A person having only employment income does not pay instalment tax. The resident employer withholds annual tax proportionately on a monthly basis.</w:t>
            </w:r>
          </w:p>
        </w:tc>
      </w:tr>
      <w:tr>
        <w:tc>
          <w:tcPr>
            <w:tcW w:type="dxa" w:w="4032"/>
            <w:vAlign w:val="top"/>
          </w:tcPr>
          <w:p>
            <w:pPr>
              <w:spacing w:after="0" w:line="240" w:lineRule="auto"/>
            </w:pPr>
            <w:r/>
            <w:r>
              <w:rPr>
                <w:rFonts w:ascii="Times New Roman" w:hAnsi="Times New Roman" w:eastAsia="Times New Roman"/>
                <w:b w:val="0"/>
                <w:sz w:val="16"/>
              </w:rPr>
              <w:t>Person having only windfall gain taxed finally</w:t>
            </w:r>
          </w:p>
        </w:tc>
        <w:tc>
          <w:tcPr>
            <w:tcW w:type="dxa" w:w="6048"/>
            <w:vAlign w:val="top"/>
          </w:tcPr>
          <w:p>
            <w:pPr>
              <w:spacing w:after="0" w:line="240" w:lineRule="auto"/>
            </w:pPr>
            <w:r/>
            <w:r>
              <w:rPr>
                <w:rFonts w:ascii="Times New Roman" w:hAnsi="Times New Roman" w:eastAsia="Times New Roman"/>
                <w:b w:val="0"/>
                <w:sz w:val="16"/>
              </w:rPr>
              <w:t>Tax withheld on windfall gain is final in the cases explained in the Directive.</w:t>
            </w:r>
          </w:p>
        </w:tc>
      </w:tr>
    </w:tbl>
    <w:p/>
    <w:p>
      <w:pPr>
        <w:pStyle w:val="Heading3"/>
        <w:spacing w:after="80" w:line="252" w:lineRule="auto"/>
      </w:pPr>
      <w:r>
        <w:rPr>
          <w:rFonts w:ascii="Times New Roman" w:hAnsi="Times New Roman" w:eastAsia="Times New Roman"/>
          <w:b w:val="0"/>
          <w:i w:val="0"/>
        </w:rPr>
        <w:t>Example 24.3.1</w:t>
      </w:r>
    </w:p>
    <w:p>
      <w:pPr>
        <w:spacing w:after="80" w:line="252" w:lineRule="auto"/>
      </w:pPr>
      <w:r>
        <w:rPr>
          <w:rFonts w:ascii="Times New Roman" w:hAnsi="Times New Roman" w:eastAsia="Times New Roman"/>
          <w:b w:val="0"/>
          <w:i w:val="0"/>
          <w:sz w:val="21"/>
        </w:rPr>
        <w:t>Ram Hari Agrawal operates a pan shop in Kathmandu. If his annual estimated tax for income year 2080/81, based on turnover up to Poush 25, is only Rs. 7,000, he is not required to pay instalments by the end of Poush, Chaitra or Ashadh because the total instalment amount is less than Rs. 7,500.</w:t>
      </w:r>
    </w:p>
    <w:p>
      <w:pPr>
        <w:pStyle w:val="Heading3"/>
        <w:spacing w:after="80" w:line="252" w:lineRule="auto"/>
      </w:pPr>
      <w:r>
        <w:rPr>
          <w:rFonts w:ascii="Times New Roman" w:hAnsi="Times New Roman" w:eastAsia="Times New Roman"/>
          <w:b w:val="0"/>
          <w:i w:val="0"/>
        </w:rPr>
        <w:t>Example 24.3.2</w:t>
      </w:r>
    </w:p>
    <w:p>
      <w:pPr>
        <w:spacing w:after="80" w:line="252" w:lineRule="auto"/>
      </w:pPr>
      <w:r>
        <w:rPr>
          <w:rFonts w:ascii="Times New Roman" w:hAnsi="Times New Roman" w:eastAsia="Times New Roman"/>
          <w:b w:val="0"/>
          <w:i w:val="0"/>
          <w:sz w:val="21"/>
        </w:rPr>
        <w:t>Ramesh Shrestha operates a grocery shop in Lalitpur Sub-metropolitan City. His turnover for income year 2080/81 is Rs. 2 million and his business profit is Rs. 200,000. He supplied goods of Rs. 60,000 to a company, which withheld Rs. 9,000 at 15%, and he spent Rs. 2,000 on approved medical treatment. If he chooses presumptive tax under Schedule 1, section 1(7), he does not submit instalment tax or estimated tax statements; however, he cannot claim medical tax credit of Rs. 300 or credit for the advance tax withheld.</w:t>
      </w:r>
    </w:p>
    <w:p>
      <w:pPr>
        <w:pStyle w:val="Heading3"/>
        <w:spacing w:after="80" w:line="252" w:lineRule="auto"/>
      </w:pPr>
      <w:r>
        <w:rPr>
          <w:rFonts w:ascii="Times New Roman" w:hAnsi="Times New Roman" w:eastAsia="Times New Roman"/>
          <w:b w:val="0"/>
          <w:i w:val="0"/>
        </w:rPr>
        <w:t>Example 24.3.3</w:t>
      </w:r>
    </w:p>
    <w:p>
      <w:pPr>
        <w:spacing w:after="80" w:line="252" w:lineRule="auto"/>
      </w:pPr>
      <w:r>
        <w:rPr>
          <w:rFonts w:ascii="Times New Roman" w:hAnsi="Times New Roman" w:eastAsia="Times New Roman"/>
          <w:b w:val="0"/>
          <w:i w:val="0"/>
          <w:sz w:val="21"/>
        </w:rPr>
        <w:t>An employee having only Nepal-source employment income, one resident employer at a time, and no deductions other than employer-paid medical-treatment tax credit and employer-paid retirement contribution is not required to pay instalment tax, because tax withheld under section 87 equals the person's tax payable under section 4(3).</w:t>
      </w:r>
    </w:p>
    <w:p>
      <w:pPr>
        <w:pStyle w:val="Heading3"/>
        <w:spacing w:after="80" w:line="252" w:lineRule="auto"/>
      </w:pPr>
      <w:r>
        <w:rPr>
          <w:rFonts w:ascii="Times New Roman" w:hAnsi="Times New Roman" w:eastAsia="Times New Roman"/>
          <w:b w:val="0"/>
          <w:i w:val="0"/>
        </w:rPr>
        <w:t>Examples 24.3.4 to 24.3.6</w:t>
      </w:r>
    </w:p>
    <w:p>
      <w:pPr>
        <w:spacing w:after="80" w:line="252" w:lineRule="auto"/>
      </w:pPr>
      <w:r>
        <w:rPr>
          <w:rFonts w:ascii="Times New Roman" w:hAnsi="Times New Roman" w:eastAsia="Times New Roman"/>
          <w:b w:val="0"/>
          <w:i w:val="0"/>
          <w:sz w:val="21"/>
        </w:rPr>
        <w:t>Where a person receives a prize or casino gain and tax is withheld as final tax, the recipient is not required to file instalment statements for that income. However, if a resident person earns a windfall or similar income from a foreign source, the gross foreign income must be included in the estimated and annual income statements; tax paid abroad may be claimed as foreign tax adjustment under section 71, subject to the Act.</w:t>
      </w:r>
    </w:p>
    <w:p>
      <w:pPr>
        <w:pStyle w:val="Heading2"/>
        <w:spacing w:after="80" w:line="252" w:lineRule="auto"/>
      </w:pPr>
      <w:r>
        <w:rPr>
          <w:rFonts w:ascii="Times New Roman" w:hAnsi="Times New Roman" w:eastAsia="Times New Roman"/>
          <w:b w:val="0"/>
          <w:i w:val="0"/>
        </w:rPr>
        <w:t>24.4 Computation of assessable income and taxable income</w:t>
      </w:r>
    </w:p>
    <w:p>
      <w:pPr>
        <w:spacing w:after="80" w:line="252" w:lineRule="auto"/>
      </w:pPr>
      <w:r>
        <w:rPr>
          <w:rFonts w:ascii="Times New Roman" w:hAnsi="Times New Roman" w:eastAsia="Times New Roman"/>
          <w:b w:val="0"/>
          <w:i w:val="0"/>
          <w:sz w:val="21"/>
        </w:rPr>
        <w:t>The estimated tax statement requires the taxpayer to estimate assessable income and taxable income for the income year. Section 6 treats as assessable income the income of a resident person from employment, business, investment or windfall gain wherever the source is located, and the income of a non-resident person from Nepal-source employment, business, investment or windfall gain. Income exempt under section 11 or section 64 is not included in assessable income. Taxable income is computed after reducing deductible donations and approved retirement fund contributions, as explained in Chapter 5 of the Directive.</w:t>
      </w:r>
    </w:p>
    <w:p>
      <w:pPr>
        <w:pStyle w:val="Heading2"/>
        <w:spacing w:after="80" w:line="252" w:lineRule="auto"/>
      </w:pPr>
      <w:r>
        <w:rPr>
          <w:rFonts w:ascii="Times New Roman" w:hAnsi="Times New Roman" w:eastAsia="Times New Roman"/>
          <w:b w:val="0"/>
          <w:i w:val="0"/>
        </w:rPr>
        <w:t>24.5 Computation of estimated tax</w:t>
      </w:r>
    </w:p>
    <w:p>
      <w:pPr>
        <w:spacing w:after="80" w:line="252" w:lineRule="auto"/>
      </w:pPr>
      <w:r>
        <w:rPr>
          <w:rFonts w:ascii="Times New Roman" w:hAnsi="Times New Roman" w:eastAsia="Times New Roman"/>
          <w:b w:val="0"/>
          <w:i w:val="0"/>
          <w:sz w:val="21"/>
        </w:rPr>
        <w:t>After estimating taxable income from each head of income for the year, the taxpayer computes the estimated tax by applying the rates in Schedule 1 in the same manner as tax is computed under section 4. Estimated tax therefore means the tax obtained by multiplying the estimated taxable income by the applicable tax rate or rates. The computation rules are discussed in detail in Chapter 23.</w:t>
      </w:r>
    </w:p>
    <w:p>
      <w:pPr>
        <w:pStyle w:val="Heading2"/>
        <w:spacing w:after="80" w:line="252" w:lineRule="auto"/>
      </w:pPr>
      <w:r>
        <w:rPr>
          <w:rFonts w:ascii="Times New Roman" w:hAnsi="Times New Roman" w:eastAsia="Times New Roman"/>
          <w:b w:val="0"/>
          <w:i w:val="0"/>
        </w:rPr>
        <w:t>24.6 Computation of repatriated income and tax on such income</w:t>
      </w:r>
    </w:p>
    <w:p>
      <w:pPr>
        <w:spacing w:after="80" w:line="252" w:lineRule="auto"/>
      </w:pPr>
      <w:r>
        <w:rPr>
          <w:rFonts w:ascii="Times New Roman" w:hAnsi="Times New Roman" w:eastAsia="Times New Roman"/>
          <w:b w:val="0"/>
          <w:i w:val="0"/>
          <w:sz w:val="21"/>
        </w:rPr>
        <w:t>A person acting as a foreign permanent establishment in Nepal of a non-resident person must estimate and pay tax on income repatriated abroad. Repatriated income is the amount sent to the non-resident after paying Nepal tax on Nepal-source income. Tax on repatriated income is imposed at 5%.</w:t>
      </w:r>
    </w:p>
    <w:p>
      <w:pPr>
        <w:pStyle w:val="Heading3"/>
        <w:spacing w:after="80" w:line="252" w:lineRule="auto"/>
      </w:pPr>
      <w:r>
        <w:rPr>
          <w:rFonts w:ascii="Times New Roman" w:hAnsi="Times New Roman" w:eastAsia="Times New Roman"/>
          <w:b w:val="0"/>
          <w:i w:val="0"/>
        </w:rPr>
        <w:t>Example 24.6.1</w:t>
      </w:r>
    </w:p>
    <w:p>
      <w:pPr>
        <w:spacing w:after="80" w:line="252" w:lineRule="auto"/>
      </w:pPr>
      <w:r>
        <w:rPr>
          <w:rFonts w:ascii="Times New Roman" w:hAnsi="Times New Roman" w:eastAsia="Times New Roman"/>
          <w:b w:val="0"/>
          <w:i w:val="0"/>
          <w:sz w:val="21"/>
        </w:rPr>
        <w:t>The Nepal branch of American Life Insurance Company (ALICO), licensed to operate in Nepal, is a foreign permanent establishment of a non-resident person. If profit earned in Nepal is sent to the parent company because the branch itself cannot distribute such amount, the amount is treated as repatriated income and tax is payable at 5%.</w:t>
      </w:r>
    </w:p>
    <w:p>
      <w:pPr>
        <w:pStyle w:val="Heading2"/>
        <w:spacing w:after="80" w:line="252" w:lineRule="auto"/>
      </w:pPr>
      <w:r>
        <w:rPr>
          <w:rFonts w:ascii="Times New Roman" w:hAnsi="Times New Roman" w:eastAsia="Times New Roman"/>
          <w:b w:val="0"/>
          <w:i w:val="0"/>
        </w:rPr>
        <w:t>24.7 Computation of total estimated tax to be deposited</w:t>
      </w:r>
    </w:p>
    <w:p>
      <w:pPr>
        <w:spacing w:after="80" w:line="252" w:lineRule="auto"/>
      </w:pPr>
      <w:r>
        <w:rPr>
          <w:rFonts w:ascii="Times New Roman" w:hAnsi="Times New Roman" w:eastAsia="Times New Roman"/>
          <w:b w:val="0"/>
          <w:i w:val="0"/>
          <w:sz w:val="21"/>
        </w:rPr>
        <w:t>Under section 95(2), the estimated tax payable for the income year is the total of the tax computed on taxable income under section 95(1)(b) and the tax computed on repatriated income under section 95(1)(c).</w:t>
      </w:r>
    </w:p>
    <w:p>
      <w:pPr>
        <w:pStyle w:val="Heading3"/>
        <w:spacing w:after="80" w:line="252" w:lineRule="auto"/>
      </w:pPr>
      <w:r>
        <w:rPr>
          <w:rFonts w:ascii="Times New Roman" w:hAnsi="Times New Roman" w:eastAsia="Times New Roman"/>
          <w:b w:val="0"/>
          <w:i w:val="0"/>
        </w:rPr>
        <w:t>Example 24.7.1</w:t>
      </w:r>
    </w:p>
    <w:p>
      <w:pPr>
        <w:spacing w:after="80" w:line="252" w:lineRule="auto"/>
      </w:pPr>
      <w:r>
        <w:rPr>
          <w:rFonts w:ascii="Times New Roman" w:hAnsi="Times New Roman" w:eastAsia="Times New Roman"/>
          <w:b w:val="0"/>
          <w:i w:val="0"/>
          <w:sz w:val="21"/>
        </w:rPr>
        <w:t>Sagarmatha Pvt. Ltd. manufactures and sells juice. For income year 2080/81, it estimates taxable business income of Rs. 10,000,000. It has invested Rs. 50,000,000 in debentures of a Nepalese company and expects annual interest income of Rs. 5,000,000. Its estimated tax is computed as follows.</w:t>
      </w:r>
    </w:p>
    <w:tbl>
      <w:tblPr>
        <w:tblStyle w:val="TableGrid"/>
        <w:tblW w:type="auto" w:w="0"/>
        <w:jc w:val="center"/>
        <w:tblLook w:firstColumn="1" w:firstRow="1" w:lastColumn="0" w:lastRow="0" w:noHBand="0" w:noVBand="1" w:val="04A0"/>
      </w:tblPr>
      <w:tblGrid>
        <w:gridCol w:w="2473"/>
        <w:gridCol w:w="2473"/>
        <w:gridCol w:w="2473"/>
        <w:gridCol w:w="2473"/>
      </w:tblGrid>
      <w:tr>
        <w:trPr>
          <w:tblHeader w:val="true"/>
        </w:trPr>
        <w:tc>
          <w:tcPr>
            <w:tcW w:type="dxa" w:w="3168"/>
            <w:vAlign w:val="top"/>
            <w:shd w:fill="D9EAF7"/>
          </w:tcPr>
          <w:p>
            <w:pPr>
              <w:spacing w:after="0" w:line="240" w:lineRule="auto"/>
            </w:pPr>
            <w:r/>
            <w:r>
              <w:rPr>
                <w:rFonts w:ascii="Times New Roman" w:hAnsi="Times New Roman" w:eastAsia="Times New Roman"/>
                <w:b/>
                <w:sz w:val="16"/>
              </w:rPr>
              <w:t>Head of income</w:t>
            </w:r>
          </w:p>
        </w:tc>
        <w:tc>
          <w:tcPr>
            <w:tcW w:type="dxa" w:w="2880"/>
            <w:vAlign w:val="top"/>
            <w:shd w:fill="D9EAF7"/>
          </w:tcPr>
          <w:p>
            <w:pPr>
              <w:spacing w:after="0" w:line="240" w:lineRule="auto"/>
            </w:pPr>
            <w:r/>
            <w:r>
              <w:rPr>
                <w:rFonts w:ascii="Times New Roman" w:hAnsi="Times New Roman" w:eastAsia="Times New Roman"/>
                <w:b/>
                <w:sz w:val="16"/>
              </w:rPr>
              <w:t>Estimated taxable income</w:t>
            </w:r>
          </w:p>
        </w:tc>
        <w:tc>
          <w:tcPr>
            <w:tcW w:type="dxa" w:w="1728"/>
            <w:vAlign w:val="top"/>
            <w:shd w:fill="D9EAF7"/>
          </w:tcPr>
          <w:p>
            <w:pPr>
              <w:spacing w:after="0" w:line="240" w:lineRule="auto"/>
            </w:pPr>
            <w:r/>
            <w:r>
              <w:rPr>
                <w:rFonts w:ascii="Times New Roman" w:hAnsi="Times New Roman" w:eastAsia="Times New Roman"/>
                <w:b/>
                <w:sz w:val="16"/>
              </w:rPr>
              <w:t>Tax rate</w:t>
            </w:r>
          </w:p>
        </w:tc>
        <w:tc>
          <w:tcPr>
            <w:tcW w:type="dxa" w:w="2448"/>
            <w:vAlign w:val="top"/>
            <w:shd w:fill="D9EAF7"/>
          </w:tcPr>
          <w:p>
            <w:pPr>
              <w:spacing w:after="0" w:line="240" w:lineRule="auto"/>
            </w:pPr>
            <w:r/>
            <w:r>
              <w:rPr>
                <w:rFonts w:ascii="Times New Roman" w:hAnsi="Times New Roman" w:eastAsia="Times New Roman"/>
                <w:b/>
                <w:sz w:val="16"/>
              </w:rPr>
              <w:t>Estimated tax</w:t>
            </w:r>
          </w:p>
        </w:tc>
      </w:tr>
      <w:tr>
        <w:tc>
          <w:tcPr>
            <w:tcW w:type="dxa" w:w="3168"/>
            <w:vAlign w:val="top"/>
          </w:tcPr>
          <w:p>
            <w:pPr>
              <w:spacing w:after="0" w:line="240" w:lineRule="auto"/>
            </w:pPr>
            <w:r/>
            <w:r>
              <w:rPr>
                <w:rFonts w:ascii="Times New Roman" w:hAnsi="Times New Roman" w:eastAsia="Times New Roman"/>
                <w:b w:val="0"/>
                <w:sz w:val="16"/>
              </w:rPr>
              <w:t>Business</w:t>
            </w:r>
          </w:p>
        </w:tc>
        <w:tc>
          <w:tcPr>
            <w:tcW w:type="dxa" w:w="2880"/>
            <w:vAlign w:val="top"/>
          </w:tcPr>
          <w:p>
            <w:pPr>
              <w:spacing w:after="0" w:line="240" w:lineRule="auto"/>
            </w:pPr>
            <w:r/>
            <w:r>
              <w:rPr>
                <w:rFonts w:ascii="Times New Roman" w:hAnsi="Times New Roman" w:eastAsia="Times New Roman"/>
                <w:b w:val="0"/>
                <w:sz w:val="16"/>
              </w:rPr>
              <w:t>Rs. 10,000,000</w:t>
            </w:r>
          </w:p>
        </w:tc>
        <w:tc>
          <w:tcPr>
            <w:tcW w:type="dxa" w:w="1728"/>
            <w:vAlign w:val="top"/>
          </w:tcPr>
          <w:p>
            <w:pPr>
              <w:spacing w:after="0" w:line="240" w:lineRule="auto"/>
            </w:pPr>
            <w:r/>
            <w:r>
              <w:rPr>
                <w:rFonts w:ascii="Times New Roman" w:hAnsi="Times New Roman" w:eastAsia="Times New Roman"/>
                <w:b w:val="0"/>
                <w:sz w:val="16"/>
              </w:rPr>
              <w:t>20%</w:t>
            </w:r>
          </w:p>
        </w:tc>
        <w:tc>
          <w:tcPr>
            <w:tcW w:type="dxa" w:w="2448"/>
            <w:vAlign w:val="top"/>
          </w:tcPr>
          <w:p>
            <w:pPr>
              <w:spacing w:after="0" w:line="240" w:lineRule="auto"/>
            </w:pPr>
            <w:r/>
            <w:r>
              <w:rPr>
                <w:rFonts w:ascii="Times New Roman" w:hAnsi="Times New Roman" w:eastAsia="Times New Roman"/>
                <w:b w:val="0"/>
                <w:sz w:val="16"/>
              </w:rPr>
              <w:t>Rs. 2,000,000</w:t>
            </w:r>
          </w:p>
        </w:tc>
      </w:tr>
      <w:tr>
        <w:tc>
          <w:tcPr>
            <w:tcW w:type="dxa" w:w="3168"/>
            <w:vAlign w:val="top"/>
          </w:tcPr>
          <w:p>
            <w:pPr>
              <w:spacing w:after="0" w:line="240" w:lineRule="auto"/>
            </w:pPr>
            <w:r/>
            <w:r>
              <w:rPr>
                <w:rFonts w:ascii="Times New Roman" w:hAnsi="Times New Roman" w:eastAsia="Times New Roman"/>
                <w:b w:val="0"/>
                <w:sz w:val="16"/>
              </w:rPr>
              <w:t>Investment</w:t>
            </w:r>
          </w:p>
        </w:tc>
        <w:tc>
          <w:tcPr>
            <w:tcW w:type="dxa" w:w="2880"/>
            <w:vAlign w:val="top"/>
          </w:tcPr>
          <w:p>
            <w:pPr>
              <w:spacing w:after="0" w:line="240" w:lineRule="auto"/>
            </w:pPr>
            <w:r/>
            <w:r>
              <w:rPr>
                <w:rFonts w:ascii="Times New Roman" w:hAnsi="Times New Roman" w:eastAsia="Times New Roman"/>
                <w:b w:val="0"/>
                <w:sz w:val="16"/>
              </w:rPr>
              <w:t>Rs. 5,000,000</w:t>
            </w:r>
          </w:p>
        </w:tc>
        <w:tc>
          <w:tcPr>
            <w:tcW w:type="dxa" w:w="1728"/>
            <w:vAlign w:val="top"/>
          </w:tcPr>
          <w:p>
            <w:pPr>
              <w:spacing w:after="0" w:line="240" w:lineRule="auto"/>
            </w:pPr>
            <w:r/>
            <w:r>
              <w:rPr>
                <w:rFonts w:ascii="Times New Roman" w:hAnsi="Times New Roman" w:eastAsia="Times New Roman"/>
                <w:b w:val="0"/>
                <w:sz w:val="16"/>
              </w:rPr>
              <w:t>25%</w:t>
            </w:r>
          </w:p>
        </w:tc>
        <w:tc>
          <w:tcPr>
            <w:tcW w:type="dxa" w:w="2448"/>
            <w:vAlign w:val="top"/>
          </w:tcPr>
          <w:p>
            <w:pPr>
              <w:spacing w:after="0" w:line="240" w:lineRule="auto"/>
            </w:pPr>
            <w:r/>
            <w:r>
              <w:rPr>
                <w:rFonts w:ascii="Times New Roman" w:hAnsi="Times New Roman" w:eastAsia="Times New Roman"/>
                <w:b w:val="0"/>
                <w:sz w:val="16"/>
              </w:rPr>
              <w:t>Rs. 1,250,000</w:t>
            </w:r>
          </w:p>
        </w:tc>
      </w:tr>
      <w:tr>
        <w:tc>
          <w:tcPr>
            <w:tcW w:type="dxa" w:w="3168"/>
            <w:vAlign w:val="top"/>
          </w:tcPr>
          <w:p>
            <w:pPr>
              <w:spacing w:after="0" w:line="240" w:lineRule="auto"/>
            </w:pPr>
            <w:r/>
            <w:r>
              <w:rPr>
                <w:rFonts w:ascii="Times New Roman" w:hAnsi="Times New Roman" w:eastAsia="Times New Roman"/>
                <w:b w:val="0"/>
                <w:sz w:val="16"/>
              </w:rPr>
              <w:t>Total estimated tax</w:t>
            </w:r>
          </w:p>
        </w:tc>
        <w:tc>
          <w:tcPr>
            <w:tcW w:type="dxa" w:w="2880"/>
            <w:vAlign w:val="top"/>
          </w:tcPr>
          <w:p>
            <w:pPr>
              <w:spacing w:after="0" w:line="240" w:lineRule="auto"/>
            </w:pPr>
            <w:r/>
            <w:r>
              <w:rPr>
                <w:rFonts w:ascii="Times New Roman" w:hAnsi="Times New Roman" w:eastAsia="Times New Roman"/>
                <w:b w:val="0"/>
                <w:sz w:val="16"/>
              </w:rPr>
            </w:r>
          </w:p>
        </w:tc>
        <w:tc>
          <w:tcPr>
            <w:tcW w:type="dxa" w:w="1728"/>
            <w:vAlign w:val="top"/>
          </w:tcPr>
          <w:p>
            <w:pPr>
              <w:spacing w:after="0" w:line="240" w:lineRule="auto"/>
            </w:pPr>
            <w:r/>
            <w:r>
              <w:rPr>
                <w:rFonts w:ascii="Times New Roman" w:hAnsi="Times New Roman" w:eastAsia="Times New Roman"/>
                <w:b w:val="0"/>
                <w:sz w:val="16"/>
              </w:rPr>
            </w:r>
          </w:p>
        </w:tc>
        <w:tc>
          <w:tcPr>
            <w:tcW w:type="dxa" w:w="2448"/>
            <w:vAlign w:val="top"/>
          </w:tcPr>
          <w:p>
            <w:pPr>
              <w:spacing w:after="0" w:line="240" w:lineRule="auto"/>
            </w:pPr>
            <w:r/>
            <w:r>
              <w:rPr>
                <w:rFonts w:ascii="Times New Roman" w:hAnsi="Times New Roman" w:eastAsia="Times New Roman"/>
                <w:b w:val="0"/>
                <w:sz w:val="16"/>
              </w:rPr>
              <w:t>Rs. 3,250,000</w:t>
            </w:r>
          </w:p>
        </w:tc>
      </w:tr>
    </w:tbl>
    <w:p/>
    <w:p>
      <w:pPr>
        <w:pStyle w:val="Heading2"/>
        <w:spacing w:after="80" w:line="252" w:lineRule="auto"/>
      </w:pPr>
      <w:r>
        <w:rPr>
          <w:rFonts w:ascii="Times New Roman" w:hAnsi="Times New Roman" w:eastAsia="Times New Roman"/>
          <w:b w:val="0"/>
          <w:i w:val="0"/>
        </w:rPr>
        <w:t>24.8 Foreign tax adjustment</w:t>
      </w:r>
    </w:p>
    <w:p>
      <w:pPr>
        <w:spacing w:after="80" w:line="252" w:lineRule="auto"/>
      </w:pPr>
      <w:r>
        <w:rPr>
          <w:rFonts w:ascii="Times New Roman" w:hAnsi="Times New Roman" w:eastAsia="Times New Roman"/>
          <w:b w:val="0"/>
          <w:i w:val="0"/>
          <w:sz w:val="21"/>
        </w:rPr>
        <w:t>While computing estimated tax, a taxpayer must include foreign-source taxable income, but may reduce the estimated tax by the foreign income tax already paid or estimated to be payable on that foreign income, to the extent allowable under section 71. The foreign tax adjustment is therefore considered in the estimated tax computation.</w:t>
      </w:r>
    </w:p>
    <w:p>
      <w:pPr>
        <w:pStyle w:val="Heading3"/>
        <w:spacing w:after="80" w:line="252" w:lineRule="auto"/>
      </w:pPr>
      <w:r>
        <w:rPr>
          <w:rFonts w:ascii="Times New Roman" w:hAnsi="Times New Roman" w:eastAsia="Times New Roman"/>
          <w:b w:val="0"/>
          <w:i w:val="0"/>
        </w:rPr>
        <w:t>Example 24.8.1</w:t>
      </w:r>
    </w:p>
    <w:p>
      <w:pPr>
        <w:spacing w:after="80" w:line="252" w:lineRule="auto"/>
      </w:pPr>
      <w:r>
        <w:rPr>
          <w:rFonts w:ascii="Times New Roman" w:hAnsi="Times New Roman" w:eastAsia="Times New Roman"/>
          <w:b w:val="0"/>
          <w:i w:val="0"/>
          <w:sz w:val="21"/>
        </w:rPr>
        <w:t>Continuing Example 24.7.1, suppose Sagarmatha Pvt. Ltd. also invests Rs. 10,000,000 in debentures of an Indian company and earns Rs. 1,000,000 interest, on which Rs. 100,000 tax is payable in India. The estimated tax is as follows.</w:t>
      </w:r>
    </w:p>
    <w:tbl>
      <w:tblPr>
        <w:tblStyle w:val="TableGrid"/>
        <w:tblW w:type="auto" w:w="0"/>
        <w:jc w:val="center"/>
        <w:tblLook w:firstColumn="1" w:firstRow="1" w:lastColumn="0" w:lastRow="0" w:noHBand="0" w:noVBand="1" w:val="04A0"/>
      </w:tblPr>
      <w:tblGrid>
        <w:gridCol w:w="2473"/>
        <w:gridCol w:w="2473"/>
        <w:gridCol w:w="2473"/>
        <w:gridCol w:w="2473"/>
      </w:tblGrid>
      <w:tr>
        <w:trPr>
          <w:tblHeader w:val="true"/>
        </w:trPr>
        <w:tc>
          <w:tcPr>
            <w:tcW w:type="dxa" w:w="3456"/>
            <w:vAlign w:val="top"/>
            <w:shd w:fill="D9EAF7"/>
          </w:tcPr>
          <w:p>
            <w:pPr>
              <w:spacing w:after="0" w:line="240" w:lineRule="auto"/>
            </w:pPr>
            <w:r/>
            <w:r>
              <w:rPr>
                <w:rFonts w:ascii="Times New Roman" w:hAnsi="Times New Roman" w:eastAsia="Times New Roman"/>
                <w:b/>
                <w:sz w:val="16"/>
              </w:rPr>
              <w:t>Head of income</w:t>
            </w:r>
          </w:p>
        </w:tc>
        <w:tc>
          <w:tcPr>
            <w:tcW w:type="dxa" w:w="2736"/>
            <w:vAlign w:val="top"/>
            <w:shd w:fill="D9EAF7"/>
          </w:tcPr>
          <w:p>
            <w:pPr>
              <w:spacing w:after="0" w:line="240" w:lineRule="auto"/>
            </w:pPr>
            <w:r/>
            <w:r>
              <w:rPr>
                <w:rFonts w:ascii="Times New Roman" w:hAnsi="Times New Roman" w:eastAsia="Times New Roman"/>
                <w:b/>
                <w:sz w:val="16"/>
              </w:rPr>
              <w:t>Estimated taxable income</w:t>
            </w:r>
          </w:p>
        </w:tc>
        <w:tc>
          <w:tcPr>
            <w:tcW w:type="dxa" w:w="1440"/>
            <w:vAlign w:val="top"/>
            <w:shd w:fill="D9EAF7"/>
          </w:tcPr>
          <w:p>
            <w:pPr>
              <w:spacing w:after="0" w:line="240" w:lineRule="auto"/>
            </w:pPr>
            <w:r/>
            <w:r>
              <w:rPr>
                <w:rFonts w:ascii="Times New Roman" w:hAnsi="Times New Roman" w:eastAsia="Times New Roman"/>
                <w:b/>
                <w:sz w:val="16"/>
              </w:rPr>
              <w:t>Rate</w:t>
            </w:r>
          </w:p>
        </w:tc>
        <w:tc>
          <w:tcPr>
            <w:tcW w:type="dxa" w:w="2592"/>
            <w:vAlign w:val="top"/>
            <w:shd w:fill="D9EAF7"/>
          </w:tcPr>
          <w:p>
            <w:pPr>
              <w:spacing w:after="0" w:line="240" w:lineRule="auto"/>
            </w:pPr>
            <w:r/>
            <w:r>
              <w:rPr>
                <w:rFonts w:ascii="Times New Roman" w:hAnsi="Times New Roman" w:eastAsia="Times New Roman"/>
                <w:b/>
                <w:sz w:val="16"/>
              </w:rPr>
              <w:t>Estimated tax</w:t>
            </w:r>
          </w:p>
        </w:tc>
      </w:tr>
      <w:tr>
        <w:tc>
          <w:tcPr>
            <w:tcW w:type="dxa" w:w="3456"/>
            <w:vAlign w:val="top"/>
          </w:tcPr>
          <w:p>
            <w:pPr>
              <w:spacing w:after="0" w:line="240" w:lineRule="auto"/>
            </w:pPr>
            <w:r/>
            <w:r>
              <w:rPr>
                <w:rFonts w:ascii="Times New Roman" w:hAnsi="Times New Roman" w:eastAsia="Times New Roman"/>
                <w:b w:val="0"/>
                <w:sz w:val="16"/>
              </w:rPr>
              <w:t>Business</w:t>
            </w:r>
          </w:p>
        </w:tc>
        <w:tc>
          <w:tcPr>
            <w:tcW w:type="dxa" w:w="2736"/>
            <w:vAlign w:val="top"/>
          </w:tcPr>
          <w:p>
            <w:pPr>
              <w:spacing w:after="0" w:line="240" w:lineRule="auto"/>
            </w:pPr>
            <w:r/>
            <w:r>
              <w:rPr>
                <w:rFonts w:ascii="Times New Roman" w:hAnsi="Times New Roman" w:eastAsia="Times New Roman"/>
                <w:b w:val="0"/>
                <w:sz w:val="16"/>
              </w:rPr>
              <w:t>Rs. 10,000,000</w:t>
            </w:r>
          </w:p>
        </w:tc>
        <w:tc>
          <w:tcPr>
            <w:tcW w:type="dxa" w:w="1440"/>
            <w:vAlign w:val="top"/>
          </w:tcPr>
          <w:p>
            <w:pPr>
              <w:spacing w:after="0" w:line="240" w:lineRule="auto"/>
            </w:pPr>
            <w:r/>
            <w:r>
              <w:rPr>
                <w:rFonts w:ascii="Times New Roman" w:hAnsi="Times New Roman" w:eastAsia="Times New Roman"/>
                <w:b w:val="0"/>
                <w:sz w:val="16"/>
              </w:rPr>
              <w:t>20%</w:t>
            </w:r>
          </w:p>
        </w:tc>
        <w:tc>
          <w:tcPr>
            <w:tcW w:type="dxa" w:w="2592"/>
            <w:vAlign w:val="top"/>
          </w:tcPr>
          <w:p>
            <w:pPr>
              <w:spacing w:after="0" w:line="240" w:lineRule="auto"/>
            </w:pPr>
            <w:r/>
            <w:r>
              <w:rPr>
                <w:rFonts w:ascii="Times New Roman" w:hAnsi="Times New Roman" w:eastAsia="Times New Roman"/>
                <w:b w:val="0"/>
                <w:sz w:val="16"/>
              </w:rPr>
              <w:t>Rs. 2,000,000</w:t>
            </w:r>
          </w:p>
        </w:tc>
      </w:tr>
      <w:tr>
        <w:tc>
          <w:tcPr>
            <w:tcW w:type="dxa" w:w="3456"/>
            <w:vAlign w:val="top"/>
          </w:tcPr>
          <w:p>
            <w:pPr>
              <w:spacing w:after="0" w:line="240" w:lineRule="auto"/>
            </w:pPr>
            <w:r/>
            <w:r>
              <w:rPr>
                <w:rFonts w:ascii="Times New Roman" w:hAnsi="Times New Roman" w:eastAsia="Times New Roman"/>
                <w:b w:val="0"/>
                <w:sz w:val="16"/>
              </w:rPr>
              <w:t>Investment - Nepal source</w:t>
            </w:r>
          </w:p>
        </w:tc>
        <w:tc>
          <w:tcPr>
            <w:tcW w:type="dxa" w:w="2736"/>
            <w:vAlign w:val="top"/>
          </w:tcPr>
          <w:p>
            <w:pPr>
              <w:spacing w:after="0" w:line="240" w:lineRule="auto"/>
            </w:pPr>
            <w:r/>
            <w:r>
              <w:rPr>
                <w:rFonts w:ascii="Times New Roman" w:hAnsi="Times New Roman" w:eastAsia="Times New Roman"/>
                <w:b w:val="0"/>
                <w:sz w:val="16"/>
              </w:rPr>
              <w:t>Rs. 5,000,000</w:t>
            </w:r>
          </w:p>
        </w:tc>
        <w:tc>
          <w:tcPr>
            <w:tcW w:type="dxa" w:w="1440"/>
            <w:vAlign w:val="top"/>
          </w:tcPr>
          <w:p>
            <w:pPr>
              <w:spacing w:after="0" w:line="240" w:lineRule="auto"/>
            </w:pPr>
            <w:r/>
            <w:r>
              <w:rPr>
                <w:rFonts w:ascii="Times New Roman" w:hAnsi="Times New Roman" w:eastAsia="Times New Roman"/>
                <w:b w:val="0"/>
                <w:sz w:val="16"/>
              </w:rPr>
              <w:t>25%</w:t>
            </w:r>
          </w:p>
        </w:tc>
        <w:tc>
          <w:tcPr>
            <w:tcW w:type="dxa" w:w="2592"/>
            <w:vAlign w:val="top"/>
          </w:tcPr>
          <w:p>
            <w:pPr>
              <w:spacing w:after="0" w:line="240" w:lineRule="auto"/>
            </w:pPr>
            <w:r/>
            <w:r>
              <w:rPr>
                <w:rFonts w:ascii="Times New Roman" w:hAnsi="Times New Roman" w:eastAsia="Times New Roman"/>
                <w:b w:val="0"/>
                <w:sz w:val="16"/>
              </w:rPr>
              <w:t>Rs. 1,250,000</w:t>
            </w:r>
          </w:p>
        </w:tc>
      </w:tr>
      <w:tr>
        <w:tc>
          <w:tcPr>
            <w:tcW w:type="dxa" w:w="3456"/>
            <w:vAlign w:val="top"/>
          </w:tcPr>
          <w:p>
            <w:pPr>
              <w:spacing w:after="0" w:line="240" w:lineRule="auto"/>
            </w:pPr>
            <w:r/>
            <w:r>
              <w:rPr>
                <w:rFonts w:ascii="Times New Roman" w:hAnsi="Times New Roman" w:eastAsia="Times New Roman"/>
                <w:b w:val="0"/>
                <w:sz w:val="16"/>
              </w:rPr>
              <w:t>Investment - foreign source</w:t>
            </w:r>
          </w:p>
        </w:tc>
        <w:tc>
          <w:tcPr>
            <w:tcW w:type="dxa" w:w="2736"/>
            <w:vAlign w:val="top"/>
          </w:tcPr>
          <w:p>
            <w:pPr>
              <w:spacing w:after="0" w:line="240" w:lineRule="auto"/>
            </w:pPr>
            <w:r/>
            <w:r>
              <w:rPr>
                <w:rFonts w:ascii="Times New Roman" w:hAnsi="Times New Roman" w:eastAsia="Times New Roman"/>
                <w:b w:val="0"/>
                <w:sz w:val="16"/>
              </w:rPr>
              <w:t>Rs. 1,000,000</w:t>
            </w:r>
          </w:p>
        </w:tc>
        <w:tc>
          <w:tcPr>
            <w:tcW w:type="dxa" w:w="1440"/>
            <w:vAlign w:val="top"/>
          </w:tcPr>
          <w:p>
            <w:pPr>
              <w:spacing w:after="0" w:line="240" w:lineRule="auto"/>
            </w:pPr>
            <w:r/>
            <w:r>
              <w:rPr>
                <w:rFonts w:ascii="Times New Roman" w:hAnsi="Times New Roman" w:eastAsia="Times New Roman"/>
                <w:b w:val="0"/>
                <w:sz w:val="16"/>
              </w:rPr>
              <w:t>25%</w:t>
            </w:r>
          </w:p>
        </w:tc>
        <w:tc>
          <w:tcPr>
            <w:tcW w:type="dxa" w:w="2592"/>
            <w:vAlign w:val="top"/>
          </w:tcPr>
          <w:p>
            <w:pPr>
              <w:spacing w:after="0" w:line="240" w:lineRule="auto"/>
            </w:pPr>
            <w:r/>
            <w:r>
              <w:rPr>
                <w:rFonts w:ascii="Times New Roman" w:hAnsi="Times New Roman" w:eastAsia="Times New Roman"/>
                <w:b w:val="0"/>
                <w:sz w:val="16"/>
              </w:rPr>
              <w:t>Rs. 250,000</w:t>
            </w:r>
          </w:p>
        </w:tc>
      </w:tr>
      <w:tr>
        <w:tc>
          <w:tcPr>
            <w:tcW w:type="dxa" w:w="3456"/>
            <w:vAlign w:val="top"/>
          </w:tcPr>
          <w:p>
            <w:pPr>
              <w:spacing w:after="0" w:line="240" w:lineRule="auto"/>
            </w:pPr>
            <w:r/>
            <w:r>
              <w:rPr>
                <w:rFonts w:ascii="Times New Roman" w:hAnsi="Times New Roman" w:eastAsia="Times New Roman"/>
                <w:b w:val="0"/>
                <w:sz w:val="16"/>
              </w:rPr>
              <w:t>Gross estimated tax</w:t>
            </w:r>
          </w:p>
        </w:tc>
        <w:tc>
          <w:tcPr>
            <w:tcW w:type="dxa" w:w="2736"/>
            <w:vAlign w:val="top"/>
          </w:tcPr>
          <w:p>
            <w:pPr>
              <w:spacing w:after="0" w:line="240" w:lineRule="auto"/>
            </w:pPr>
            <w:r/>
            <w:r>
              <w:rPr>
                <w:rFonts w:ascii="Times New Roman" w:hAnsi="Times New Roman" w:eastAsia="Times New Roman"/>
                <w:b w:val="0"/>
                <w:sz w:val="16"/>
              </w:rPr>
            </w:r>
          </w:p>
        </w:tc>
        <w:tc>
          <w:tcPr>
            <w:tcW w:type="dxa" w:w="1440"/>
            <w:vAlign w:val="top"/>
          </w:tcPr>
          <w:p>
            <w:pPr>
              <w:spacing w:after="0" w:line="240" w:lineRule="auto"/>
            </w:pPr>
            <w:r/>
            <w:r>
              <w:rPr>
                <w:rFonts w:ascii="Times New Roman" w:hAnsi="Times New Roman" w:eastAsia="Times New Roman"/>
                <w:b w:val="0"/>
                <w:sz w:val="16"/>
              </w:rPr>
            </w:r>
          </w:p>
        </w:tc>
        <w:tc>
          <w:tcPr>
            <w:tcW w:type="dxa" w:w="2592"/>
            <w:vAlign w:val="top"/>
          </w:tcPr>
          <w:p>
            <w:pPr>
              <w:spacing w:after="0" w:line="240" w:lineRule="auto"/>
            </w:pPr>
            <w:r/>
            <w:r>
              <w:rPr>
                <w:rFonts w:ascii="Times New Roman" w:hAnsi="Times New Roman" w:eastAsia="Times New Roman"/>
                <w:b w:val="0"/>
                <w:sz w:val="16"/>
              </w:rPr>
              <w:t>Rs. 3,500,000</w:t>
            </w:r>
          </w:p>
        </w:tc>
      </w:tr>
      <w:tr>
        <w:tc>
          <w:tcPr>
            <w:tcW w:type="dxa" w:w="3456"/>
            <w:vAlign w:val="top"/>
          </w:tcPr>
          <w:p>
            <w:pPr>
              <w:spacing w:after="0" w:line="240" w:lineRule="auto"/>
            </w:pPr>
            <w:r/>
            <w:r>
              <w:rPr>
                <w:rFonts w:ascii="Times New Roman" w:hAnsi="Times New Roman" w:eastAsia="Times New Roman"/>
                <w:b w:val="0"/>
                <w:sz w:val="16"/>
              </w:rPr>
              <w:t>Less: foreign tax payable on foreign-source income</w:t>
            </w:r>
          </w:p>
        </w:tc>
        <w:tc>
          <w:tcPr>
            <w:tcW w:type="dxa" w:w="2736"/>
            <w:vAlign w:val="top"/>
          </w:tcPr>
          <w:p>
            <w:pPr>
              <w:spacing w:after="0" w:line="240" w:lineRule="auto"/>
            </w:pPr>
            <w:r/>
            <w:r>
              <w:rPr>
                <w:rFonts w:ascii="Times New Roman" w:hAnsi="Times New Roman" w:eastAsia="Times New Roman"/>
                <w:b w:val="0"/>
                <w:sz w:val="16"/>
              </w:rPr>
            </w:r>
          </w:p>
        </w:tc>
        <w:tc>
          <w:tcPr>
            <w:tcW w:type="dxa" w:w="1440"/>
            <w:vAlign w:val="top"/>
          </w:tcPr>
          <w:p>
            <w:pPr>
              <w:spacing w:after="0" w:line="240" w:lineRule="auto"/>
            </w:pPr>
            <w:r/>
            <w:r>
              <w:rPr>
                <w:rFonts w:ascii="Times New Roman" w:hAnsi="Times New Roman" w:eastAsia="Times New Roman"/>
                <w:b w:val="0"/>
                <w:sz w:val="16"/>
              </w:rPr>
            </w:r>
          </w:p>
        </w:tc>
        <w:tc>
          <w:tcPr>
            <w:tcW w:type="dxa" w:w="2592"/>
            <w:vAlign w:val="top"/>
          </w:tcPr>
          <w:p>
            <w:pPr>
              <w:spacing w:after="0" w:line="240" w:lineRule="auto"/>
            </w:pPr>
            <w:r/>
            <w:r>
              <w:rPr>
                <w:rFonts w:ascii="Times New Roman" w:hAnsi="Times New Roman" w:eastAsia="Times New Roman"/>
                <w:b w:val="0"/>
                <w:sz w:val="16"/>
              </w:rPr>
              <w:t>Rs. 100,000</w:t>
            </w:r>
          </w:p>
        </w:tc>
      </w:tr>
      <w:tr>
        <w:tc>
          <w:tcPr>
            <w:tcW w:type="dxa" w:w="3456"/>
            <w:vAlign w:val="top"/>
          </w:tcPr>
          <w:p>
            <w:pPr>
              <w:spacing w:after="0" w:line="240" w:lineRule="auto"/>
            </w:pPr>
            <w:r/>
            <w:r>
              <w:rPr>
                <w:rFonts w:ascii="Times New Roman" w:hAnsi="Times New Roman" w:eastAsia="Times New Roman"/>
                <w:b w:val="0"/>
                <w:sz w:val="16"/>
              </w:rPr>
              <w:t>Estimated tax to be deposited</w:t>
            </w:r>
          </w:p>
        </w:tc>
        <w:tc>
          <w:tcPr>
            <w:tcW w:type="dxa" w:w="2736"/>
            <w:vAlign w:val="top"/>
          </w:tcPr>
          <w:p>
            <w:pPr>
              <w:spacing w:after="0" w:line="240" w:lineRule="auto"/>
            </w:pPr>
            <w:r/>
            <w:r>
              <w:rPr>
                <w:rFonts w:ascii="Times New Roman" w:hAnsi="Times New Roman" w:eastAsia="Times New Roman"/>
                <w:b w:val="0"/>
                <w:sz w:val="16"/>
              </w:rPr>
            </w:r>
          </w:p>
        </w:tc>
        <w:tc>
          <w:tcPr>
            <w:tcW w:type="dxa" w:w="1440"/>
            <w:vAlign w:val="top"/>
          </w:tcPr>
          <w:p>
            <w:pPr>
              <w:spacing w:after="0" w:line="240" w:lineRule="auto"/>
            </w:pPr>
            <w:r/>
            <w:r>
              <w:rPr>
                <w:rFonts w:ascii="Times New Roman" w:hAnsi="Times New Roman" w:eastAsia="Times New Roman"/>
                <w:b w:val="0"/>
                <w:sz w:val="16"/>
              </w:rPr>
            </w:r>
          </w:p>
        </w:tc>
        <w:tc>
          <w:tcPr>
            <w:tcW w:type="dxa" w:w="2592"/>
            <w:vAlign w:val="top"/>
          </w:tcPr>
          <w:p>
            <w:pPr>
              <w:spacing w:after="0" w:line="240" w:lineRule="auto"/>
            </w:pPr>
            <w:r/>
            <w:r>
              <w:rPr>
                <w:rFonts w:ascii="Times New Roman" w:hAnsi="Times New Roman" w:eastAsia="Times New Roman"/>
                <w:b w:val="0"/>
                <w:sz w:val="16"/>
              </w:rPr>
              <w:t>Rs. 3,400,000</w:t>
            </w:r>
          </w:p>
        </w:tc>
      </w:tr>
    </w:tbl>
    <w:p/>
    <w:p>
      <w:pPr>
        <w:pStyle w:val="Heading2"/>
        <w:spacing w:after="80" w:line="252" w:lineRule="auto"/>
      </w:pPr>
      <w:r>
        <w:rPr>
          <w:rFonts w:ascii="Times New Roman" w:hAnsi="Times New Roman" w:eastAsia="Times New Roman"/>
          <w:b w:val="0"/>
          <w:i w:val="0"/>
        </w:rPr>
        <w:t>24.9 Amendment of estimated tax statement</w:t>
      </w:r>
    </w:p>
    <w:p>
      <w:pPr>
        <w:spacing w:after="80" w:line="252" w:lineRule="auto"/>
      </w:pPr>
      <w:r>
        <w:rPr>
          <w:rFonts w:ascii="Times New Roman" w:hAnsi="Times New Roman" w:eastAsia="Times New Roman"/>
          <w:b w:val="0"/>
          <w:i w:val="0"/>
          <w:sz w:val="21"/>
        </w:rPr>
        <w:t>The estimated tax statement is based on assumptions. If the basis of the estimate changes, the taxpayer may file a revised estimated statement by stating the necessary information and reasons for revision. Until a revised estimate is filed, the original estimate remains applicable for the whole income year. A revised estimate applies only to instalments falling due after the date on which the revised estimate is filed.</w:t>
      </w:r>
    </w:p>
    <w:p>
      <w:pPr>
        <w:pStyle w:val="Heading2"/>
        <w:spacing w:after="80" w:line="252" w:lineRule="auto"/>
      </w:pPr>
      <w:r>
        <w:rPr>
          <w:rFonts w:ascii="Times New Roman" w:hAnsi="Times New Roman" w:eastAsia="Times New Roman"/>
          <w:b w:val="0"/>
          <w:i w:val="0"/>
        </w:rPr>
        <w:t>24.10 Estimate or revision by the Department</w:t>
      </w:r>
    </w:p>
    <w:p>
      <w:pPr>
        <w:spacing w:after="80" w:line="252" w:lineRule="auto"/>
      </w:pPr>
      <w:r>
        <w:rPr>
          <w:rFonts w:ascii="Times New Roman" w:hAnsi="Times New Roman" w:eastAsia="Times New Roman"/>
          <w:b w:val="0"/>
          <w:i w:val="0"/>
          <w:sz w:val="21"/>
        </w:rPr>
        <w:t>Where a person required to file an estimated statement does not file it, or where the Department is not satisfied with the estimate or revised estimate filed, the Department may estimate the tax payable for the year based on the tax payable by that person in the preceding income year. The Department must give written notice stating the amount estimated, the method used and the reason for dissatisfaction with the taxpayer's estimate where applicable. The amount estimated by the Department then becomes the estimated tax payable for that year.</w:t>
      </w:r>
    </w:p>
    <w:p>
      <w:pPr>
        <w:pStyle w:val="Heading2"/>
        <w:spacing w:after="80" w:line="252" w:lineRule="auto"/>
      </w:pPr>
      <w:r>
        <w:rPr>
          <w:rFonts w:ascii="Times New Roman" w:hAnsi="Times New Roman" w:eastAsia="Times New Roman"/>
          <w:b w:val="0"/>
          <w:i w:val="0"/>
        </w:rPr>
        <w:t>24.11 Tax to be deposited by instalment</w:t>
      </w:r>
    </w:p>
    <w:p>
      <w:pPr>
        <w:spacing w:after="80" w:line="252" w:lineRule="auto"/>
      </w:pPr>
      <w:r>
        <w:rPr>
          <w:rFonts w:ascii="Times New Roman" w:hAnsi="Times New Roman" w:eastAsia="Times New Roman"/>
          <w:b w:val="0"/>
          <w:i w:val="0"/>
          <w:sz w:val="21"/>
        </w:rPr>
        <w:t>Under section 94(1), a person having assessable income from business or investment in an income year must pay tax in three instalments as follows.</w:t>
      </w:r>
    </w:p>
    <w:tbl>
      <w:tblPr>
        <w:tblStyle w:val="TableGrid"/>
        <w:tblW w:type="auto" w:w="0"/>
        <w:jc w:val="center"/>
        <w:tblLook w:firstColumn="1" w:firstRow="1" w:lastColumn="0" w:lastRow="0" w:noHBand="0" w:noVBand="1" w:val="04A0"/>
      </w:tblPr>
      <w:tblGrid>
        <w:gridCol w:w="4946"/>
        <w:gridCol w:w="4946"/>
      </w:tblGrid>
      <w:tr>
        <w:trPr>
          <w:tblHeader w:val="true"/>
        </w:trPr>
        <w:tc>
          <w:tcPr>
            <w:tcW w:type="dxa" w:w="3168"/>
            <w:vAlign w:val="top"/>
            <w:shd w:fill="D9EAF7"/>
          </w:tcPr>
          <w:p>
            <w:pPr>
              <w:spacing w:after="0" w:line="240" w:lineRule="auto"/>
            </w:pPr>
            <w:r/>
            <w:r>
              <w:rPr>
                <w:rFonts w:ascii="Times New Roman" w:hAnsi="Times New Roman" w:eastAsia="Times New Roman"/>
                <w:b/>
                <w:sz w:val="16"/>
              </w:rPr>
              <w:t>Due date</w:t>
            </w:r>
          </w:p>
        </w:tc>
        <w:tc>
          <w:tcPr>
            <w:tcW w:type="dxa" w:w="6912"/>
            <w:vAlign w:val="top"/>
            <w:shd w:fill="D9EAF7"/>
          </w:tcPr>
          <w:p>
            <w:pPr>
              <w:spacing w:after="0" w:line="240" w:lineRule="auto"/>
            </w:pPr>
            <w:r/>
            <w:r>
              <w:rPr>
                <w:rFonts w:ascii="Times New Roman" w:hAnsi="Times New Roman" w:eastAsia="Times New Roman"/>
                <w:b/>
                <w:sz w:val="16"/>
              </w:rPr>
              <w:t>Amount to be deposited</w:t>
            </w:r>
          </w:p>
        </w:tc>
      </w:tr>
      <w:tr>
        <w:tc>
          <w:tcPr>
            <w:tcW w:type="dxa" w:w="3168"/>
            <w:vAlign w:val="top"/>
          </w:tcPr>
          <w:p>
            <w:pPr>
              <w:spacing w:after="0" w:line="240" w:lineRule="auto"/>
            </w:pPr>
            <w:r/>
            <w:r>
              <w:rPr>
                <w:rFonts w:ascii="Times New Roman" w:hAnsi="Times New Roman" w:eastAsia="Times New Roman"/>
                <w:b w:val="0"/>
                <w:sz w:val="16"/>
              </w:rPr>
              <w:t>By the end of Poush</w:t>
            </w:r>
          </w:p>
        </w:tc>
        <w:tc>
          <w:tcPr>
            <w:tcW w:type="dxa" w:w="6912"/>
            <w:vAlign w:val="top"/>
          </w:tcPr>
          <w:p>
            <w:pPr>
              <w:spacing w:after="0" w:line="240" w:lineRule="auto"/>
            </w:pPr>
            <w:r/>
            <w:r>
              <w:rPr>
                <w:rFonts w:ascii="Times New Roman" w:hAnsi="Times New Roman" w:eastAsia="Times New Roman"/>
                <w:b w:val="0"/>
                <w:sz w:val="16"/>
              </w:rPr>
              <w:t>Amount remaining payable out of 40% of estimated tax</w:t>
            </w:r>
          </w:p>
        </w:tc>
      </w:tr>
      <w:tr>
        <w:tc>
          <w:tcPr>
            <w:tcW w:type="dxa" w:w="3168"/>
            <w:vAlign w:val="top"/>
          </w:tcPr>
          <w:p>
            <w:pPr>
              <w:spacing w:after="0" w:line="240" w:lineRule="auto"/>
            </w:pPr>
            <w:r/>
            <w:r>
              <w:rPr>
                <w:rFonts w:ascii="Times New Roman" w:hAnsi="Times New Roman" w:eastAsia="Times New Roman"/>
                <w:b w:val="0"/>
                <w:sz w:val="16"/>
              </w:rPr>
              <w:t>By the end of Chaitra</w:t>
            </w:r>
          </w:p>
        </w:tc>
        <w:tc>
          <w:tcPr>
            <w:tcW w:type="dxa" w:w="6912"/>
            <w:vAlign w:val="top"/>
          </w:tcPr>
          <w:p>
            <w:pPr>
              <w:spacing w:after="0" w:line="240" w:lineRule="auto"/>
            </w:pPr>
            <w:r/>
            <w:r>
              <w:rPr>
                <w:rFonts w:ascii="Times New Roman" w:hAnsi="Times New Roman" w:eastAsia="Times New Roman"/>
                <w:b w:val="0"/>
                <w:sz w:val="16"/>
              </w:rPr>
              <w:t>Amount remaining payable out of 70% of estimated tax</w:t>
            </w:r>
          </w:p>
        </w:tc>
      </w:tr>
      <w:tr>
        <w:tc>
          <w:tcPr>
            <w:tcW w:type="dxa" w:w="3168"/>
            <w:vAlign w:val="top"/>
          </w:tcPr>
          <w:p>
            <w:pPr>
              <w:spacing w:after="0" w:line="240" w:lineRule="auto"/>
            </w:pPr>
            <w:r/>
            <w:r>
              <w:rPr>
                <w:rFonts w:ascii="Times New Roman" w:hAnsi="Times New Roman" w:eastAsia="Times New Roman"/>
                <w:b w:val="0"/>
                <w:sz w:val="16"/>
              </w:rPr>
              <w:t>By the end of Ashadh</w:t>
            </w:r>
          </w:p>
        </w:tc>
        <w:tc>
          <w:tcPr>
            <w:tcW w:type="dxa" w:w="6912"/>
            <w:vAlign w:val="top"/>
          </w:tcPr>
          <w:p>
            <w:pPr>
              <w:spacing w:after="0" w:line="240" w:lineRule="auto"/>
            </w:pPr>
            <w:r/>
            <w:r>
              <w:rPr>
                <w:rFonts w:ascii="Times New Roman" w:hAnsi="Times New Roman" w:eastAsia="Times New Roman"/>
                <w:b w:val="0"/>
                <w:sz w:val="16"/>
              </w:rPr>
              <w:t>Amount remaining payable out of 100% of estimated tax</w:t>
            </w:r>
          </w:p>
        </w:tc>
      </w:tr>
    </w:tbl>
    <w:p/>
    <w:p>
      <w:pPr>
        <w:spacing w:after="80" w:line="252" w:lineRule="auto"/>
      </w:pPr>
      <w:r>
        <w:rPr>
          <w:rFonts w:ascii="Times New Roman" w:hAnsi="Times New Roman" w:eastAsia="Times New Roman"/>
          <w:b w:val="0"/>
          <w:i w:val="0"/>
          <w:sz w:val="21"/>
        </w:rPr>
        <w:t>For this purpose, estimated tax means the instalment estimated tax computed under section 95 at the time of payment. Amount remaining payable means the shortfall after deducting the following: earlier instalments already paid for the year; tax withheld from payments included in income for the year; tax deemed withheld and deposited under section 90(3); and medical-treatment tax credit claimable under section 51 before the instalment due date.</w:t>
      </w:r>
    </w:p>
    <w:p>
      <w:pPr>
        <w:pStyle w:val="Heading3"/>
        <w:spacing w:after="80" w:line="252" w:lineRule="auto"/>
      </w:pPr>
      <w:r>
        <w:rPr>
          <w:rFonts w:ascii="Times New Roman" w:hAnsi="Times New Roman" w:eastAsia="Times New Roman"/>
          <w:b w:val="0"/>
          <w:i w:val="0"/>
        </w:rPr>
        <w:t>Example 24.11.1</w:t>
      </w:r>
    </w:p>
    <w:p>
      <w:pPr>
        <w:spacing w:after="80" w:line="252" w:lineRule="auto"/>
      </w:pPr>
      <w:r>
        <w:rPr>
          <w:rFonts w:ascii="Times New Roman" w:hAnsi="Times New Roman" w:eastAsia="Times New Roman"/>
          <w:b w:val="0"/>
          <w:i w:val="0"/>
          <w:sz w:val="21"/>
        </w:rPr>
        <w:t>ABC Enterprises paid Rs. 40,000 by the end of Poush as 40% of estimated tax of Rs. 100,000. By the end of Chaitra, 70% of estimated tax is Rs. 70,000. After deducting Rs. 40,000 already paid, the remaining payable amount is Rs. 30,000.</w:t>
      </w:r>
    </w:p>
    <w:p>
      <w:pPr>
        <w:pStyle w:val="Heading3"/>
        <w:spacing w:after="80" w:line="252" w:lineRule="auto"/>
      </w:pPr>
      <w:r>
        <w:rPr>
          <w:rFonts w:ascii="Times New Roman" w:hAnsi="Times New Roman" w:eastAsia="Times New Roman"/>
          <w:b w:val="0"/>
          <w:i w:val="0"/>
        </w:rPr>
        <w:t>Example 24.11.2</w:t>
      </w:r>
    </w:p>
    <w:p>
      <w:pPr>
        <w:spacing w:after="80" w:line="252" w:lineRule="auto"/>
      </w:pPr>
      <w:r>
        <w:rPr>
          <w:rFonts w:ascii="Times New Roman" w:hAnsi="Times New Roman" w:eastAsia="Times New Roman"/>
          <w:b w:val="0"/>
          <w:i w:val="0"/>
          <w:sz w:val="21"/>
        </w:rPr>
        <w:t>A company receives rent of Rs. 50,000 per month from a savings and credit cooperative, which withholds 10% tax, i.e. Rs. 5,000 per month. Because the rent is included in the company's income, the tax withheld is deducted while computing instalment tax payable.</w:t>
      </w:r>
    </w:p>
    <w:p>
      <w:pPr>
        <w:pStyle w:val="Heading3"/>
        <w:spacing w:after="80" w:line="252" w:lineRule="auto"/>
      </w:pPr>
      <w:r>
        <w:rPr>
          <w:rFonts w:ascii="Times New Roman" w:hAnsi="Times New Roman" w:eastAsia="Times New Roman"/>
          <w:b w:val="0"/>
          <w:i w:val="0"/>
        </w:rPr>
        <w:t>Example 24.11.3</w:t>
      </w:r>
    </w:p>
    <w:p>
      <w:pPr>
        <w:spacing w:after="80" w:line="252" w:lineRule="auto"/>
      </w:pPr>
      <w:r>
        <w:rPr>
          <w:rFonts w:ascii="Times New Roman" w:hAnsi="Times New Roman" w:eastAsia="Times New Roman"/>
          <w:b w:val="0"/>
          <w:i w:val="0"/>
          <w:sz w:val="21"/>
        </w:rPr>
        <w:t>A legal consultancy company not registered for VAT receives Rs. 50,000 from Nepal Bank Ltd. without withholding. Because tax is deemed to have been withheld on the payment, if the company deposits the 15% amount of Rs. 7,500 within 25 days after the end of the month of receipt, it may deduct that amount while paying the Poush instalment.</w:t>
      </w:r>
    </w:p>
    <w:p>
      <w:pPr>
        <w:pStyle w:val="Heading3"/>
        <w:spacing w:after="80" w:line="252" w:lineRule="auto"/>
      </w:pPr>
      <w:r>
        <w:rPr>
          <w:rFonts w:ascii="Times New Roman" w:hAnsi="Times New Roman" w:eastAsia="Times New Roman"/>
          <w:b w:val="0"/>
          <w:i w:val="0"/>
        </w:rPr>
        <w:t>Example 24.11.4</w:t>
      </w:r>
    </w:p>
    <w:p>
      <w:pPr>
        <w:spacing w:after="80" w:line="252" w:lineRule="auto"/>
      </w:pPr>
      <w:r>
        <w:rPr>
          <w:rFonts w:ascii="Times New Roman" w:hAnsi="Times New Roman" w:eastAsia="Times New Roman"/>
          <w:b w:val="0"/>
          <w:i w:val="0"/>
          <w:sz w:val="21"/>
        </w:rPr>
        <w:t>The proprietor of a registered audit firm spends Rs. 15,000 on approved medical treatment before Poush. If the Poush instalment is Rs. 40,000, the taxpayer may deduct medical-treatment tax credit of Rs. 1,500 and pay Rs. 38,500, subject to evidence such as medical bills and receipts.</w:t>
      </w:r>
    </w:p>
    <w:p>
      <w:pPr>
        <w:pStyle w:val="Heading3"/>
        <w:spacing w:after="80" w:line="252" w:lineRule="auto"/>
      </w:pPr>
      <w:r>
        <w:rPr>
          <w:rFonts w:ascii="Times New Roman" w:hAnsi="Times New Roman" w:eastAsia="Times New Roman"/>
          <w:b w:val="0"/>
          <w:i w:val="0"/>
        </w:rPr>
        <w:t>Example 24.11.5</w:t>
      </w:r>
    </w:p>
    <w:p>
      <w:pPr>
        <w:spacing w:after="80" w:line="252" w:lineRule="auto"/>
      </w:pPr>
      <w:r>
        <w:rPr>
          <w:rFonts w:ascii="Times New Roman" w:hAnsi="Times New Roman" w:eastAsia="Times New Roman"/>
          <w:b w:val="0"/>
          <w:i w:val="0"/>
          <w:sz w:val="21"/>
        </w:rPr>
        <w:t>If the company in Example 24.7.1 has total estimated tax of Rs. 3,250,000 and has already paid Rs. 2,500,000 by the second instalment, the third instalment is only Rs. 750,000. Although 30% of estimated tax is Rs. 975,000, the taxpayer is not required to pay more than the balance of the total estimated tax.</w:t>
      </w:r>
    </w:p>
    <w:p>
      <w:pPr>
        <w:pStyle w:val="Heading2"/>
        <w:spacing w:after="80" w:line="252" w:lineRule="auto"/>
      </w:pPr>
      <w:r>
        <w:rPr>
          <w:rFonts w:ascii="Times New Roman" w:hAnsi="Times New Roman" w:eastAsia="Times New Roman"/>
          <w:b w:val="0"/>
          <w:i w:val="0"/>
        </w:rPr>
        <w:t>24.12 Credit of instalment tax against annual tax</w:t>
      </w:r>
    </w:p>
    <w:p>
      <w:pPr>
        <w:spacing w:after="80" w:line="252" w:lineRule="auto"/>
      </w:pPr>
      <w:r>
        <w:rPr>
          <w:rFonts w:ascii="Times New Roman" w:hAnsi="Times New Roman" w:eastAsia="Times New Roman"/>
          <w:b w:val="0"/>
          <w:i w:val="0"/>
          <w:sz w:val="21"/>
        </w:rPr>
        <w:t>Tax paid through instalments under section 94 is credited against the tax payable for the income year. Tax withheld in advance is also credited against actual tax liability shown in the annual income return. In the example above, if Rs. 1,50,000 tax was withheld from interest received before the third instalment, the third instalment is reduced by that withholding credit and the remaining payment is correspondingly lower.</w:t>
      </w:r>
    </w:p>
    <w:p>
      <w:pPr>
        <w:pStyle w:val="Heading2"/>
        <w:spacing w:after="80" w:line="252" w:lineRule="auto"/>
      </w:pPr>
      <w:r>
        <w:rPr>
          <w:rFonts w:ascii="Times New Roman" w:hAnsi="Times New Roman" w:eastAsia="Times New Roman"/>
          <w:b w:val="0"/>
          <w:i w:val="0"/>
        </w:rPr>
        <w:t>24.13 Persons not required to file estimated statement</w:t>
      </w:r>
    </w:p>
    <w:p>
      <w:pPr>
        <w:spacing w:after="80" w:line="252" w:lineRule="auto"/>
      </w:pPr>
      <w:r>
        <w:rPr>
          <w:rFonts w:ascii="Times New Roman" w:hAnsi="Times New Roman" w:eastAsia="Times New Roman"/>
          <w:b w:val="0"/>
          <w:i w:val="0"/>
          <w:sz w:val="21"/>
        </w:rPr>
        <w:t>Under section 95(6), the Department may specify that a person or class of persons required to pay instalments need not file the estimate. Rule 33 allows the Department to specify persons not required to file annual return under section 96, persons covered by section 4(3), and persons covered by section 4(4). The Directive summarises that the following persons do not pay tax by instalment:</w:t>
      </w:r>
    </w:p>
    <w:p>
      <w:pPr>
        <w:pStyle w:val="ListBullet"/>
        <w:spacing w:after="80" w:line="252" w:lineRule="auto"/>
      </w:pPr>
      <w:r>
        <w:rPr>
          <w:rFonts w:ascii="Times New Roman" w:hAnsi="Times New Roman" w:eastAsia="Times New Roman"/>
          <w:b w:val="0"/>
          <w:i w:val="0"/>
        </w:rPr>
        <w:t>a person, including a presumptive-tax taxpayer, whose total annual tax payable is less than Rs. 7,500;</w:t>
      </w:r>
    </w:p>
    <w:p>
      <w:pPr>
        <w:pStyle w:val="ListBullet"/>
        <w:spacing w:after="80" w:line="252" w:lineRule="auto"/>
      </w:pPr>
      <w:r>
        <w:rPr>
          <w:rFonts w:ascii="Times New Roman" w:hAnsi="Times New Roman" w:eastAsia="Times New Roman"/>
          <w:b w:val="0"/>
          <w:i w:val="0"/>
        </w:rPr>
        <w:t>a person whose income for the year consists only of payments subject to final withholding;</w:t>
      </w:r>
    </w:p>
    <w:p>
      <w:pPr>
        <w:pStyle w:val="ListBullet"/>
        <w:spacing w:after="80" w:line="252" w:lineRule="auto"/>
      </w:pPr>
      <w:r>
        <w:rPr>
          <w:rFonts w:ascii="Times New Roman" w:hAnsi="Times New Roman" w:eastAsia="Times New Roman"/>
          <w:b w:val="0"/>
          <w:i w:val="0"/>
        </w:rPr>
        <w:t>a person having only employment income covered by section 4(3); and</w:t>
      </w:r>
    </w:p>
    <w:p>
      <w:pPr>
        <w:pStyle w:val="ListBullet"/>
        <w:spacing w:after="80" w:line="252" w:lineRule="auto"/>
      </w:pPr>
      <w:r>
        <w:rPr>
          <w:rFonts w:ascii="Times New Roman" w:hAnsi="Times New Roman" w:eastAsia="Times New Roman"/>
          <w:b w:val="0"/>
          <w:i w:val="0"/>
        </w:rPr>
        <w:t>a person having only income from windfall gain.</w:t>
      </w:r>
    </w:p>
    <w:p>
      <w:pPr>
        <w:pStyle w:val="Heading2"/>
        <w:spacing w:after="80" w:line="252" w:lineRule="auto"/>
      </w:pPr>
      <w:r>
        <w:rPr>
          <w:rFonts w:ascii="Times New Roman" w:hAnsi="Times New Roman" w:eastAsia="Times New Roman"/>
          <w:b w:val="0"/>
          <w:i w:val="0"/>
        </w:rPr>
        <w:t>24.14 Interest where the estimated tax is understated</w:t>
      </w:r>
    </w:p>
    <w:p>
      <w:pPr>
        <w:spacing w:after="80" w:line="252" w:lineRule="auto"/>
      </w:pPr>
      <w:r>
        <w:rPr>
          <w:rFonts w:ascii="Times New Roman" w:hAnsi="Times New Roman" w:eastAsia="Times New Roman"/>
          <w:b w:val="0"/>
          <w:i w:val="0"/>
          <w:sz w:val="21"/>
        </w:rPr>
        <w:t>Instalment tax must be based on the estimated income and tax of the year. To discourage unrealistic estimates, section 118 imposes interest where the amount paid for an instalment is less than the required amount. However, no interest is imposed where the instalment payments reach at least 90% of the actual tax liability as computed under the Act. Interest runs from the due date of the instalment until the return due date or, where the Department makes the first amended assessment because the person did not make a self-assessment, until notice of the amended assessment is served.</w:t>
      </w:r>
    </w:p>
    <w:p>
      <w:pPr>
        <w:pStyle w:val="Heading3"/>
        <w:spacing w:after="80" w:line="252" w:lineRule="auto"/>
      </w:pPr>
      <w:r>
        <w:rPr>
          <w:rFonts w:ascii="Times New Roman" w:hAnsi="Times New Roman" w:eastAsia="Times New Roman"/>
          <w:b w:val="0"/>
          <w:i w:val="0"/>
        </w:rPr>
        <w:t>Example 24.14.1</w:t>
      </w:r>
    </w:p>
    <w:p>
      <w:pPr>
        <w:spacing w:after="80" w:line="252" w:lineRule="auto"/>
      </w:pPr>
      <w:r>
        <w:rPr>
          <w:rFonts w:ascii="Times New Roman" w:hAnsi="Times New Roman" w:eastAsia="Times New Roman"/>
          <w:b w:val="0"/>
          <w:i w:val="0"/>
          <w:sz w:val="21"/>
        </w:rPr>
        <w:t>Nepal Bikash Company filed an estimated tax statement for income year 2080/81 showing estimated tax of Rs. 5,000,000. It paid Rs. 2,200,000 by Poush, Rs. 1,700,000 by Chaitra and Rs. 1,700,000 by Ashadh, totalling Rs. 5,600,000. If its actual tax liability is Rs. 6,000,000, 90% of actual tax is Rs. 5,400,000. Because the company paid more than 90%, interest under section 118 is not payable.</w:t>
      </w:r>
    </w:p>
    <w:p>
      <w:pPr>
        <w:pStyle w:val="Heading3"/>
        <w:spacing w:after="80" w:line="252" w:lineRule="auto"/>
      </w:pPr>
      <w:r>
        <w:rPr>
          <w:rFonts w:ascii="Times New Roman" w:hAnsi="Times New Roman" w:eastAsia="Times New Roman"/>
          <w:b w:val="0"/>
          <w:i w:val="0"/>
        </w:rPr>
        <w:t>Example 24.14.2</w:t>
      </w:r>
    </w:p>
    <w:p>
      <w:pPr>
        <w:spacing w:after="80" w:line="252" w:lineRule="auto"/>
      </w:pPr>
      <w:r>
        <w:rPr>
          <w:rFonts w:ascii="Times New Roman" w:hAnsi="Times New Roman" w:eastAsia="Times New Roman"/>
          <w:b w:val="0"/>
          <w:i w:val="0"/>
          <w:sz w:val="21"/>
        </w:rPr>
        <w:t>If, in the same facts, the actual tax liability is Rs. 8,000,000, 90% of actual tax is Rs. 7,200,000. Because the instalments paid are below 90% of the actual liability, interest is computed under section 118 on the shortfall for each instalment period. The Directive gives the resulting interest amount as Rs. 128,250.</w:t>
      </w:r>
    </w:p>
    <w:p>
      <w:pPr>
        <w:pStyle w:val="Heading2"/>
        <w:spacing w:after="80" w:line="252" w:lineRule="auto"/>
      </w:pPr>
      <w:r>
        <w:rPr>
          <w:rFonts w:ascii="Times New Roman" w:hAnsi="Times New Roman" w:eastAsia="Times New Roman"/>
          <w:b w:val="0"/>
          <w:i w:val="0"/>
        </w:rPr>
        <w:t>24.15 Advance tax to be collected on capital gain and specified payments</w:t>
      </w:r>
    </w:p>
    <w:p>
      <w:pPr>
        <w:pStyle w:val="Heading3"/>
        <w:spacing w:after="80" w:line="252" w:lineRule="auto"/>
      </w:pPr>
      <w:r>
        <w:rPr>
          <w:rFonts w:ascii="Times New Roman" w:hAnsi="Times New Roman" w:eastAsia="Times New Roman"/>
          <w:b w:val="0"/>
          <w:i w:val="0"/>
        </w:rPr>
        <w:t>24.15.1 Commodity futures market</w:t>
      </w:r>
    </w:p>
    <w:p>
      <w:pPr>
        <w:spacing w:after="80" w:line="252" w:lineRule="auto"/>
      </w:pPr>
      <w:r>
        <w:rPr>
          <w:rFonts w:ascii="Times New Roman" w:hAnsi="Times New Roman" w:eastAsia="Times New Roman"/>
          <w:b w:val="0"/>
          <w:i w:val="0"/>
          <w:sz w:val="21"/>
        </w:rPr>
        <w:t>Under section 95A(1), the entity operating a commodity futures market must collect advance tax at 10% on profit and gain derived by a person trading in that market. Where service charges are paid to a service provider registered for VAT, advance tax is withheld at 1.5% under section 88(1)(4); where the service provider is not registered for VAT, withholding is made at 15% under section 88(1).</w:t>
      </w:r>
    </w:p>
    <w:p>
      <w:pPr>
        <w:pStyle w:val="Heading3"/>
        <w:spacing w:after="80" w:line="252" w:lineRule="auto"/>
      </w:pPr>
      <w:r>
        <w:rPr>
          <w:rFonts w:ascii="Times New Roman" w:hAnsi="Times New Roman" w:eastAsia="Times New Roman"/>
          <w:b w:val="0"/>
          <w:i w:val="0"/>
        </w:rPr>
        <w:t>Example 24.15.1</w:t>
      </w:r>
    </w:p>
    <w:p>
      <w:pPr>
        <w:spacing w:after="80" w:line="252" w:lineRule="auto"/>
      </w:pPr>
      <w:r>
        <w:rPr>
          <w:rFonts w:ascii="Times New Roman" w:hAnsi="Times New Roman" w:eastAsia="Times New Roman"/>
          <w:b w:val="0"/>
          <w:i w:val="0"/>
          <w:sz w:val="21"/>
        </w:rPr>
        <w:t>A client enters into a futures contract through a broker to purchase one kilogram of gold when the market price is Rs. 2,500,000, pays Rs. 250,000 as margin and Rs. 10,000 as service charge. If, at the contract settlement date, market price is Rs. 2,700,000, the client's gain is Rs. 190,000 (Rs. 2,700,000 minus Rs. 2,500,000 minus Rs. 10,000). The commodity exchange must collect advance tax of Rs. 19,000 at 10% and deposit it with the concerned office.</w:t>
      </w:r>
    </w:p>
    <w:p>
      <w:pPr>
        <w:pStyle w:val="Heading3"/>
        <w:spacing w:after="80" w:line="252" w:lineRule="auto"/>
      </w:pPr>
      <w:r>
        <w:rPr>
          <w:rFonts w:ascii="Times New Roman" w:hAnsi="Times New Roman" w:eastAsia="Times New Roman"/>
          <w:b w:val="0"/>
          <w:i w:val="0"/>
        </w:rPr>
        <w:t>24.15.2 Gain from sale of securities</w:t>
      </w:r>
    </w:p>
    <w:p>
      <w:pPr>
        <w:spacing w:after="80" w:line="252" w:lineRule="auto"/>
      </w:pPr>
      <w:r>
        <w:rPr>
          <w:rFonts w:ascii="Times New Roman" w:hAnsi="Times New Roman" w:eastAsia="Times New Roman"/>
          <w:b w:val="0"/>
          <w:i w:val="0"/>
          <w:sz w:val="21"/>
        </w:rPr>
        <w:t>For disposal of an interest in a resident entity by a person other than a resident entity registered to conduct securities trading, section 95A(2) requires advance tax collection on the gain computed under section 37. For listed securities, the securities exchange mechanism collects advance tax as follows:</w:t>
      </w:r>
    </w:p>
    <w:tbl>
      <w:tblPr>
        <w:tblStyle w:val="TableGrid"/>
        <w:tblW w:type="auto" w:w="0"/>
        <w:jc w:val="center"/>
        <w:tblLook w:firstColumn="1" w:firstRow="1" w:lastColumn="0" w:lastRow="0" w:noHBand="0" w:noVBand="1" w:val="04A0"/>
      </w:tblPr>
      <w:tblGrid>
        <w:gridCol w:w="4946"/>
        <w:gridCol w:w="4946"/>
      </w:tblGrid>
      <w:tr>
        <w:trPr>
          <w:tblHeader w:val="true"/>
        </w:trPr>
        <w:tc>
          <w:tcPr>
            <w:tcW w:type="dxa" w:w="6624"/>
            <w:vAlign w:val="top"/>
            <w:shd w:fill="D9EAF7"/>
          </w:tcPr>
          <w:p>
            <w:pPr>
              <w:spacing w:after="0" w:line="240" w:lineRule="auto"/>
            </w:pPr>
            <w:r/>
            <w:r>
              <w:rPr>
                <w:rFonts w:ascii="Times New Roman" w:hAnsi="Times New Roman" w:eastAsia="Times New Roman"/>
                <w:b/>
                <w:sz w:val="16"/>
              </w:rPr>
              <w:t>Seller / security</w:t>
            </w:r>
          </w:p>
        </w:tc>
        <w:tc>
          <w:tcPr>
            <w:tcW w:type="dxa" w:w="3024"/>
            <w:vAlign w:val="top"/>
            <w:shd w:fill="D9EAF7"/>
          </w:tcPr>
          <w:p>
            <w:pPr>
              <w:spacing w:after="0" w:line="240" w:lineRule="auto"/>
            </w:pPr>
            <w:r/>
            <w:r>
              <w:rPr>
                <w:rFonts w:ascii="Times New Roman" w:hAnsi="Times New Roman" w:eastAsia="Times New Roman"/>
                <w:b/>
                <w:sz w:val="16"/>
              </w:rPr>
              <w:t>Advance tax rate on gain</w:t>
            </w:r>
          </w:p>
        </w:tc>
      </w:tr>
      <w:tr>
        <w:tc>
          <w:tcPr>
            <w:tcW w:type="dxa" w:w="6624"/>
            <w:vAlign w:val="top"/>
          </w:tcPr>
          <w:p>
            <w:pPr>
              <w:spacing w:after="0" w:line="240" w:lineRule="auto"/>
            </w:pPr>
            <w:r/>
            <w:r>
              <w:rPr>
                <w:rFonts w:ascii="Times New Roman" w:hAnsi="Times New Roman" w:eastAsia="Times New Roman"/>
                <w:b w:val="0"/>
                <w:sz w:val="16"/>
              </w:rPr>
              <w:t>Resident natural person - listed security held for more than 365 days</w:t>
            </w:r>
          </w:p>
        </w:tc>
        <w:tc>
          <w:tcPr>
            <w:tcW w:type="dxa" w:w="3024"/>
            <w:vAlign w:val="top"/>
          </w:tcPr>
          <w:p>
            <w:pPr>
              <w:spacing w:after="0" w:line="240" w:lineRule="auto"/>
            </w:pPr>
            <w:r/>
            <w:r>
              <w:rPr>
                <w:rFonts w:ascii="Times New Roman" w:hAnsi="Times New Roman" w:eastAsia="Times New Roman"/>
                <w:b w:val="0"/>
                <w:sz w:val="16"/>
              </w:rPr>
              <w:t>5%</w:t>
            </w:r>
          </w:p>
        </w:tc>
      </w:tr>
      <w:tr>
        <w:tc>
          <w:tcPr>
            <w:tcW w:type="dxa" w:w="6624"/>
            <w:vAlign w:val="top"/>
          </w:tcPr>
          <w:p>
            <w:pPr>
              <w:spacing w:after="0" w:line="240" w:lineRule="auto"/>
            </w:pPr>
            <w:r/>
            <w:r>
              <w:rPr>
                <w:rFonts w:ascii="Times New Roman" w:hAnsi="Times New Roman" w:eastAsia="Times New Roman"/>
                <w:b w:val="0"/>
                <w:sz w:val="16"/>
              </w:rPr>
              <w:t>Resident natural person - listed security held for 365 days or less</w:t>
            </w:r>
          </w:p>
        </w:tc>
        <w:tc>
          <w:tcPr>
            <w:tcW w:type="dxa" w:w="3024"/>
            <w:vAlign w:val="top"/>
          </w:tcPr>
          <w:p>
            <w:pPr>
              <w:spacing w:after="0" w:line="240" w:lineRule="auto"/>
            </w:pPr>
            <w:r/>
            <w:r>
              <w:rPr>
                <w:rFonts w:ascii="Times New Roman" w:hAnsi="Times New Roman" w:eastAsia="Times New Roman"/>
                <w:b w:val="0"/>
                <w:sz w:val="16"/>
              </w:rPr>
              <w:t>7.5%</w:t>
            </w:r>
          </w:p>
        </w:tc>
      </w:tr>
      <w:tr>
        <w:tc>
          <w:tcPr>
            <w:tcW w:type="dxa" w:w="6624"/>
            <w:vAlign w:val="top"/>
          </w:tcPr>
          <w:p>
            <w:pPr>
              <w:spacing w:after="0" w:line="240" w:lineRule="auto"/>
            </w:pPr>
            <w:r/>
            <w:r>
              <w:rPr>
                <w:rFonts w:ascii="Times New Roman" w:hAnsi="Times New Roman" w:eastAsia="Times New Roman"/>
                <w:b w:val="0"/>
                <w:sz w:val="16"/>
              </w:rPr>
              <w:t>Resident entity - listed security</w:t>
            </w:r>
          </w:p>
        </w:tc>
        <w:tc>
          <w:tcPr>
            <w:tcW w:type="dxa" w:w="3024"/>
            <w:vAlign w:val="top"/>
          </w:tcPr>
          <w:p>
            <w:pPr>
              <w:spacing w:after="0" w:line="240" w:lineRule="auto"/>
            </w:pPr>
            <w:r/>
            <w:r>
              <w:rPr>
                <w:rFonts w:ascii="Times New Roman" w:hAnsi="Times New Roman" w:eastAsia="Times New Roman"/>
                <w:b w:val="0"/>
                <w:sz w:val="16"/>
              </w:rPr>
              <w:t>10%</w:t>
            </w:r>
          </w:p>
        </w:tc>
      </w:tr>
      <w:tr>
        <w:tc>
          <w:tcPr>
            <w:tcW w:type="dxa" w:w="6624"/>
            <w:vAlign w:val="top"/>
          </w:tcPr>
          <w:p>
            <w:pPr>
              <w:spacing w:after="0" w:line="240" w:lineRule="auto"/>
            </w:pPr>
            <w:r/>
            <w:r>
              <w:rPr>
                <w:rFonts w:ascii="Times New Roman" w:hAnsi="Times New Roman" w:eastAsia="Times New Roman"/>
                <w:b w:val="0"/>
                <w:sz w:val="16"/>
              </w:rPr>
              <w:t>Other person - listed security</w:t>
            </w:r>
          </w:p>
        </w:tc>
        <w:tc>
          <w:tcPr>
            <w:tcW w:type="dxa" w:w="3024"/>
            <w:vAlign w:val="top"/>
          </w:tcPr>
          <w:p>
            <w:pPr>
              <w:spacing w:after="0" w:line="240" w:lineRule="auto"/>
            </w:pPr>
            <w:r/>
            <w:r>
              <w:rPr>
                <w:rFonts w:ascii="Times New Roman" w:hAnsi="Times New Roman" w:eastAsia="Times New Roman"/>
                <w:b w:val="0"/>
                <w:sz w:val="16"/>
              </w:rPr>
              <w:t>25%</w:t>
            </w:r>
          </w:p>
        </w:tc>
      </w:tr>
      <w:tr>
        <w:tc>
          <w:tcPr>
            <w:tcW w:type="dxa" w:w="6624"/>
            <w:vAlign w:val="top"/>
          </w:tcPr>
          <w:p>
            <w:pPr>
              <w:spacing w:after="0" w:line="240" w:lineRule="auto"/>
            </w:pPr>
            <w:r/>
            <w:r>
              <w:rPr>
                <w:rFonts w:ascii="Times New Roman" w:hAnsi="Times New Roman" w:eastAsia="Times New Roman"/>
                <w:b w:val="0"/>
                <w:sz w:val="16"/>
              </w:rPr>
              <w:t>Resident natural person - unlisted interest</w:t>
            </w:r>
          </w:p>
        </w:tc>
        <w:tc>
          <w:tcPr>
            <w:tcW w:type="dxa" w:w="3024"/>
            <w:vAlign w:val="top"/>
          </w:tcPr>
          <w:p>
            <w:pPr>
              <w:spacing w:after="0" w:line="240" w:lineRule="auto"/>
            </w:pPr>
            <w:r/>
            <w:r>
              <w:rPr>
                <w:rFonts w:ascii="Times New Roman" w:hAnsi="Times New Roman" w:eastAsia="Times New Roman"/>
                <w:b w:val="0"/>
                <w:sz w:val="16"/>
              </w:rPr>
              <w:t>10%</w:t>
            </w:r>
          </w:p>
        </w:tc>
      </w:tr>
      <w:tr>
        <w:tc>
          <w:tcPr>
            <w:tcW w:type="dxa" w:w="6624"/>
            <w:vAlign w:val="top"/>
          </w:tcPr>
          <w:p>
            <w:pPr>
              <w:spacing w:after="0" w:line="240" w:lineRule="auto"/>
            </w:pPr>
            <w:r/>
            <w:r>
              <w:rPr>
                <w:rFonts w:ascii="Times New Roman" w:hAnsi="Times New Roman" w:eastAsia="Times New Roman"/>
                <w:b w:val="0"/>
                <w:sz w:val="16"/>
              </w:rPr>
              <w:t>Resident entity - unlisted interest</w:t>
            </w:r>
          </w:p>
        </w:tc>
        <w:tc>
          <w:tcPr>
            <w:tcW w:type="dxa" w:w="3024"/>
            <w:vAlign w:val="top"/>
          </w:tcPr>
          <w:p>
            <w:pPr>
              <w:spacing w:after="0" w:line="240" w:lineRule="auto"/>
            </w:pPr>
            <w:r/>
            <w:r>
              <w:rPr>
                <w:rFonts w:ascii="Times New Roman" w:hAnsi="Times New Roman" w:eastAsia="Times New Roman"/>
                <w:b w:val="0"/>
                <w:sz w:val="16"/>
              </w:rPr>
              <w:t>15%</w:t>
            </w:r>
          </w:p>
        </w:tc>
      </w:tr>
      <w:tr>
        <w:tc>
          <w:tcPr>
            <w:tcW w:type="dxa" w:w="6624"/>
            <w:vAlign w:val="top"/>
          </w:tcPr>
          <w:p>
            <w:pPr>
              <w:spacing w:after="0" w:line="240" w:lineRule="auto"/>
            </w:pPr>
            <w:r/>
            <w:r>
              <w:rPr>
                <w:rFonts w:ascii="Times New Roman" w:hAnsi="Times New Roman" w:eastAsia="Times New Roman"/>
                <w:b w:val="0"/>
                <w:sz w:val="16"/>
              </w:rPr>
              <w:t>Other person - unlisted interest</w:t>
            </w:r>
          </w:p>
        </w:tc>
        <w:tc>
          <w:tcPr>
            <w:tcW w:type="dxa" w:w="3024"/>
            <w:vAlign w:val="top"/>
          </w:tcPr>
          <w:p>
            <w:pPr>
              <w:spacing w:after="0" w:line="240" w:lineRule="auto"/>
            </w:pPr>
            <w:r/>
            <w:r>
              <w:rPr>
                <w:rFonts w:ascii="Times New Roman" w:hAnsi="Times New Roman" w:eastAsia="Times New Roman"/>
                <w:b w:val="0"/>
                <w:sz w:val="16"/>
              </w:rPr>
              <w:t>25%</w:t>
            </w:r>
          </w:p>
        </w:tc>
      </w:tr>
    </w:tbl>
    <w:p/>
    <w:p>
      <w:pPr>
        <w:pStyle w:val="Heading3"/>
        <w:spacing w:after="80" w:line="252" w:lineRule="auto"/>
      </w:pPr>
      <w:r>
        <w:rPr>
          <w:rFonts w:ascii="Times New Roman" w:hAnsi="Times New Roman" w:eastAsia="Times New Roman"/>
          <w:b w:val="0"/>
          <w:i w:val="0"/>
        </w:rPr>
        <w:t>Example 24.15.2</w:t>
      </w:r>
    </w:p>
    <w:p>
      <w:pPr>
        <w:spacing w:after="80" w:line="252" w:lineRule="auto"/>
      </w:pPr>
      <w:r>
        <w:rPr>
          <w:rFonts w:ascii="Times New Roman" w:hAnsi="Times New Roman" w:eastAsia="Times New Roman"/>
          <w:b w:val="0"/>
          <w:i w:val="0"/>
          <w:sz w:val="21"/>
        </w:rPr>
        <w:t>Anil, a resident natural person, purchased 500 listed shares at Rs. 1,000 per share and paid Rs. 4,000 broker commission on purchase. The shares are sold at Rs. 7,000 per share with Rs. 17,500 broker commission on sale. Sale value is Rs. 3,500,000 and total cost is Rs. 521,500, giving a gain of Rs. 2,978,500. If the shares were held for more than 365 days, advance tax is Rs. 148,925 at 5%; if held for 365 days or less, advance tax is Rs. 223,388 at 7.5%.</w:t>
      </w:r>
    </w:p>
    <w:p>
      <w:pPr>
        <w:pStyle w:val="Heading3"/>
        <w:spacing w:after="80" w:line="252" w:lineRule="auto"/>
      </w:pPr>
      <w:r>
        <w:rPr>
          <w:rFonts w:ascii="Times New Roman" w:hAnsi="Times New Roman" w:eastAsia="Times New Roman"/>
          <w:b w:val="0"/>
          <w:i w:val="0"/>
        </w:rPr>
        <w:t>Example 24.15.3</w:t>
      </w:r>
    </w:p>
    <w:p>
      <w:pPr>
        <w:spacing w:after="80" w:line="252" w:lineRule="auto"/>
      </w:pPr>
      <w:r>
        <w:rPr>
          <w:rFonts w:ascii="Times New Roman" w:hAnsi="Times New Roman" w:eastAsia="Times New Roman"/>
          <w:b w:val="0"/>
          <w:i w:val="0"/>
          <w:sz w:val="21"/>
        </w:rPr>
        <w:t>Nepal Bank Ltd. sells 200,000 shares of an unlisted bank at Rs. 114 per share when cost is Rs. 100 per share. The gain is Rs. 2,800,000. Because the seller is a resident entity, the entity whose interest is transferred must ensure advance tax at 15% on the gain before recording the transfer. If the seller were a resident natural person, the rate would be 10%; if a non-resident or other person, 25%.</w:t>
      </w:r>
    </w:p>
    <w:p>
      <w:pPr>
        <w:pStyle w:val="Heading3"/>
        <w:spacing w:after="80" w:line="252" w:lineRule="auto"/>
      </w:pPr>
      <w:r>
        <w:rPr>
          <w:rFonts w:ascii="Times New Roman" w:hAnsi="Times New Roman" w:eastAsia="Times New Roman"/>
          <w:b w:val="0"/>
          <w:i w:val="0"/>
        </w:rPr>
        <w:t>Weighted average cost</w:t>
      </w:r>
    </w:p>
    <w:p>
      <w:pPr>
        <w:spacing w:after="80" w:line="252" w:lineRule="auto"/>
      </w:pPr>
      <w:r>
        <w:rPr>
          <w:rFonts w:ascii="Times New Roman" w:hAnsi="Times New Roman" w:eastAsia="Times New Roman"/>
          <w:b w:val="0"/>
          <w:i w:val="0"/>
          <w:sz w:val="21"/>
        </w:rPr>
        <w:t>For listed securities, gain is computed on the basis of weighted average cost of the interests held by that person in the relevant entity at the date of disposal. This means one average cost is maintained for each investor in each company, based on actual total cost divided by total shares held.</w:t>
      </w:r>
    </w:p>
    <w:tbl>
      <w:tblPr>
        <w:tblStyle w:val="TableGrid"/>
        <w:tblW w:type="auto" w:w="0"/>
        <w:jc w:val="center"/>
        <w:tblLook w:firstColumn="1" w:firstRow="1" w:lastColumn="0" w:lastRow="0" w:noHBand="0" w:noVBand="1" w:val="04A0"/>
      </w:tblPr>
      <w:tblGrid>
        <w:gridCol w:w="1237"/>
        <w:gridCol w:w="1237"/>
        <w:gridCol w:w="1237"/>
        <w:gridCol w:w="1237"/>
        <w:gridCol w:w="1237"/>
        <w:gridCol w:w="1237"/>
        <w:gridCol w:w="1237"/>
        <w:gridCol w:w="1237"/>
      </w:tblGrid>
      <w:tr>
        <w:trPr>
          <w:tblHeader w:val="true"/>
        </w:trPr>
        <w:tc>
          <w:tcPr>
            <w:tcW w:type="dxa" w:w="720"/>
            <w:vAlign w:val="top"/>
            <w:shd w:fill="D9EAF7"/>
          </w:tcPr>
          <w:p>
            <w:pPr>
              <w:spacing w:after="0" w:line="240" w:lineRule="auto"/>
            </w:pPr>
            <w:r/>
            <w:r>
              <w:rPr>
                <w:rFonts w:ascii="Times New Roman" w:hAnsi="Times New Roman" w:eastAsia="Times New Roman"/>
                <w:b/>
                <w:sz w:val="14"/>
              </w:rPr>
              <w:t>S.N.</w:t>
            </w:r>
          </w:p>
        </w:tc>
        <w:tc>
          <w:tcPr>
            <w:tcW w:type="dxa" w:w="2160"/>
            <w:vAlign w:val="top"/>
            <w:shd w:fill="D9EAF7"/>
          </w:tcPr>
          <w:p>
            <w:pPr>
              <w:spacing w:after="0" w:line="240" w:lineRule="auto"/>
            </w:pPr>
            <w:r/>
            <w:r>
              <w:rPr>
                <w:rFonts w:ascii="Times New Roman" w:hAnsi="Times New Roman" w:eastAsia="Times New Roman"/>
                <w:b/>
                <w:sz w:val="14"/>
              </w:rPr>
              <w:t>Particular</w:t>
            </w:r>
          </w:p>
        </w:tc>
        <w:tc>
          <w:tcPr>
            <w:tcW w:type="dxa" w:w="1152"/>
            <w:vAlign w:val="top"/>
            <w:shd w:fill="D9EAF7"/>
          </w:tcPr>
          <w:p>
            <w:pPr>
              <w:spacing w:after="0" w:line="240" w:lineRule="auto"/>
            </w:pPr>
            <w:r/>
            <w:r>
              <w:rPr>
                <w:rFonts w:ascii="Times New Roman" w:hAnsi="Times New Roman" w:eastAsia="Times New Roman"/>
                <w:b/>
                <w:sz w:val="14"/>
              </w:rPr>
              <w:t>No. of shares</w:t>
            </w:r>
          </w:p>
        </w:tc>
        <w:tc>
          <w:tcPr>
            <w:tcW w:type="dxa" w:w="1152"/>
            <w:vAlign w:val="top"/>
            <w:shd w:fill="D9EAF7"/>
          </w:tcPr>
          <w:p>
            <w:pPr>
              <w:spacing w:after="0" w:line="240" w:lineRule="auto"/>
            </w:pPr>
            <w:r/>
            <w:r>
              <w:rPr>
                <w:rFonts w:ascii="Times New Roman" w:hAnsi="Times New Roman" w:eastAsia="Times New Roman"/>
                <w:b/>
                <w:sz w:val="14"/>
              </w:rPr>
              <w:t>Cost/share</w:t>
            </w:r>
          </w:p>
        </w:tc>
        <w:tc>
          <w:tcPr>
            <w:tcW w:type="dxa" w:w="1296"/>
            <w:vAlign w:val="top"/>
            <w:shd w:fill="D9EAF7"/>
          </w:tcPr>
          <w:p>
            <w:pPr>
              <w:spacing w:after="0" w:line="240" w:lineRule="auto"/>
            </w:pPr>
            <w:r/>
            <w:r>
              <w:rPr>
                <w:rFonts w:ascii="Times New Roman" w:hAnsi="Times New Roman" w:eastAsia="Times New Roman"/>
                <w:b/>
                <w:sz w:val="14"/>
              </w:rPr>
              <w:t>Cost amount</w:t>
            </w:r>
          </w:p>
        </w:tc>
        <w:tc>
          <w:tcPr>
            <w:tcW w:type="dxa" w:w="1296"/>
            <w:vAlign w:val="top"/>
            <w:shd w:fill="D9EAF7"/>
          </w:tcPr>
          <w:p>
            <w:pPr>
              <w:spacing w:after="0" w:line="240" w:lineRule="auto"/>
            </w:pPr>
            <w:r/>
            <w:r>
              <w:rPr>
                <w:rFonts w:ascii="Times New Roman" w:hAnsi="Times New Roman" w:eastAsia="Times New Roman"/>
                <w:b/>
                <w:sz w:val="14"/>
              </w:rPr>
              <w:t>Total cost</w:t>
            </w:r>
          </w:p>
        </w:tc>
        <w:tc>
          <w:tcPr>
            <w:tcW w:type="dxa" w:w="1296"/>
            <w:vAlign w:val="top"/>
            <w:shd w:fill="D9EAF7"/>
          </w:tcPr>
          <w:p>
            <w:pPr>
              <w:spacing w:after="0" w:line="240" w:lineRule="auto"/>
            </w:pPr>
            <w:r/>
            <w:r>
              <w:rPr>
                <w:rFonts w:ascii="Times New Roman" w:hAnsi="Times New Roman" w:eastAsia="Times New Roman"/>
                <w:b/>
                <w:sz w:val="14"/>
              </w:rPr>
              <w:t>Balance shares</w:t>
            </w:r>
          </w:p>
        </w:tc>
        <w:tc>
          <w:tcPr>
            <w:tcW w:type="dxa" w:w="1296"/>
            <w:vAlign w:val="top"/>
            <w:shd w:fill="D9EAF7"/>
          </w:tcPr>
          <w:p>
            <w:pPr>
              <w:spacing w:after="0" w:line="240" w:lineRule="auto"/>
            </w:pPr>
            <w:r/>
            <w:r>
              <w:rPr>
                <w:rFonts w:ascii="Times New Roman" w:hAnsi="Times New Roman" w:eastAsia="Times New Roman"/>
                <w:b/>
                <w:sz w:val="14"/>
              </w:rPr>
              <w:t>Weighted cost/share</w:t>
            </w:r>
          </w:p>
        </w:tc>
      </w:tr>
      <w:tr>
        <w:tc>
          <w:tcPr>
            <w:tcW w:type="dxa" w:w="720"/>
            <w:vAlign w:val="top"/>
          </w:tcPr>
          <w:p>
            <w:pPr>
              <w:spacing w:after="0" w:line="240" w:lineRule="auto"/>
            </w:pPr>
            <w:r/>
            <w:r>
              <w:rPr>
                <w:rFonts w:ascii="Times New Roman" w:hAnsi="Times New Roman" w:eastAsia="Times New Roman"/>
                <w:b w:val="0"/>
                <w:sz w:val="14"/>
              </w:rPr>
              <w:t>1</w:t>
            </w:r>
          </w:p>
        </w:tc>
        <w:tc>
          <w:tcPr>
            <w:tcW w:type="dxa" w:w="2160"/>
            <w:vAlign w:val="top"/>
          </w:tcPr>
          <w:p>
            <w:pPr>
              <w:spacing w:after="0" w:line="240" w:lineRule="auto"/>
            </w:pPr>
            <w:r/>
            <w:r>
              <w:rPr>
                <w:rFonts w:ascii="Times New Roman" w:hAnsi="Times New Roman" w:eastAsia="Times New Roman"/>
                <w:b w:val="0"/>
                <w:sz w:val="14"/>
              </w:rPr>
              <w:t>IPO</w:t>
            </w:r>
          </w:p>
        </w:tc>
        <w:tc>
          <w:tcPr>
            <w:tcW w:type="dxa" w:w="1152"/>
            <w:vAlign w:val="top"/>
          </w:tcPr>
          <w:p>
            <w:pPr>
              <w:spacing w:after="0" w:line="240" w:lineRule="auto"/>
            </w:pPr>
            <w:r/>
            <w:r>
              <w:rPr>
                <w:rFonts w:ascii="Times New Roman" w:hAnsi="Times New Roman" w:eastAsia="Times New Roman"/>
                <w:b w:val="0"/>
                <w:sz w:val="14"/>
              </w:rPr>
              <w:t>100</w:t>
            </w:r>
          </w:p>
        </w:tc>
        <w:tc>
          <w:tcPr>
            <w:tcW w:type="dxa" w:w="1152"/>
            <w:vAlign w:val="top"/>
          </w:tcPr>
          <w:p>
            <w:pPr>
              <w:spacing w:after="0" w:line="240" w:lineRule="auto"/>
            </w:pPr>
            <w:r/>
            <w:r>
              <w:rPr>
                <w:rFonts w:ascii="Times New Roman" w:hAnsi="Times New Roman" w:eastAsia="Times New Roman"/>
                <w:b w:val="0"/>
                <w:sz w:val="14"/>
              </w:rPr>
              <w:t>100</w:t>
            </w:r>
          </w:p>
        </w:tc>
        <w:tc>
          <w:tcPr>
            <w:tcW w:type="dxa" w:w="1296"/>
            <w:vAlign w:val="top"/>
          </w:tcPr>
          <w:p>
            <w:pPr>
              <w:spacing w:after="0" w:line="240" w:lineRule="auto"/>
            </w:pPr>
            <w:r/>
            <w:r>
              <w:rPr>
                <w:rFonts w:ascii="Times New Roman" w:hAnsi="Times New Roman" w:eastAsia="Times New Roman"/>
                <w:b w:val="0"/>
                <w:sz w:val="14"/>
              </w:rPr>
              <w:t>10,000</w:t>
            </w:r>
          </w:p>
        </w:tc>
        <w:tc>
          <w:tcPr>
            <w:tcW w:type="dxa" w:w="1296"/>
            <w:vAlign w:val="top"/>
          </w:tcPr>
          <w:p>
            <w:pPr>
              <w:spacing w:after="0" w:line="240" w:lineRule="auto"/>
            </w:pPr>
            <w:r/>
            <w:r>
              <w:rPr>
                <w:rFonts w:ascii="Times New Roman" w:hAnsi="Times New Roman" w:eastAsia="Times New Roman"/>
                <w:b w:val="0"/>
                <w:sz w:val="14"/>
              </w:rPr>
              <w:t>10,000</w:t>
            </w:r>
          </w:p>
        </w:tc>
        <w:tc>
          <w:tcPr>
            <w:tcW w:type="dxa" w:w="1296"/>
            <w:vAlign w:val="top"/>
          </w:tcPr>
          <w:p>
            <w:pPr>
              <w:spacing w:after="0" w:line="240" w:lineRule="auto"/>
            </w:pPr>
            <w:r/>
            <w:r>
              <w:rPr>
                <w:rFonts w:ascii="Times New Roman" w:hAnsi="Times New Roman" w:eastAsia="Times New Roman"/>
                <w:b w:val="0"/>
                <w:sz w:val="14"/>
              </w:rPr>
              <w:t>100</w:t>
            </w:r>
          </w:p>
        </w:tc>
        <w:tc>
          <w:tcPr>
            <w:tcW w:type="dxa" w:w="1296"/>
            <w:vAlign w:val="top"/>
          </w:tcPr>
          <w:p>
            <w:pPr>
              <w:spacing w:after="0" w:line="240" w:lineRule="auto"/>
            </w:pPr>
            <w:r/>
            <w:r>
              <w:rPr>
                <w:rFonts w:ascii="Times New Roman" w:hAnsi="Times New Roman" w:eastAsia="Times New Roman"/>
                <w:b w:val="0"/>
                <w:sz w:val="14"/>
              </w:rPr>
              <w:t>100.00</w:t>
            </w:r>
          </w:p>
        </w:tc>
      </w:tr>
      <w:tr>
        <w:tc>
          <w:tcPr>
            <w:tcW w:type="dxa" w:w="720"/>
            <w:vAlign w:val="top"/>
          </w:tcPr>
          <w:p>
            <w:pPr>
              <w:spacing w:after="0" w:line="240" w:lineRule="auto"/>
            </w:pPr>
            <w:r/>
            <w:r>
              <w:rPr>
                <w:rFonts w:ascii="Times New Roman" w:hAnsi="Times New Roman" w:eastAsia="Times New Roman"/>
                <w:b w:val="0"/>
                <w:sz w:val="14"/>
              </w:rPr>
              <w:t>2</w:t>
            </w:r>
          </w:p>
        </w:tc>
        <w:tc>
          <w:tcPr>
            <w:tcW w:type="dxa" w:w="2160"/>
            <w:vAlign w:val="top"/>
          </w:tcPr>
          <w:p>
            <w:pPr>
              <w:spacing w:after="0" w:line="240" w:lineRule="auto"/>
            </w:pPr>
            <w:r/>
            <w:r>
              <w:rPr>
                <w:rFonts w:ascii="Times New Roman" w:hAnsi="Times New Roman" w:eastAsia="Times New Roman"/>
                <w:b w:val="0"/>
                <w:sz w:val="14"/>
              </w:rPr>
              <w:t>Bonus</w:t>
            </w:r>
          </w:p>
        </w:tc>
        <w:tc>
          <w:tcPr>
            <w:tcW w:type="dxa" w:w="1152"/>
            <w:vAlign w:val="top"/>
          </w:tcPr>
          <w:p>
            <w:pPr>
              <w:spacing w:after="0" w:line="240" w:lineRule="auto"/>
            </w:pPr>
            <w:r/>
            <w:r>
              <w:rPr>
                <w:rFonts w:ascii="Times New Roman" w:hAnsi="Times New Roman" w:eastAsia="Times New Roman"/>
                <w:b w:val="0"/>
                <w:sz w:val="14"/>
              </w:rPr>
              <w:t>50</w:t>
            </w:r>
          </w:p>
        </w:tc>
        <w:tc>
          <w:tcPr>
            <w:tcW w:type="dxa" w:w="1152"/>
            <w:vAlign w:val="top"/>
          </w:tcPr>
          <w:p>
            <w:pPr>
              <w:spacing w:after="0" w:line="240" w:lineRule="auto"/>
            </w:pPr>
            <w:r/>
            <w:r>
              <w:rPr>
                <w:rFonts w:ascii="Times New Roman" w:hAnsi="Times New Roman" w:eastAsia="Times New Roman"/>
                <w:b w:val="0"/>
                <w:sz w:val="14"/>
              </w:rPr>
              <w:t>100</w:t>
            </w:r>
          </w:p>
        </w:tc>
        <w:tc>
          <w:tcPr>
            <w:tcW w:type="dxa" w:w="1296"/>
            <w:vAlign w:val="top"/>
          </w:tcPr>
          <w:p>
            <w:pPr>
              <w:spacing w:after="0" w:line="240" w:lineRule="auto"/>
            </w:pPr>
            <w:r/>
            <w:r>
              <w:rPr>
                <w:rFonts w:ascii="Times New Roman" w:hAnsi="Times New Roman" w:eastAsia="Times New Roman"/>
                <w:b w:val="0"/>
                <w:sz w:val="14"/>
              </w:rPr>
              <w:t>5,000</w:t>
            </w:r>
          </w:p>
        </w:tc>
        <w:tc>
          <w:tcPr>
            <w:tcW w:type="dxa" w:w="1296"/>
            <w:vAlign w:val="top"/>
          </w:tcPr>
          <w:p>
            <w:pPr>
              <w:spacing w:after="0" w:line="240" w:lineRule="auto"/>
            </w:pPr>
            <w:r/>
            <w:r>
              <w:rPr>
                <w:rFonts w:ascii="Times New Roman" w:hAnsi="Times New Roman" w:eastAsia="Times New Roman"/>
                <w:b w:val="0"/>
                <w:sz w:val="14"/>
              </w:rPr>
              <w:t>15,000</w:t>
            </w:r>
          </w:p>
        </w:tc>
        <w:tc>
          <w:tcPr>
            <w:tcW w:type="dxa" w:w="1296"/>
            <w:vAlign w:val="top"/>
          </w:tcPr>
          <w:p>
            <w:pPr>
              <w:spacing w:after="0" w:line="240" w:lineRule="auto"/>
            </w:pPr>
            <w:r/>
            <w:r>
              <w:rPr>
                <w:rFonts w:ascii="Times New Roman" w:hAnsi="Times New Roman" w:eastAsia="Times New Roman"/>
                <w:b w:val="0"/>
                <w:sz w:val="14"/>
              </w:rPr>
              <w:t>150</w:t>
            </w:r>
          </w:p>
        </w:tc>
        <w:tc>
          <w:tcPr>
            <w:tcW w:type="dxa" w:w="1296"/>
            <w:vAlign w:val="top"/>
          </w:tcPr>
          <w:p>
            <w:pPr>
              <w:spacing w:after="0" w:line="240" w:lineRule="auto"/>
            </w:pPr>
            <w:r/>
            <w:r>
              <w:rPr>
                <w:rFonts w:ascii="Times New Roman" w:hAnsi="Times New Roman" w:eastAsia="Times New Roman"/>
                <w:b w:val="0"/>
                <w:sz w:val="14"/>
              </w:rPr>
              <w:t>100.00</w:t>
            </w:r>
          </w:p>
        </w:tc>
      </w:tr>
      <w:tr>
        <w:tc>
          <w:tcPr>
            <w:tcW w:type="dxa" w:w="720"/>
            <w:vAlign w:val="top"/>
          </w:tcPr>
          <w:p>
            <w:pPr>
              <w:spacing w:after="0" w:line="240" w:lineRule="auto"/>
            </w:pPr>
            <w:r/>
            <w:r>
              <w:rPr>
                <w:rFonts w:ascii="Times New Roman" w:hAnsi="Times New Roman" w:eastAsia="Times New Roman"/>
                <w:b w:val="0"/>
                <w:sz w:val="14"/>
              </w:rPr>
              <w:t>3</w:t>
            </w:r>
          </w:p>
        </w:tc>
        <w:tc>
          <w:tcPr>
            <w:tcW w:type="dxa" w:w="2160"/>
            <w:vAlign w:val="top"/>
          </w:tcPr>
          <w:p>
            <w:pPr>
              <w:spacing w:after="0" w:line="240" w:lineRule="auto"/>
            </w:pPr>
            <w:r/>
            <w:r>
              <w:rPr>
                <w:rFonts w:ascii="Times New Roman" w:hAnsi="Times New Roman" w:eastAsia="Times New Roman"/>
                <w:b w:val="0"/>
                <w:sz w:val="14"/>
              </w:rPr>
              <w:t>Secondary buy</w:t>
            </w:r>
          </w:p>
        </w:tc>
        <w:tc>
          <w:tcPr>
            <w:tcW w:type="dxa" w:w="1152"/>
            <w:vAlign w:val="top"/>
          </w:tcPr>
          <w:p>
            <w:pPr>
              <w:spacing w:after="0" w:line="240" w:lineRule="auto"/>
            </w:pPr>
            <w:r/>
            <w:r>
              <w:rPr>
                <w:rFonts w:ascii="Times New Roman" w:hAnsi="Times New Roman" w:eastAsia="Times New Roman"/>
                <w:b w:val="0"/>
                <w:sz w:val="14"/>
              </w:rPr>
              <w:t>200</w:t>
            </w:r>
          </w:p>
        </w:tc>
        <w:tc>
          <w:tcPr>
            <w:tcW w:type="dxa" w:w="1152"/>
            <w:vAlign w:val="top"/>
          </w:tcPr>
          <w:p>
            <w:pPr>
              <w:spacing w:after="0" w:line="240" w:lineRule="auto"/>
            </w:pPr>
            <w:r/>
            <w:r>
              <w:rPr>
                <w:rFonts w:ascii="Times New Roman" w:hAnsi="Times New Roman" w:eastAsia="Times New Roman"/>
                <w:b w:val="0"/>
                <w:sz w:val="14"/>
              </w:rPr>
              <w:t>400</w:t>
            </w:r>
          </w:p>
        </w:tc>
        <w:tc>
          <w:tcPr>
            <w:tcW w:type="dxa" w:w="1296"/>
            <w:vAlign w:val="top"/>
          </w:tcPr>
          <w:p>
            <w:pPr>
              <w:spacing w:after="0" w:line="240" w:lineRule="auto"/>
            </w:pPr>
            <w:r/>
            <w:r>
              <w:rPr>
                <w:rFonts w:ascii="Times New Roman" w:hAnsi="Times New Roman" w:eastAsia="Times New Roman"/>
                <w:b w:val="0"/>
                <w:sz w:val="14"/>
              </w:rPr>
              <w:t>80,000</w:t>
            </w:r>
          </w:p>
        </w:tc>
        <w:tc>
          <w:tcPr>
            <w:tcW w:type="dxa" w:w="1296"/>
            <w:vAlign w:val="top"/>
          </w:tcPr>
          <w:p>
            <w:pPr>
              <w:spacing w:after="0" w:line="240" w:lineRule="auto"/>
            </w:pPr>
            <w:r/>
            <w:r>
              <w:rPr>
                <w:rFonts w:ascii="Times New Roman" w:hAnsi="Times New Roman" w:eastAsia="Times New Roman"/>
                <w:b w:val="0"/>
                <w:sz w:val="14"/>
              </w:rPr>
              <w:t>95,000</w:t>
            </w:r>
          </w:p>
        </w:tc>
        <w:tc>
          <w:tcPr>
            <w:tcW w:type="dxa" w:w="1296"/>
            <w:vAlign w:val="top"/>
          </w:tcPr>
          <w:p>
            <w:pPr>
              <w:spacing w:after="0" w:line="240" w:lineRule="auto"/>
            </w:pPr>
            <w:r/>
            <w:r>
              <w:rPr>
                <w:rFonts w:ascii="Times New Roman" w:hAnsi="Times New Roman" w:eastAsia="Times New Roman"/>
                <w:b w:val="0"/>
                <w:sz w:val="14"/>
              </w:rPr>
              <w:t>350</w:t>
            </w:r>
          </w:p>
        </w:tc>
        <w:tc>
          <w:tcPr>
            <w:tcW w:type="dxa" w:w="1296"/>
            <w:vAlign w:val="top"/>
          </w:tcPr>
          <w:p>
            <w:pPr>
              <w:spacing w:after="0" w:line="240" w:lineRule="auto"/>
            </w:pPr>
            <w:r/>
            <w:r>
              <w:rPr>
                <w:rFonts w:ascii="Times New Roman" w:hAnsi="Times New Roman" w:eastAsia="Times New Roman"/>
                <w:b w:val="0"/>
                <w:sz w:val="14"/>
              </w:rPr>
              <w:t>271.43</w:t>
            </w:r>
          </w:p>
        </w:tc>
      </w:tr>
      <w:tr>
        <w:tc>
          <w:tcPr>
            <w:tcW w:type="dxa" w:w="720"/>
            <w:vAlign w:val="top"/>
          </w:tcPr>
          <w:p>
            <w:pPr>
              <w:spacing w:after="0" w:line="240" w:lineRule="auto"/>
            </w:pPr>
            <w:r/>
            <w:r>
              <w:rPr>
                <w:rFonts w:ascii="Times New Roman" w:hAnsi="Times New Roman" w:eastAsia="Times New Roman"/>
                <w:b w:val="0"/>
                <w:sz w:val="14"/>
              </w:rPr>
              <w:t>4</w:t>
            </w:r>
          </w:p>
        </w:tc>
        <w:tc>
          <w:tcPr>
            <w:tcW w:type="dxa" w:w="2160"/>
            <w:vAlign w:val="top"/>
          </w:tcPr>
          <w:p>
            <w:pPr>
              <w:spacing w:after="0" w:line="240" w:lineRule="auto"/>
            </w:pPr>
            <w:r/>
            <w:r>
              <w:rPr>
                <w:rFonts w:ascii="Times New Roman" w:hAnsi="Times New Roman" w:eastAsia="Times New Roman"/>
                <w:b w:val="0"/>
                <w:sz w:val="14"/>
              </w:rPr>
              <w:t>Secondary sale</w:t>
            </w:r>
          </w:p>
        </w:tc>
        <w:tc>
          <w:tcPr>
            <w:tcW w:type="dxa" w:w="1152"/>
            <w:vAlign w:val="top"/>
          </w:tcPr>
          <w:p>
            <w:pPr>
              <w:spacing w:after="0" w:line="240" w:lineRule="auto"/>
            </w:pPr>
            <w:r/>
            <w:r>
              <w:rPr>
                <w:rFonts w:ascii="Times New Roman" w:hAnsi="Times New Roman" w:eastAsia="Times New Roman"/>
                <w:b w:val="0"/>
                <w:sz w:val="14"/>
              </w:rPr>
              <w:t>-50</w:t>
            </w:r>
          </w:p>
        </w:tc>
        <w:tc>
          <w:tcPr>
            <w:tcW w:type="dxa" w:w="1152"/>
            <w:vAlign w:val="top"/>
          </w:tcPr>
          <w:p>
            <w:pPr>
              <w:spacing w:after="0" w:line="240" w:lineRule="auto"/>
            </w:pPr>
            <w:r/>
            <w:r>
              <w:rPr>
                <w:rFonts w:ascii="Times New Roman" w:hAnsi="Times New Roman" w:eastAsia="Times New Roman"/>
                <w:b w:val="0"/>
                <w:sz w:val="14"/>
              </w:rPr>
              <w:t>300</w:t>
            </w:r>
          </w:p>
        </w:tc>
        <w:tc>
          <w:tcPr>
            <w:tcW w:type="dxa" w:w="1296"/>
            <w:vAlign w:val="top"/>
          </w:tcPr>
          <w:p>
            <w:pPr>
              <w:spacing w:after="0" w:line="240" w:lineRule="auto"/>
            </w:pPr>
            <w:r/>
            <w:r>
              <w:rPr>
                <w:rFonts w:ascii="Times New Roman" w:hAnsi="Times New Roman" w:eastAsia="Times New Roman"/>
                <w:b w:val="0"/>
                <w:sz w:val="14"/>
              </w:rPr>
              <w:t>-15,000</w:t>
            </w:r>
          </w:p>
        </w:tc>
        <w:tc>
          <w:tcPr>
            <w:tcW w:type="dxa" w:w="1296"/>
            <w:vAlign w:val="top"/>
          </w:tcPr>
          <w:p>
            <w:pPr>
              <w:spacing w:after="0" w:line="240" w:lineRule="auto"/>
            </w:pPr>
            <w:r/>
            <w:r>
              <w:rPr>
                <w:rFonts w:ascii="Times New Roman" w:hAnsi="Times New Roman" w:eastAsia="Times New Roman"/>
                <w:b w:val="0"/>
                <w:sz w:val="14"/>
              </w:rPr>
              <w:t>80,000</w:t>
            </w:r>
          </w:p>
        </w:tc>
        <w:tc>
          <w:tcPr>
            <w:tcW w:type="dxa" w:w="1296"/>
            <w:vAlign w:val="top"/>
          </w:tcPr>
          <w:p>
            <w:pPr>
              <w:spacing w:after="0" w:line="240" w:lineRule="auto"/>
            </w:pPr>
            <w:r/>
            <w:r>
              <w:rPr>
                <w:rFonts w:ascii="Times New Roman" w:hAnsi="Times New Roman" w:eastAsia="Times New Roman"/>
                <w:b w:val="0"/>
                <w:sz w:val="14"/>
              </w:rPr>
              <w:t>300</w:t>
            </w:r>
          </w:p>
        </w:tc>
        <w:tc>
          <w:tcPr>
            <w:tcW w:type="dxa" w:w="1296"/>
            <w:vAlign w:val="top"/>
          </w:tcPr>
          <w:p>
            <w:pPr>
              <w:spacing w:after="0" w:line="240" w:lineRule="auto"/>
            </w:pPr>
            <w:r/>
            <w:r>
              <w:rPr>
                <w:rFonts w:ascii="Times New Roman" w:hAnsi="Times New Roman" w:eastAsia="Times New Roman"/>
                <w:b w:val="0"/>
                <w:sz w:val="14"/>
              </w:rPr>
              <w:t>266.67</w:t>
            </w:r>
          </w:p>
        </w:tc>
      </w:tr>
      <w:tr>
        <w:tc>
          <w:tcPr>
            <w:tcW w:type="dxa" w:w="720"/>
            <w:vAlign w:val="top"/>
          </w:tcPr>
          <w:p>
            <w:pPr>
              <w:spacing w:after="0" w:line="240" w:lineRule="auto"/>
            </w:pPr>
            <w:r/>
            <w:r>
              <w:rPr>
                <w:rFonts w:ascii="Times New Roman" w:hAnsi="Times New Roman" w:eastAsia="Times New Roman"/>
                <w:b w:val="0"/>
                <w:sz w:val="14"/>
              </w:rPr>
              <w:t>5</w:t>
            </w:r>
          </w:p>
        </w:tc>
        <w:tc>
          <w:tcPr>
            <w:tcW w:type="dxa" w:w="2160"/>
            <w:vAlign w:val="top"/>
          </w:tcPr>
          <w:p>
            <w:pPr>
              <w:spacing w:after="0" w:line="240" w:lineRule="auto"/>
            </w:pPr>
            <w:r/>
            <w:r>
              <w:rPr>
                <w:rFonts w:ascii="Times New Roman" w:hAnsi="Times New Roman" w:eastAsia="Times New Roman"/>
                <w:b w:val="0"/>
                <w:sz w:val="14"/>
              </w:rPr>
              <w:t>Secondary buy</w:t>
            </w:r>
          </w:p>
        </w:tc>
        <w:tc>
          <w:tcPr>
            <w:tcW w:type="dxa" w:w="1152"/>
            <w:vAlign w:val="top"/>
          </w:tcPr>
          <w:p>
            <w:pPr>
              <w:spacing w:after="0" w:line="240" w:lineRule="auto"/>
            </w:pPr>
            <w:r/>
            <w:r>
              <w:rPr>
                <w:rFonts w:ascii="Times New Roman" w:hAnsi="Times New Roman" w:eastAsia="Times New Roman"/>
                <w:b w:val="0"/>
                <w:sz w:val="14"/>
              </w:rPr>
              <w:t>70</w:t>
            </w:r>
          </w:p>
        </w:tc>
        <w:tc>
          <w:tcPr>
            <w:tcW w:type="dxa" w:w="1152"/>
            <w:vAlign w:val="top"/>
          </w:tcPr>
          <w:p>
            <w:pPr>
              <w:spacing w:after="0" w:line="240" w:lineRule="auto"/>
            </w:pPr>
            <w:r/>
            <w:r>
              <w:rPr>
                <w:rFonts w:ascii="Times New Roman" w:hAnsi="Times New Roman" w:eastAsia="Times New Roman"/>
                <w:b w:val="0"/>
                <w:sz w:val="14"/>
              </w:rPr>
              <w:t>350</w:t>
            </w:r>
          </w:p>
        </w:tc>
        <w:tc>
          <w:tcPr>
            <w:tcW w:type="dxa" w:w="1296"/>
            <w:vAlign w:val="top"/>
          </w:tcPr>
          <w:p>
            <w:pPr>
              <w:spacing w:after="0" w:line="240" w:lineRule="auto"/>
            </w:pPr>
            <w:r/>
            <w:r>
              <w:rPr>
                <w:rFonts w:ascii="Times New Roman" w:hAnsi="Times New Roman" w:eastAsia="Times New Roman"/>
                <w:b w:val="0"/>
                <w:sz w:val="14"/>
              </w:rPr>
              <w:t>24,500</w:t>
            </w:r>
          </w:p>
        </w:tc>
        <w:tc>
          <w:tcPr>
            <w:tcW w:type="dxa" w:w="1296"/>
            <w:vAlign w:val="top"/>
          </w:tcPr>
          <w:p>
            <w:pPr>
              <w:spacing w:after="0" w:line="240" w:lineRule="auto"/>
            </w:pPr>
            <w:r/>
            <w:r>
              <w:rPr>
                <w:rFonts w:ascii="Times New Roman" w:hAnsi="Times New Roman" w:eastAsia="Times New Roman"/>
                <w:b w:val="0"/>
                <w:sz w:val="14"/>
              </w:rPr>
              <w:t>104,500</w:t>
            </w:r>
          </w:p>
        </w:tc>
        <w:tc>
          <w:tcPr>
            <w:tcW w:type="dxa" w:w="1296"/>
            <w:vAlign w:val="top"/>
          </w:tcPr>
          <w:p>
            <w:pPr>
              <w:spacing w:after="0" w:line="240" w:lineRule="auto"/>
            </w:pPr>
            <w:r/>
            <w:r>
              <w:rPr>
                <w:rFonts w:ascii="Times New Roman" w:hAnsi="Times New Roman" w:eastAsia="Times New Roman"/>
                <w:b w:val="0"/>
                <w:sz w:val="14"/>
              </w:rPr>
              <w:t>370</w:t>
            </w:r>
          </w:p>
        </w:tc>
        <w:tc>
          <w:tcPr>
            <w:tcW w:type="dxa" w:w="1296"/>
            <w:vAlign w:val="top"/>
          </w:tcPr>
          <w:p>
            <w:pPr>
              <w:spacing w:after="0" w:line="240" w:lineRule="auto"/>
            </w:pPr>
            <w:r/>
            <w:r>
              <w:rPr>
                <w:rFonts w:ascii="Times New Roman" w:hAnsi="Times New Roman" w:eastAsia="Times New Roman"/>
                <w:b w:val="0"/>
                <w:sz w:val="14"/>
              </w:rPr>
              <w:t>282.43</w:t>
            </w:r>
          </w:p>
        </w:tc>
      </w:tr>
      <w:tr>
        <w:tc>
          <w:tcPr>
            <w:tcW w:type="dxa" w:w="720"/>
            <w:vAlign w:val="top"/>
          </w:tcPr>
          <w:p>
            <w:pPr>
              <w:spacing w:after="0" w:line="240" w:lineRule="auto"/>
            </w:pPr>
            <w:r/>
            <w:r>
              <w:rPr>
                <w:rFonts w:ascii="Times New Roman" w:hAnsi="Times New Roman" w:eastAsia="Times New Roman"/>
                <w:b w:val="0"/>
                <w:sz w:val="14"/>
              </w:rPr>
              <w:t>6</w:t>
            </w:r>
          </w:p>
        </w:tc>
        <w:tc>
          <w:tcPr>
            <w:tcW w:type="dxa" w:w="2160"/>
            <w:vAlign w:val="top"/>
          </w:tcPr>
          <w:p>
            <w:pPr>
              <w:spacing w:after="0" w:line="240" w:lineRule="auto"/>
            </w:pPr>
            <w:r/>
            <w:r>
              <w:rPr>
                <w:rFonts w:ascii="Times New Roman" w:hAnsi="Times New Roman" w:eastAsia="Times New Roman"/>
                <w:b w:val="0"/>
                <w:sz w:val="14"/>
              </w:rPr>
              <w:t>Right share</w:t>
            </w:r>
          </w:p>
        </w:tc>
        <w:tc>
          <w:tcPr>
            <w:tcW w:type="dxa" w:w="1152"/>
            <w:vAlign w:val="top"/>
          </w:tcPr>
          <w:p>
            <w:pPr>
              <w:spacing w:after="0" w:line="240" w:lineRule="auto"/>
            </w:pPr>
            <w:r/>
            <w:r>
              <w:rPr>
                <w:rFonts w:ascii="Times New Roman" w:hAnsi="Times New Roman" w:eastAsia="Times New Roman"/>
                <w:b w:val="0"/>
                <w:sz w:val="14"/>
              </w:rPr>
              <w:t>50</w:t>
            </w:r>
          </w:p>
        </w:tc>
        <w:tc>
          <w:tcPr>
            <w:tcW w:type="dxa" w:w="1152"/>
            <w:vAlign w:val="top"/>
          </w:tcPr>
          <w:p>
            <w:pPr>
              <w:spacing w:after="0" w:line="240" w:lineRule="auto"/>
            </w:pPr>
            <w:r/>
            <w:r>
              <w:rPr>
                <w:rFonts w:ascii="Times New Roman" w:hAnsi="Times New Roman" w:eastAsia="Times New Roman"/>
                <w:b w:val="0"/>
                <w:sz w:val="14"/>
              </w:rPr>
              <w:t>100</w:t>
            </w:r>
          </w:p>
        </w:tc>
        <w:tc>
          <w:tcPr>
            <w:tcW w:type="dxa" w:w="1296"/>
            <w:vAlign w:val="top"/>
          </w:tcPr>
          <w:p>
            <w:pPr>
              <w:spacing w:after="0" w:line="240" w:lineRule="auto"/>
            </w:pPr>
            <w:r/>
            <w:r>
              <w:rPr>
                <w:rFonts w:ascii="Times New Roman" w:hAnsi="Times New Roman" w:eastAsia="Times New Roman"/>
                <w:b w:val="0"/>
                <w:sz w:val="14"/>
              </w:rPr>
              <w:t>5,000</w:t>
            </w:r>
          </w:p>
        </w:tc>
        <w:tc>
          <w:tcPr>
            <w:tcW w:type="dxa" w:w="1296"/>
            <w:vAlign w:val="top"/>
          </w:tcPr>
          <w:p>
            <w:pPr>
              <w:spacing w:after="0" w:line="240" w:lineRule="auto"/>
            </w:pPr>
            <w:r/>
            <w:r>
              <w:rPr>
                <w:rFonts w:ascii="Times New Roman" w:hAnsi="Times New Roman" w:eastAsia="Times New Roman"/>
                <w:b w:val="0"/>
                <w:sz w:val="14"/>
              </w:rPr>
              <w:t>109,500</w:t>
            </w:r>
          </w:p>
        </w:tc>
        <w:tc>
          <w:tcPr>
            <w:tcW w:type="dxa" w:w="1296"/>
            <w:vAlign w:val="top"/>
          </w:tcPr>
          <w:p>
            <w:pPr>
              <w:spacing w:after="0" w:line="240" w:lineRule="auto"/>
            </w:pPr>
            <w:r/>
            <w:r>
              <w:rPr>
                <w:rFonts w:ascii="Times New Roman" w:hAnsi="Times New Roman" w:eastAsia="Times New Roman"/>
                <w:b w:val="0"/>
                <w:sz w:val="14"/>
              </w:rPr>
              <w:t>420</w:t>
            </w:r>
          </w:p>
        </w:tc>
        <w:tc>
          <w:tcPr>
            <w:tcW w:type="dxa" w:w="1296"/>
            <w:vAlign w:val="top"/>
          </w:tcPr>
          <w:p>
            <w:pPr>
              <w:spacing w:after="0" w:line="240" w:lineRule="auto"/>
            </w:pPr>
            <w:r/>
            <w:r>
              <w:rPr>
                <w:rFonts w:ascii="Times New Roman" w:hAnsi="Times New Roman" w:eastAsia="Times New Roman"/>
                <w:b w:val="0"/>
                <w:sz w:val="14"/>
              </w:rPr>
              <w:t>260.71</w:t>
            </w:r>
          </w:p>
        </w:tc>
      </w:tr>
    </w:tbl>
    <w:p/>
    <w:p>
      <w:pPr>
        <w:pStyle w:val="Heading3"/>
        <w:spacing w:after="80" w:line="252" w:lineRule="auto"/>
      </w:pPr>
      <w:r>
        <w:rPr>
          <w:rFonts w:ascii="Times New Roman" w:hAnsi="Times New Roman" w:eastAsia="Times New Roman"/>
          <w:b w:val="0"/>
          <w:i w:val="0"/>
        </w:rPr>
        <w:t>24.15.3 Capital gain on disposal of land or private building by a natural person</w:t>
      </w:r>
    </w:p>
    <w:p>
      <w:pPr>
        <w:spacing w:after="80" w:line="252" w:lineRule="auto"/>
      </w:pPr>
      <w:r>
        <w:rPr>
          <w:rFonts w:ascii="Times New Roman" w:hAnsi="Times New Roman" w:eastAsia="Times New Roman"/>
          <w:b w:val="0"/>
          <w:i w:val="0"/>
          <w:sz w:val="21"/>
        </w:rPr>
        <w:t>For a natural person disposing of land or a private building, the Land Revenue Office collects advance tax at registration on the capital gain. Where the non-business taxable asset has been owned for five years or more, the advance tax rate is 2.5% on the gain for collection under section 95A(5). Where ownership is less than five years, the rate is 7.5%. A private building owned continuously for ten years or more and used by the person for residence continuously or intermittently for ten years or more is excluded from non-business taxable asset. Disposal for less than Rs. 1,000,000 is also excluded.</w:t>
      </w:r>
    </w:p>
    <w:p>
      <w:pPr>
        <w:pStyle w:val="Heading3"/>
        <w:spacing w:after="80" w:line="252" w:lineRule="auto"/>
      </w:pPr>
      <w:r>
        <w:rPr>
          <w:rFonts w:ascii="Times New Roman" w:hAnsi="Times New Roman" w:eastAsia="Times New Roman"/>
          <w:b w:val="0"/>
          <w:i w:val="0"/>
        </w:rPr>
        <w:t>Example 24.15.5</w:t>
      </w:r>
    </w:p>
    <w:p>
      <w:pPr>
        <w:spacing w:after="80" w:line="252" w:lineRule="auto"/>
      </w:pPr>
      <w:r>
        <w:rPr>
          <w:rFonts w:ascii="Times New Roman" w:hAnsi="Times New Roman" w:eastAsia="Times New Roman"/>
          <w:b w:val="0"/>
          <w:i w:val="0"/>
          <w:sz w:val="21"/>
        </w:rPr>
        <w:t>Ramesh Bagale purchased house-land for Rs. 3,000,000 on 2073/08/15 and sold it on 2080/07/04 for Rs. 5,200,000. Gain is Rs. 2,200,000. Because ownership is five years or more, the Land Revenue Office collects advance tax at 2.5%, i.e. Rs. 55,000. The seller may adjust this advance tax against total tax liability by filing an income return.</w:t>
      </w:r>
    </w:p>
    <w:p>
      <w:pPr>
        <w:pStyle w:val="Heading3"/>
        <w:spacing w:after="80" w:line="252" w:lineRule="auto"/>
      </w:pPr>
      <w:r>
        <w:rPr>
          <w:rFonts w:ascii="Times New Roman" w:hAnsi="Times New Roman" w:eastAsia="Times New Roman"/>
          <w:b w:val="0"/>
          <w:i w:val="0"/>
        </w:rPr>
        <w:t>Examples 24.15.6 to 24.15.8</w:t>
      </w:r>
    </w:p>
    <w:p>
      <w:pPr>
        <w:spacing w:after="80" w:line="252" w:lineRule="auto"/>
      </w:pPr>
      <w:r>
        <w:rPr>
          <w:rFonts w:ascii="Times New Roman" w:hAnsi="Times New Roman" w:eastAsia="Times New Roman"/>
          <w:b w:val="0"/>
          <w:i w:val="0"/>
          <w:sz w:val="21"/>
        </w:rPr>
        <w:t>If the house-land was purchased more than ten years before sale and the seller resided in it for the required ten-year period, it is not a non-business taxable asset and advance capital-gain tax is not collected. Similarly, where disposal is below Rs. 1,000,000, the asset is outside the taxable non-business taxable asset definition. If the asset was owned for less than five years and gain is Rs. 1,200,000, advance tax is Rs. 90,000 at 7.5%.</w:t>
      </w:r>
    </w:p>
    <w:p>
      <w:pPr>
        <w:pStyle w:val="Heading3"/>
        <w:spacing w:after="80" w:line="252" w:lineRule="auto"/>
      </w:pPr>
      <w:r>
        <w:rPr>
          <w:rFonts w:ascii="Times New Roman" w:hAnsi="Times New Roman" w:eastAsia="Times New Roman"/>
          <w:b w:val="0"/>
          <w:i w:val="0"/>
        </w:rPr>
        <w:t>Other advance tax collection provisions</w:t>
      </w:r>
    </w:p>
    <w:tbl>
      <w:tblPr>
        <w:tblStyle w:val="TableGrid"/>
        <w:tblW w:type="auto" w:w="0"/>
        <w:jc w:val="center"/>
        <w:tblLook w:firstColumn="1" w:firstRow="1" w:lastColumn="0" w:lastRow="0" w:noHBand="0" w:noVBand="1" w:val="04A0"/>
      </w:tblPr>
      <w:tblGrid>
        <w:gridCol w:w="3298"/>
        <w:gridCol w:w="3298"/>
        <w:gridCol w:w="3298"/>
      </w:tblGrid>
      <w:tr>
        <w:trPr>
          <w:tblHeader w:val="true"/>
        </w:trPr>
        <w:tc>
          <w:tcPr>
            <w:tcW w:type="dxa" w:w="1584"/>
            <w:vAlign w:val="top"/>
            <w:shd w:fill="D9EAF7"/>
          </w:tcPr>
          <w:p>
            <w:pPr>
              <w:spacing w:after="0" w:line="240" w:lineRule="auto"/>
            </w:pPr>
            <w:r/>
            <w:r>
              <w:rPr>
                <w:rFonts w:ascii="Times New Roman" w:hAnsi="Times New Roman" w:eastAsia="Times New Roman"/>
                <w:b/>
                <w:sz w:val="15"/>
              </w:rPr>
              <w:t>Provision</w:t>
            </w:r>
          </w:p>
        </w:tc>
        <w:tc>
          <w:tcPr>
            <w:tcW w:type="dxa" w:w="6264"/>
            <w:vAlign w:val="top"/>
            <w:shd w:fill="D9EAF7"/>
          </w:tcPr>
          <w:p>
            <w:pPr>
              <w:spacing w:after="0" w:line="240" w:lineRule="auto"/>
            </w:pPr>
            <w:r/>
            <w:r>
              <w:rPr>
                <w:rFonts w:ascii="Times New Roman" w:hAnsi="Times New Roman" w:eastAsia="Times New Roman"/>
                <w:b/>
                <w:sz w:val="15"/>
              </w:rPr>
              <w:t>Payment / transaction</w:t>
            </w:r>
          </w:p>
        </w:tc>
        <w:tc>
          <w:tcPr>
            <w:tcW w:type="dxa" w:w="2520"/>
            <w:vAlign w:val="top"/>
            <w:shd w:fill="D9EAF7"/>
          </w:tcPr>
          <w:p>
            <w:pPr>
              <w:spacing w:after="0" w:line="240" w:lineRule="auto"/>
            </w:pPr>
            <w:r/>
            <w:r>
              <w:rPr>
                <w:rFonts w:ascii="Times New Roman" w:hAnsi="Times New Roman" w:eastAsia="Times New Roman"/>
                <w:b/>
                <w:sz w:val="15"/>
              </w:rPr>
              <w:t>Advance tax collection</w:t>
            </w:r>
          </w:p>
        </w:tc>
      </w:tr>
      <w:tr>
        <w:tc>
          <w:tcPr>
            <w:tcW w:type="dxa" w:w="1584"/>
            <w:vAlign w:val="top"/>
          </w:tcPr>
          <w:p>
            <w:pPr>
              <w:spacing w:after="0" w:line="240" w:lineRule="auto"/>
            </w:pPr>
            <w:r/>
            <w:r>
              <w:rPr>
                <w:rFonts w:ascii="Times New Roman" w:hAnsi="Times New Roman" w:eastAsia="Times New Roman"/>
                <w:b w:val="0"/>
                <w:sz w:val="15"/>
              </w:rPr>
              <w:t>95A(6a)</w:t>
            </w:r>
          </w:p>
        </w:tc>
        <w:tc>
          <w:tcPr>
            <w:tcW w:type="dxa" w:w="6264"/>
            <w:vAlign w:val="top"/>
          </w:tcPr>
          <w:p>
            <w:pPr>
              <w:spacing w:after="0" w:line="240" w:lineRule="auto"/>
            </w:pPr>
            <w:r/>
            <w:r>
              <w:rPr>
                <w:rFonts w:ascii="Times New Roman" w:hAnsi="Times New Roman" w:eastAsia="Times New Roman"/>
                <w:b w:val="0"/>
                <w:sz w:val="15"/>
              </w:rPr>
              <w:t>Foreign exchange facility by resident bank or financial institution for language test or standardised test fee for a student going abroad for study</w:t>
            </w:r>
          </w:p>
        </w:tc>
        <w:tc>
          <w:tcPr>
            <w:tcW w:type="dxa" w:w="2520"/>
            <w:vAlign w:val="top"/>
          </w:tcPr>
          <w:p>
            <w:pPr>
              <w:spacing w:after="0" w:line="240" w:lineRule="auto"/>
            </w:pPr>
            <w:r/>
            <w:r>
              <w:rPr>
                <w:rFonts w:ascii="Times New Roman" w:hAnsi="Times New Roman" w:eastAsia="Times New Roman"/>
                <w:b w:val="0"/>
                <w:sz w:val="15"/>
              </w:rPr>
              <w:t>15% on the examination fee amount at the time of providing foreign exchange facility</w:t>
            </w:r>
          </w:p>
        </w:tc>
      </w:tr>
      <w:tr>
        <w:tc>
          <w:tcPr>
            <w:tcW w:type="dxa" w:w="1584"/>
            <w:vAlign w:val="top"/>
          </w:tcPr>
          <w:p>
            <w:pPr>
              <w:spacing w:after="0" w:line="240" w:lineRule="auto"/>
            </w:pPr>
            <w:r/>
            <w:r>
              <w:rPr>
                <w:rFonts w:ascii="Times New Roman" w:hAnsi="Times New Roman" w:eastAsia="Times New Roman"/>
                <w:b w:val="0"/>
                <w:sz w:val="15"/>
              </w:rPr>
              <w:t>95A(6b)</w:t>
            </w:r>
          </w:p>
        </w:tc>
        <w:tc>
          <w:tcPr>
            <w:tcW w:type="dxa" w:w="6264"/>
            <w:vAlign w:val="top"/>
          </w:tcPr>
          <w:p>
            <w:pPr>
              <w:spacing w:after="0" w:line="240" w:lineRule="auto"/>
            </w:pPr>
            <w:r/>
            <w:r>
              <w:rPr>
                <w:rFonts w:ascii="Times New Roman" w:hAnsi="Times New Roman" w:eastAsia="Times New Roman"/>
                <w:b w:val="0"/>
                <w:sz w:val="15"/>
              </w:rPr>
              <w:t>Resident natural person not operating a business receives foreign-currency payment for software or similar electronic service provided outside Nepal</w:t>
            </w:r>
          </w:p>
        </w:tc>
        <w:tc>
          <w:tcPr>
            <w:tcW w:type="dxa" w:w="2520"/>
            <w:vAlign w:val="top"/>
          </w:tcPr>
          <w:p>
            <w:pPr>
              <w:spacing w:after="0" w:line="240" w:lineRule="auto"/>
            </w:pPr>
            <w:r/>
            <w:r>
              <w:rPr>
                <w:rFonts w:ascii="Times New Roman" w:hAnsi="Times New Roman" w:eastAsia="Times New Roman"/>
                <w:b w:val="0"/>
                <w:sz w:val="15"/>
              </w:rPr>
              <w:t>5% by the concerned bank, financial institution or money transfer institution at the time of payment</w:t>
            </w:r>
          </w:p>
        </w:tc>
      </w:tr>
      <w:tr>
        <w:tc>
          <w:tcPr>
            <w:tcW w:type="dxa" w:w="1584"/>
            <w:vAlign w:val="top"/>
          </w:tcPr>
          <w:p>
            <w:pPr>
              <w:spacing w:after="0" w:line="240" w:lineRule="auto"/>
            </w:pPr>
            <w:r/>
            <w:r>
              <w:rPr>
                <w:rFonts w:ascii="Times New Roman" w:hAnsi="Times New Roman" w:eastAsia="Times New Roman"/>
                <w:b w:val="0"/>
                <w:sz w:val="15"/>
              </w:rPr>
              <w:t>95A(6c)</w:t>
            </w:r>
          </w:p>
        </w:tc>
        <w:tc>
          <w:tcPr>
            <w:tcW w:type="dxa" w:w="6264"/>
            <w:vAlign w:val="top"/>
          </w:tcPr>
          <w:p>
            <w:pPr>
              <w:spacing w:after="0" w:line="240" w:lineRule="auto"/>
            </w:pPr>
            <w:r/>
            <w:r>
              <w:rPr>
                <w:rFonts w:ascii="Times New Roman" w:hAnsi="Times New Roman" w:eastAsia="Times New Roman"/>
                <w:b w:val="0"/>
                <w:sz w:val="15"/>
              </w:rPr>
              <w:t>Resident natural person not operating a business receives foreign-currency payment for personal consultancy service outside Nepal</w:t>
            </w:r>
          </w:p>
        </w:tc>
        <w:tc>
          <w:tcPr>
            <w:tcW w:type="dxa" w:w="2520"/>
            <w:vAlign w:val="top"/>
          </w:tcPr>
          <w:p>
            <w:pPr>
              <w:spacing w:after="0" w:line="240" w:lineRule="auto"/>
            </w:pPr>
            <w:r/>
            <w:r>
              <w:rPr>
                <w:rFonts w:ascii="Times New Roman" w:hAnsi="Times New Roman" w:eastAsia="Times New Roman"/>
                <w:b w:val="0"/>
                <w:sz w:val="15"/>
              </w:rPr>
              <w:t>5% by the concerned bank, financial institution or money transfer institution</w:t>
            </w:r>
          </w:p>
        </w:tc>
      </w:tr>
      <w:tr>
        <w:tc>
          <w:tcPr>
            <w:tcW w:type="dxa" w:w="1584"/>
            <w:vAlign w:val="top"/>
          </w:tcPr>
          <w:p>
            <w:pPr>
              <w:spacing w:after="0" w:line="240" w:lineRule="auto"/>
            </w:pPr>
            <w:r/>
            <w:r>
              <w:rPr>
                <w:rFonts w:ascii="Times New Roman" w:hAnsi="Times New Roman" w:eastAsia="Times New Roman"/>
                <w:b w:val="0"/>
                <w:sz w:val="15"/>
              </w:rPr>
              <w:t>95A(6d)</w:t>
            </w:r>
          </w:p>
        </w:tc>
        <w:tc>
          <w:tcPr>
            <w:tcW w:type="dxa" w:w="6264"/>
            <w:vAlign w:val="top"/>
          </w:tcPr>
          <w:p>
            <w:pPr>
              <w:spacing w:after="0" w:line="240" w:lineRule="auto"/>
            </w:pPr>
            <w:r/>
            <w:r>
              <w:rPr>
                <w:rFonts w:ascii="Times New Roman" w:hAnsi="Times New Roman" w:eastAsia="Times New Roman"/>
                <w:b w:val="0"/>
                <w:sz w:val="15"/>
              </w:rPr>
              <w:t>Resident natural person not operating a business receives foreign-currency payment for uploading audio-visual content through social networks</w:t>
            </w:r>
          </w:p>
        </w:tc>
        <w:tc>
          <w:tcPr>
            <w:tcW w:type="dxa" w:w="2520"/>
            <w:vAlign w:val="top"/>
          </w:tcPr>
          <w:p>
            <w:pPr>
              <w:spacing w:after="0" w:line="240" w:lineRule="auto"/>
            </w:pPr>
            <w:r/>
            <w:r>
              <w:rPr>
                <w:rFonts w:ascii="Times New Roman" w:hAnsi="Times New Roman" w:eastAsia="Times New Roman"/>
                <w:b w:val="0"/>
                <w:sz w:val="15"/>
              </w:rPr>
              <w:t>5% by the concerned bank, financial institution or money transfer institution</w:t>
            </w:r>
          </w:p>
        </w:tc>
      </w:tr>
      <w:tr>
        <w:tc>
          <w:tcPr>
            <w:tcW w:type="dxa" w:w="1584"/>
            <w:vAlign w:val="top"/>
          </w:tcPr>
          <w:p>
            <w:pPr>
              <w:spacing w:after="0" w:line="240" w:lineRule="auto"/>
            </w:pPr>
            <w:r/>
            <w:r>
              <w:rPr>
                <w:rFonts w:ascii="Times New Roman" w:hAnsi="Times New Roman" w:eastAsia="Times New Roman"/>
                <w:b w:val="0"/>
                <w:sz w:val="15"/>
              </w:rPr>
              <w:t>95A(6ङ)</w:t>
            </w:r>
          </w:p>
        </w:tc>
        <w:tc>
          <w:tcPr>
            <w:tcW w:type="dxa" w:w="6264"/>
            <w:vAlign w:val="top"/>
          </w:tcPr>
          <w:p>
            <w:pPr>
              <w:spacing w:after="0" w:line="240" w:lineRule="auto"/>
            </w:pPr>
            <w:r/>
            <w:r>
              <w:rPr>
                <w:rFonts w:ascii="Times New Roman" w:hAnsi="Times New Roman" w:eastAsia="Times New Roman"/>
                <w:b w:val="0"/>
                <w:sz w:val="15"/>
              </w:rPr>
              <w:t>Resident electronic commerce operator pays a person connected to its platform for sale of goods, services, or goods and services</w:t>
            </w:r>
          </w:p>
        </w:tc>
        <w:tc>
          <w:tcPr>
            <w:tcW w:type="dxa" w:w="2520"/>
            <w:vAlign w:val="top"/>
          </w:tcPr>
          <w:p>
            <w:pPr>
              <w:spacing w:after="0" w:line="240" w:lineRule="auto"/>
            </w:pPr>
            <w:r/>
            <w:r>
              <w:rPr>
                <w:rFonts w:ascii="Times New Roman" w:hAnsi="Times New Roman" w:eastAsia="Times New Roman"/>
                <w:b w:val="0"/>
                <w:sz w:val="15"/>
              </w:rPr>
              <w:t>1% at the time of payment</w:t>
            </w:r>
          </w:p>
        </w:tc>
      </w:tr>
      <w:tr>
        <w:tc>
          <w:tcPr>
            <w:tcW w:type="dxa" w:w="1584"/>
            <w:vAlign w:val="top"/>
          </w:tcPr>
          <w:p>
            <w:pPr>
              <w:spacing w:after="0" w:line="240" w:lineRule="auto"/>
            </w:pPr>
            <w:r/>
            <w:r>
              <w:rPr>
                <w:rFonts w:ascii="Times New Roman" w:hAnsi="Times New Roman" w:eastAsia="Times New Roman"/>
                <w:b w:val="0"/>
                <w:sz w:val="15"/>
              </w:rPr>
              <w:t>95A(7)(a)</w:t>
            </w:r>
          </w:p>
        </w:tc>
        <w:tc>
          <w:tcPr>
            <w:tcW w:type="dxa" w:w="6264"/>
            <w:vAlign w:val="top"/>
          </w:tcPr>
          <w:p>
            <w:pPr>
              <w:spacing w:after="0" w:line="240" w:lineRule="auto"/>
            </w:pPr>
            <w:r/>
            <w:r>
              <w:rPr>
                <w:rFonts w:ascii="Times New Roman" w:hAnsi="Times New Roman" w:eastAsia="Times New Roman"/>
                <w:b w:val="0"/>
                <w:sz w:val="15"/>
              </w:rPr>
              <w:t>Commercial import of specified live animals, meat, fish products, flowers, edible vegetables, roots/tubers, edible fruit and nuts etc. under specified customs chapters</w:t>
            </w:r>
          </w:p>
        </w:tc>
        <w:tc>
          <w:tcPr>
            <w:tcW w:type="dxa" w:w="2520"/>
            <w:vAlign w:val="top"/>
          </w:tcPr>
          <w:p>
            <w:pPr>
              <w:spacing w:after="0" w:line="240" w:lineRule="auto"/>
            </w:pPr>
            <w:r/>
            <w:r>
              <w:rPr>
                <w:rFonts w:ascii="Times New Roman" w:hAnsi="Times New Roman" w:eastAsia="Times New Roman"/>
                <w:b w:val="0"/>
                <w:sz w:val="15"/>
              </w:rPr>
              <w:t>10% of customs value; for certain dry leguminous vegetables under heading 07.13 imported after 2081/08/06, 2.5% only</w:t>
            </w:r>
          </w:p>
        </w:tc>
      </w:tr>
      <w:tr>
        <w:tc>
          <w:tcPr>
            <w:tcW w:type="dxa" w:w="1584"/>
            <w:vAlign w:val="top"/>
          </w:tcPr>
          <w:p>
            <w:pPr>
              <w:spacing w:after="0" w:line="240" w:lineRule="auto"/>
            </w:pPr>
            <w:r/>
            <w:r>
              <w:rPr>
                <w:rFonts w:ascii="Times New Roman" w:hAnsi="Times New Roman" w:eastAsia="Times New Roman"/>
                <w:b w:val="0"/>
                <w:sz w:val="15"/>
              </w:rPr>
              <w:t>95A(7)(b)</w:t>
            </w:r>
          </w:p>
        </w:tc>
        <w:tc>
          <w:tcPr>
            <w:tcW w:type="dxa" w:w="6264"/>
            <w:vAlign w:val="top"/>
          </w:tcPr>
          <w:p>
            <w:pPr>
              <w:spacing w:after="0" w:line="240" w:lineRule="auto"/>
            </w:pPr>
            <w:r/>
            <w:r>
              <w:rPr>
                <w:rFonts w:ascii="Times New Roman" w:hAnsi="Times New Roman" w:eastAsia="Times New Roman"/>
                <w:b w:val="0"/>
                <w:sz w:val="15"/>
              </w:rPr>
              <w:t>Commercial import of dairy products, eggs, honey, cereals other than seed, herbs, sugarcane and vegetable products under specified customs chapters</w:t>
            </w:r>
          </w:p>
        </w:tc>
        <w:tc>
          <w:tcPr>
            <w:tcW w:type="dxa" w:w="2520"/>
            <w:vAlign w:val="top"/>
          </w:tcPr>
          <w:p>
            <w:pPr>
              <w:spacing w:after="0" w:line="240" w:lineRule="auto"/>
            </w:pPr>
            <w:r/>
            <w:r>
              <w:rPr>
                <w:rFonts w:ascii="Times New Roman" w:hAnsi="Times New Roman" w:eastAsia="Times New Roman"/>
                <w:b w:val="0"/>
                <w:sz w:val="15"/>
              </w:rPr>
              <w:t>2.5% of customs value; 1.5% where VAT applies to the imported goods</w:t>
            </w:r>
          </w:p>
        </w:tc>
      </w:tr>
    </w:tbl>
    <w:p/>
    <w:p>
      <w:pPr>
        <w:pStyle w:val="Heading3"/>
        <w:spacing w:after="80" w:line="252" w:lineRule="auto"/>
      </w:pPr>
      <w:r>
        <w:rPr>
          <w:rFonts w:ascii="Times New Roman" w:hAnsi="Times New Roman" w:eastAsia="Times New Roman"/>
          <w:b w:val="0"/>
          <w:i w:val="0"/>
        </w:rPr>
        <w:t>24.15.4 Collection and management of advance tax</w:t>
      </w:r>
    </w:p>
    <w:p>
      <w:pPr>
        <w:spacing w:after="80" w:line="252" w:lineRule="auto"/>
      </w:pPr>
      <w:r>
        <w:rPr>
          <w:rFonts w:ascii="Times New Roman" w:hAnsi="Times New Roman" w:eastAsia="Times New Roman"/>
          <w:b w:val="0"/>
          <w:i w:val="0"/>
          <w:sz w:val="21"/>
        </w:rPr>
        <w:t>The person or entity required to collect advance tax is treated as having collected it at the time it ought to have been collected, even if not actually collected. The collector must file the prescribed statement within 25 days after the end of each month and must deposit the tax collected or deemed collected within the same time. If the collector fails to collect or deposit the advance tax, both the person required to pay the advance tax and the person required to collect it are jointly and severally responsible. Tax deposited under section 95A may be credited against the annual tax liability of the person required to pay it. If the Department is satisfied that advance tax was not collected, not deposited, under-deposited, or not deposited within time, it may order deposit of the unpaid or short-paid amount, interest under section 119 and fees under section 120, after giving written notice with 15 days for explanation.</w:t>
      </w:r>
    </w:p>
    <w:p>
      <w:pPr>
        <w:spacing w:after="80" w:line="252" w:lineRule="auto"/>
        <w:jc w:val="center"/>
      </w:pPr>
      <w:r>
        <w:rPr>
          <w:rFonts w:ascii="Times New Roman" w:hAnsi="Times New Roman" w:eastAsia="Times New Roman"/>
          <w:b w:val="0"/>
          <w:i/>
          <w:sz w:val="21"/>
        </w:rPr>
        <w:t>End of Chapter 24</w:t>
      </w:r>
    </w:p>
    <w:p>
      <w:r>
        <w:br w:type="page"/>
      </w:r>
    </w:p>
    <w:p>
      <w:pPr>
        <w:pStyle w:val="Title"/>
        <w:spacing w:after="80" w:line="252" w:lineRule="auto"/>
        <w:jc w:val="center"/>
      </w:pPr>
      <w:r>
        <w:rPr>
          <w:rFonts w:ascii="Times New Roman" w:hAnsi="Times New Roman" w:eastAsia="Times New Roman"/>
          <w:b w:val="0"/>
          <w:i w:val="0"/>
        </w:rPr>
        <w:t>Income Tax Directive, 2066 (with Fifth Amendment, 2081)</w:t>
      </w:r>
    </w:p>
    <w:p>
      <w:pPr>
        <w:pStyle w:val="Title"/>
        <w:spacing w:after="80" w:line="252" w:lineRule="auto"/>
        <w:jc w:val="center"/>
      </w:pPr>
      <w:r>
        <w:rPr>
          <w:rFonts w:ascii="Times New Roman" w:hAnsi="Times New Roman" w:eastAsia="Times New Roman"/>
          <w:b w:val="0"/>
          <w:i w:val="0"/>
        </w:rPr>
        <w:t>English Translation - Part 25</w:t>
      </w:r>
    </w:p>
    <w:p>
      <w:pPr>
        <w:pStyle w:val="Heading1"/>
        <w:spacing w:after="80" w:line="252" w:lineRule="auto"/>
        <w:jc w:val="center"/>
      </w:pPr>
      <w:r>
        <w:rPr>
          <w:rFonts w:ascii="Times New Roman" w:hAnsi="Times New Roman" w:eastAsia="Times New Roman"/>
          <w:b w:val="0"/>
          <w:i w:val="0"/>
        </w:rPr>
        <w:t>Chapter 25: Income Return</w:t>
      </w:r>
    </w:p>
    <w:p>
      <w:pPr>
        <w:spacing w:after="80" w:line="252" w:lineRule="auto"/>
        <w:jc w:val="center"/>
      </w:pPr>
      <w:r>
        <w:rPr>
          <w:rFonts w:ascii="Times New Roman" w:hAnsi="Times New Roman" w:eastAsia="Times New Roman"/>
          <w:b w:val="0"/>
          <w:i/>
          <w:sz w:val="21"/>
        </w:rPr>
        <w:t>Source pages: Directive pages 535-547</w:t>
      </w:r>
    </w:p>
    <w:p>
      <w:pPr>
        <w:spacing w:after="80" w:line="252" w:lineRule="auto"/>
      </w:pPr>
      <w:r>
        <w:rPr>
          <w:rFonts w:ascii="Times New Roman" w:hAnsi="Times New Roman" w:eastAsia="Times New Roman"/>
          <w:b w:val="0"/>
          <w:i/>
          <w:sz w:val="21"/>
        </w:rPr>
        <w:t>Note: This working translation follows the sequence, headings, examples and tabular presentation of the Nepali directive as far as practicable in Word format. Statutory expressions have been aligned with the official English terminology of the Income Tax Act, 2002 (2058) where applicable.</w:t>
      </w:r>
    </w:p>
    <w:p>
      <w:r>
        <w:br w:type="page"/>
      </w:r>
    </w:p>
    <w:p>
      <w:pPr>
        <w:pStyle w:val="Heading1"/>
        <w:spacing w:after="80" w:line="252" w:lineRule="auto"/>
        <w:jc w:val="center"/>
      </w:pPr>
      <w:r>
        <w:rPr>
          <w:rFonts w:ascii="Times New Roman" w:hAnsi="Times New Roman" w:eastAsia="Times New Roman"/>
          <w:b w:val="0"/>
          <w:i w:val="0"/>
        </w:rPr>
        <w:t>Chapter 25</w:t>
      </w:r>
    </w:p>
    <w:p>
      <w:pPr>
        <w:pStyle w:val="Heading1"/>
        <w:spacing w:after="80" w:line="252" w:lineRule="auto"/>
        <w:jc w:val="center"/>
      </w:pPr>
      <w:r>
        <w:rPr>
          <w:rFonts w:ascii="Times New Roman" w:hAnsi="Times New Roman" w:eastAsia="Times New Roman"/>
          <w:b w:val="0"/>
          <w:i w:val="0"/>
        </w:rPr>
        <w:t>Income Return</w:t>
      </w:r>
    </w:p>
    <w:p>
      <w:pPr>
        <w:pStyle w:val="Heading2"/>
        <w:spacing w:after="80" w:line="252" w:lineRule="auto"/>
      </w:pPr>
      <w:r>
        <w:rPr>
          <w:rFonts w:ascii="Times New Roman" w:hAnsi="Times New Roman" w:eastAsia="Times New Roman"/>
          <w:b w:val="0"/>
          <w:i w:val="0"/>
        </w:rPr>
        <w:t>25.1 Introduction</w:t>
      </w:r>
    </w:p>
    <w:p>
      <w:pPr>
        <w:spacing w:after="80" w:line="252" w:lineRule="auto"/>
      </w:pPr>
      <w:r>
        <w:rPr>
          <w:rFonts w:ascii="Times New Roman" w:hAnsi="Times New Roman" w:eastAsia="Times New Roman"/>
          <w:b w:val="0"/>
          <w:i w:val="0"/>
          <w:sz w:val="21"/>
        </w:rPr>
        <w:t>Under the Income Tax Act, 2058, the income return is one of the principal statements, information and details that a person liable to tax, i.e. a taxpayer, must submit to the relevant Inland Revenue Office, Taxpayer Service Office, Medium Level Taxpayer Office or Large Taxpayer Office for the purpose of paying tax. Because income tax is based on the self-assessment system, the person having a duty to pay tax must determine and compute the tax payable by himself or herself. The income return is the medium through which the taxpayer informs the concerned office about that tax liability.</w:t>
      </w:r>
    </w:p>
    <w:p>
      <w:pPr>
        <w:spacing w:after="80" w:line="252" w:lineRule="auto"/>
      </w:pPr>
      <w:r>
        <w:rPr>
          <w:rFonts w:ascii="Times New Roman" w:hAnsi="Times New Roman" w:eastAsia="Times New Roman"/>
          <w:b w:val="0"/>
          <w:i w:val="0"/>
          <w:sz w:val="21"/>
        </w:rPr>
        <w:t>This chapter explains the provisions of Chapter 19 of the Act relating to the persons required to submit an income return, the time for submission, return formats, documents and information to be attached, the manner of filling the return, and related procedural matters.</w:t>
      </w:r>
    </w:p>
    <w:p>
      <w:pPr>
        <w:pStyle w:val="Heading2"/>
        <w:spacing w:after="80" w:line="252" w:lineRule="auto"/>
      </w:pPr>
      <w:r>
        <w:rPr>
          <w:rFonts w:ascii="Times New Roman" w:hAnsi="Times New Roman" w:eastAsia="Times New Roman"/>
          <w:b w:val="0"/>
          <w:i w:val="0"/>
        </w:rPr>
        <w:t>25.2 Income Return</w:t>
      </w:r>
    </w:p>
    <w:p>
      <w:pPr>
        <w:pStyle w:val="Heading3"/>
        <w:spacing w:after="80" w:line="252" w:lineRule="auto"/>
      </w:pPr>
      <w:r>
        <w:rPr>
          <w:rFonts w:ascii="Times New Roman" w:hAnsi="Times New Roman" w:eastAsia="Times New Roman"/>
          <w:b w:val="0"/>
          <w:i w:val="0"/>
        </w:rPr>
        <w:t>25.2.1 Persons required to submit an income return</w:t>
      </w:r>
    </w:p>
    <w:p>
      <w:pPr>
        <w:spacing w:after="80" w:line="252" w:lineRule="auto"/>
      </w:pPr>
      <w:r>
        <w:rPr>
          <w:rFonts w:ascii="Times New Roman" w:hAnsi="Times New Roman" w:eastAsia="Times New Roman"/>
          <w:b w:val="0"/>
          <w:i w:val="0"/>
          <w:sz w:val="21"/>
        </w:rPr>
        <w:t>Every person having income from employment, business or investment in an income year must submit an income return, except where the Act specifically provides that a return need not be submitted. Section 96(1) requires each person to file the income return for the year, subject to sections 97, 98 and 100, at the place prescribed by the Department within three months after the end of the income year.</w:t>
      </w:r>
    </w:p>
    <w:p>
      <w:pPr>
        <w:spacing w:after="80" w:line="252" w:lineRule="auto"/>
      </w:pPr>
      <w:r>
        <w:rPr>
          <w:rFonts w:ascii="Times New Roman" w:hAnsi="Times New Roman" w:eastAsia="Times New Roman"/>
          <w:b w:val="0"/>
          <w:i w:val="0"/>
          <w:sz w:val="21"/>
        </w:rPr>
        <w:t>For this purpose, an income year means the period from the first day of Shrawan of a year to the end of Ashadh of the following year. A person engaged in any economic activity generating income in Nepal, and a resident person engaged in any activity generating income anywhere in the world, must submit an income return unless exempted. A resident or non-resident person, and a permanent establishment of a non-resident person, must file in respect of Nepal-source income.</w:t>
      </w:r>
    </w:p>
    <w:p>
      <w:pPr>
        <w:spacing w:after="80" w:line="252" w:lineRule="auto"/>
      </w:pPr>
      <w:r>
        <w:rPr>
          <w:rFonts w:ascii="Times New Roman" w:hAnsi="Times New Roman" w:eastAsia="Times New Roman"/>
          <w:b w:val="0"/>
          <w:i w:val="0"/>
          <w:sz w:val="21"/>
        </w:rPr>
        <w:t>A person engaged in an activity that can generate taxable income is not outside the filing obligation merely because there is no taxable income in a particular year, because the activity has resulted in a loss, or because the income is within a non-taxable limit. Similarly, failure to obtain a permanent account number does not release the person from the tax obligation. Normally, the return must be filed within three months after the close of the income year; for example, the return for FY 2081/82 must be filed by the end of Ashoj 2082. If the due date falls on a public holiday, the first day on which the office opens is treated as the last day for filing. On a written application with reasonable cause made within the due date, the Department may extend the time for filing, once or more than once, by a maximum of three months.</w:t>
      </w:r>
    </w:p>
    <w:p>
      <w:pPr>
        <w:pStyle w:val="Heading3"/>
        <w:spacing w:after="80" w:line="252" w:lineRule="auto"/>
      </w:pPr>
      <w:r>
        <w:rPr>
          <w:rFonts w:ascii="Times New Roman" w:hAnsi="Times New Roman" w:eastAsia="Times New Roman"/>
          <w:b w:val="0"/>
          <w:i w:val="0"/>
        </w:rPr>
        <w:t>25.2.2 Duties of a person submitting an income return</w:t>
      </w:r>
    </w:p>
    <w:p>
      <w:pPr>
        <w:spacing w:after="80" w:line="252" w:lineRule="auto"/>
      </w:pPr>
      <w:r>
        <w:rPr>
          <w:rFonts w:ascii="Times New Roman" w:hAnsi="Times New Roman" w:eastAsia="Times New Roman"/>
          <w:b w:val="0"/>
          <w:i w:val="0"/>
          <w:sz w:val="21"/>
        </w:rPr>
        <w:t>Section 96(2)(a) requires the income return to be prepared in the manner and form prescribed by the Department and to disclose the following matters:</w:t>
      </w:r>
    </w:p>
    <w:p>
      <w:pPr>
        <w:pStyle w:val="ListBullet"/>
        <w:spacing w:after="80" w:line="252" w:lineRule="auto"/>
      </w:pPr>
      <w:r>
        <w:rPr>
          <w:rFonts w:ascii="Times New Roman" w:hAnsi="Times New Roman" w:eastAsia="Times New Roman"/>
          <w:b w:val="0"/>
          <w:i w:val="0"/>
        </w:rPr>
        <w:t>assessable income of the person from each employment, business and investment for the year, and the source of such income;</w:t>
      </w:r>
    </w:p>
    <w:p>
      <w:pPr>
        <w:pStyle w:val="ListBullet"/>
        <w:spacing w:after="80" w:line="252" w:lineRule="auto"/>
      </w:pPr>
      <w:r>
        <w:rPr>
          <w:rFonts w:ascii="Times New Roman" w:hAnsi="Times New Roman" w:eastAsia="Times New Roman"/>
          <w:b w:val="0"/>
          <w:i w:val="0"/>
        </w:rPr>
        <w:t>taxable income of the person for the year and the tax payable on that income by the persons mentioned in section 3(a);</w:t>
      </w:r>
    </w:p>
    <w:p>
      <w:pPr>
        <w:pStyle w:val="ListBullet"/>
        <w:spacing w:after="80" w:line="252" w:lineRule="auto"/>
      </w:pPr>
      <w:r>
        <w:rPr>
          <w:rFonts w:ascii="Times New Roman" w:hAnsi="Times New Roman" w:eastAsia="Times New Roman"/>
          <w:b w:val="0"/>
          <w:i w:val="0"/>
        </w:rPr>
        <w:t>income repatriated by a Nepal-situated foreign permanent establishment of a non-resident person during the year and the tax payable on that income; and</w:t>
      </w:r>
    </w:p>
    <w:p>
      <w:pPr>
        <w:pStyle w:val="ListBullet"/>
        <w:spacing w:after="80" w:line="252" w:lineRule="auto"/>
      </w:pPr>
      <w:r>
        <w:rPr>
          <w:rFonts w:ascii="Times New Roman" w:hAnsi="Times New Roman" w:eastAsia="Times New Roman"/>
          <w:b w:val="0"/>
          <w:i w:val="0"/>
        </w:rPr>
        <w:t>any other information prescribed by the Department.</w:t>
      </w:r>
    </w:p>
    <w:p>
      <w:pPr>
        <w:spacing w:after="80" w:line="252" w:lineRule="auto"/>
      </w:pPr>
      <w:r>
        <w:rPr>
          <w:rFonts w:ascii="Times New Roman" w:hAnsi="Times New Roman" w:eastAsia="Times New Roman"/>
          <w:b w:val="0"/>
          <w:i w:val="0"/>
          <w:sz w:val="21"/>
        </w:rPr>
        <w:t>The return must contain a declaration that it is true, correct and complete and must be signed by the person or the manager. In practical terms, the taxpayer must select and complete the correct return form, follow the Department-prescribed procedure, disclose assessable and taxable income under employment, business and investment, state the tax payable and the tax already paid or remaining to be paid, and provide the particulars of repatriated income where the taxpayer is a Nepal-situated permanent establishment of a non-resident person. The return has no validity for the purposes of the Act if it is not certified and signed as required.</w:t>
      </w:r>
    </w:p>
    <w:p>
      <w:pPr>
        <w:spacing w:after="80" w:line="252" w:lineRule="auto"/>
      </w:pPr>
      <w:r>
        <w:rPr>
          <w:rFonts w:ascii="Times New Roman" w:hAnsi="Times New Roman" w:eastAsia="Times New Roman"/>
          <w:b w:val="0"/>
          <w:i w:val="0"/>
          <w:sz w:val="21"/>
        </w:rPr>
        <w:t>Except in the cases specifically relieved from certification, the return submitted by a person must be certified by an auditor authorised by the Institute of Chartered Accountants of Nepal. The Directive explains that presumptive taxpayers, specified professional natural persons and persons whose annual turnover from business and employment is within the prescribed threshold do not have to get the income return certified by a tax auditor.</w:t>
      </w:r>
    </w:p>
    <w:tbl>
      <w:tblPr>
        <w:tblStyle w:val="TableGrid"/>
        <w:tblW w:type="auto" w:w="0"/>
        <w:jc w:val="center"/>
        <w:tblLook w:firstColumn="1" w:firstRow="1" w:lastColumn="0" w:lastRow="0" w:noHBand="0" w:noVBand="1" w:val="04A0"/>
      </w:tblPr>
      <w:tblGrid>
        <w:gridCol w:w="3298"/>
        <w:gridCol w:w="3298"/>
        <w:gridCol w:w="3298"/>
      </w:tblGrid>
      <w:tr>
        <w:trPr>
          <w:tblHeader w:val="true"/>
        </w:trPr>
        <w:tc>
          <w:tcPr>
            <w:tcW w:type="dxa" w:w="1440"/>
            <w:vAlign w:val="top"/>
            <w:shd w:fill="D9EAF7"/>
          </w:tcPr>
          <w:p>
            <w:pPr>
              <w:spacing w:after="0" w:line="240" w:lineRule="auto"/>
            </w:pPr>
            <w:r/>
            <w:r>
              <w:rPr>
                <w:rFonts w:ascii="Times New Roman" w:hAnsi="Times New Roman" w:eastAsia="Times New Roman"/>
                <w:b/>
                <w:sz w:val="16"/>
              </w:rPr>
              <w:t>Example</w:t>
            </w:r>
          </w:p>
        </w:tc>
        <w:tc>
          <w:tcPr>
            <w:tcW w:type="dxa" w:w="6120"/>
            <w:vAlign w:val="top"/>
            <w:shd w:fill="D9EAF7"/>
          </w:tcPr>
          <w:p>
            <w:pPr>
              <w:spacing w:after="0" w:line="240" w:lineRule="auto"/>
            </w:pPr>
            <w:r/>
            <w:r>
              <w:rPr>
                <w:rFonts w:ascii="Times New Roman" w:hAnsi="Times New Roman" w:eastAsia="Times New Roman"/>
                <w:b/>
                <w:sz w:val="16"/>
              </w:rPr>
              <w:t>Facts</w:t>
            </w:r>
          </w:p>
        </w:tc>
        <w:tc>
          <w:tcPr>
            <w:tcW w:type="dxa" w:w="3024"/>
            <w:vAlign w:val="top"/>
            <w:shd w:fill="D9EAF7"/>
          </w:tcPr>
          <w:p>
            <w:pPr>
              <w:spacing w:after="0" w:line="240" w:lineRule="auto"/>
            </w:pPr>
            <w:r/>
            <w:r>
              <w:rPr>
                <w:rFonts w:ascii="Times New Roman" w:hAnsi="Times New Roman" w:eastAsia="Times New Roman"/>
                <w:b/>
                <w:sz w:val="16"/>
              </w:rPr>
              <w:t>Directive treatment</w:t>
            </w:r>
          </w:p>
        </w:tc>
      </w:tr>
      <w:tr>
        <w:tc>
          <w:tcPr>
            <w:tcW w:type="dxa" w:w="1440"/>
            <w:vAlign w:val="top"/>
          </w:tcPr>
          <w:p>
            <w:pPr>
              <w:spacing w:after="0" w:line="240" w:lineRule="auto"/>
            </w:pPr>
            <w:r/>
            <w:r>
              <w:rPr>
                <w:rFonts w:ascii="Times New Roman" w:hAnsi="Times New Roman" w:eastAsia="Times New Roman"/>
                <w:b w:val="0"/>
                <w:sz w:val="16"/>
              </w:rPr>
              <w:t>25.2.1</w:t>
            </w:r>
          </w:p>
        </w:tc>
        <w:tc>
          <w:tcPr>
            <w:tcW w:type="dxa" w:w="6120"/>
            <w:vAlign w:val="top"/>
          </w:tcPr>
          <w:p>
            <w:pPr>
              <w:spacing w:after="0" w:line="240" w:lineRule="auto"/>
            </w:pPr>
            <w:r/>
            <w:r>
              <w:rPr>
                <w:rFonts w:ascii="Times New Roman" w:hAnsi="Times New Roman" w:eastAsia="Times New Roman"/>
                <w:b w:val="0"/>
                <w:sz w:val="16"/>
              </w:rPr>
              <w:t>Bhairav Singh Gupta operates a sole proprietorship with annual turnover of Rs. 2,900,000 and annual profit of Rs. 278,000, and files as a presumptive taxpayer.</w:t>
            </w:r>
          </w:p>
        </w:tc>
        <w:tc>
          <w:tcPr>
            <w:tcW w:type="dxa" w:w="3024"/>
            <w:vAlign w:val="top"/>
          </w:tcPr>
          <w:p>
            <w:pPr>
              <w:spacing w:after="0" w:line="240" w:lineRule="auto"/>
            </w:pPr>
            <w:r/>
            <w:r>
              <w:rPr>
                <w:rFonts w:ascii="Times New Roman" w:hAnsi="Times New Roman" w:eastAsia="Times New Roman"/>
                <w:b w:val="0"/>
                <w:sz w:val="16"/>
              </w:rPr>
              <w:t>The income return need not be certified by an auditor.</w:t>
            </w:r>
          </w:p>
        </w:tc>
      </w:tr>
      <w:tr>
        <w:tc>
          <w:tcPr>
            <w:tcW w:type="dxa" w:w="1440"/>
            <w:vAlign w:val="top"/>
          </w:tcPr>
          <w:p>
            <w:pPr>
              <w:spacing w:after="0" w:line="240" w:lineRule="auto"/>
            </w:pPr>
            <w:r/>
            <w:r>
              <w:rPr>
                <w:rFonts w:ascii="Times New Roman" w:hAnsi="Times New Roman" w:eastAsia="Times New Roman"/>
                <w:b w:val="0"/>
                <w:sz w:val="16"/>
              </w:rPr>
              <w:t>25.2.2</w:t>
            </w:r>
          </w:p>
        </w:tc>
        <w:tc>
          <w:tcPr>
            <w:tcW w:type="dxa" w:w="6120"/>
            <w:vAlign w:val="top"/>
          </w:tcPr>
          <w:p>
            <w:pPr>
              <w:spacing w:after="0" w:line="240" w:lineRule="auto"/>
            </w:pPr>
            <w:r/>
            <w:r>
              <w:rPr>
                <w:rFonts w:ascii="Times New Roman" w:hAnsi="Times New Roman" w:eastAsia="Times New Roman"/>
                <w:b w:val="0"/>
                <w:sz w:val="16"/>
              </w:rPr>
              <w:t>Dr. Bhairav Lal Joshi receives Rs. 600,000 from employment at a government hospital and operates a private clinic with turnover of Rs. 5,400,000. Total employment and business turnover is Rs. 6,000,000.</w:t>
            </w:r>
          </w:p>
        </w:tc>
        <w:tc>
          <w:tcPr>
            <w:tcW w:type="dxa" w:w="3024"/>
            <w:vAlign w:val="top"/>
          </w:tcPr>
          <w:p>
            <w:pPr>
              <w:spacing w:after="0" w:line="240" w:lineRule="auto"/>
            </w:pPr>
            <w:r/>
            <w:r>
              <w:rPr>
                <w:rFonts w:ascii="Times New Roman" w:hAnsi="Times New Roman" w:eastAsia="Times New Roman"/>
                <w:b w:val="0"/>
                <w:sz w:val="16"/>
              </w:rPr>
              <w:t>As a professional natural person within the relevant limit, the return need not be certified by an auditor. If total turnover exceeded Rs. 10,000,000, certification would be required.</w:t>
            </w:r>
          </w:p>
        </w:tc>
      </w:tr>
      <w:tr>
        <w:tc>
          <w:tcPr>
            <w:tcW w:type="dxa" w:w="1440"/>
            <w:vAlign w:val="top"/>
          </w:tcPr>
          <w:p>
            <w:pPr>
              <w:spacing w:after="0" w:line="240" w:lineRule="auto"/>
            </w:pPr>
            <w:r/>
            <w:r>
              <w:rPr>
                <w:rFonts w:ascii="Times New Roman" w:hAnsi="Times New Roman" w:eastAsia="Times New Roman"/>
                <w:b w:val="0"/>
                <w:sz w:val="16"/>
              </w:rPr>
              <w:t>25.2.3</w:t>
            </w:r>
          </w:p>
        </w:tc>
        <w:tc>
          <w:tcPr>
            <w:tcW w:type="dxa" w:w="6120"/>
            <w:vAlign w:val="top"/>
          </w:tcPr>
          <w:p>
            <w:pPr>
              <w:spacing w:after="0" w:line="240" w:lineRule="auto"/>
            </w:pPr>
            <w:r/>
            <w:r>
              <w:rPr>
                <w:rFonts w:ascii="Times New Roman" w:hAnsi="Times New Roman" w:eastAsia="Times New Roman"/>
                <w:b w:val="0"/>
                <w:sz w:val="16"/>
              </w:rPr>
              <w:t>Man Bahadur Limbu trades land. His turnover in FY 2080/81 is Rs. 9,350,000.</w:t>
            </w:r>
          </w:p>
        </w:tc>
        <w:tc>
          <w:tcPr>
            <w:tcW w:type="dxa" w:w="3024"/>
            <w:vAlign w:val="top"/>
          </w:tcPr>
          <w:p>
            <w:pPr>
              <w:spacing w:after="0" w:line="240" w:lineRule="auto"/>
            </w:pPr>
            <w:r/>
            <w:r>
              <w:rPr>
                <w:rFonts w:ascii="Times New Roman" w:hAnsi="Times New Roman" w:eastAsia="Times New Roman"/>
                <w:b w:val="0"/>
                <w:sz w:val="16"/>
              </w:rPr>
              <w:t>Since turnover does not exceed Rs. 10,000,000, the return need not be certified by an auditor. If registered as a company, however, the financial statements must be audited under the Companies Act, 2063.</w:t>
            </w:r>
          </w:p>
        </w:tc>
      </w:tr>
    </w:tbl>
    <w:p/>
    <w:p>
      <w:pPr>
        <w:pStyle w:val="Heading3"/>
        <w:spacing w:after="80" w:line="252" w:lineRule="auto"/>
      </w:pPr>
      <w:r>
        <w:rPr>
          <w:rFonts w:ascii="Times New Roman" w:hAnsi="Times New Roman" w:eastAsia="Times New Roman"/>
          <w:b w:val="0"/>
          <w:i w:val="0"/>
        </w:rPr>
        <w:t>25.2.3 Documents to be submitted with the income return</w:t>
      </w:r>
    </w:p>
    <w:p>
      <w:pPr>
        <w:spacing w:after="80" w:line="252" w:lineRule="auto"/>
      </w:pPr>
      <w:r>
        <w:rPr>
          <w:rFonts w:ascii="Times New Roman" w:hAnsi="Times New Roman" w:eastAsia="Times New Roman"/>
          <w:b w:val="0"/>
          <w:i w:val="0"/>
          <w:sz w:val="21"/>
        </w:rPr>
        <w:t>The person submitting the return has the responsibility to prove the income, expenditure, taxable income or loss, tax payable and tax paid as shown in the return. The documents and information attached to the return are therefore necessary not only for tax administration but also for the taxpayer. If the tax auditor has refused to certify the return, the written reasons communicated by the auditor must be submitted. A presumptive taxpayer must evidence the election to be taxed as such; signing the declaration portion of the D-1 return is treated as such election.</w:t>
      </w:r>
    </w:p>
    <w:tbl>
      <w:tblPr>
        <w:tblStyle w:val="TableGrid"/>
        <w:tblW w:type="auto" w:w="0"/>
        <w:jc w:val="center"/>
        <w:tblLook w:firstColumn="1" w:firstRow="1" w:lastColumn="0" w:lastRow="0" w:noHBand="0" w:noVBand="1" w:val="04A0"/>
      </w:tblPr>
      <w:tblGrid>
        <w:gridCol w:w="4946"/>
        <w:gridCol w:w="4946"/>
      </w:tblGrid>
      <w:tr>
        <w:trPr>
          <w:tblHeader w:val="true"/>
        </w:trPr>
        <w:tc>
          <w:tcPr>
            <w:tcW w:type="dxa" w:w="3096"/>
            <w:vAlign w:val="top"/>
            <w:shd w:fill="D9EAF7"/>
          </w:tcPr>
          <w:p>
            <w:pPr>
              <w:spacing w:after="0" w:line="240" w:lineRule="auto"/>
            </w:pPr>
            <w:r/>
            <w:r>
              <w:rPr>
                <w:rFonts w:ascii="Times New Roman" w:hAnsi="Times New Roman" w:eastAsia="Times New Roman"/>
                <w:b/>
                <w:sz w:val="15"/>
              </w:rPr>
              <w:t>Taxpayer / activity category</w:t>
            </w:r>
          </w:p>
        </w:tc>
        <w:tc>
          <w:tcPr>
            <w:tcW w:type="dxa" w:w="7272"/>
            <w:vAlign w:val="top"/>
            <w:shd w:fill="D9EAF7"/>
          </w:tcPr>
          <w:p>
            <w:pPr>
              <w:spacing w:after="0" w:line="240" w:lineRule="auto"/>
            </w:pPr>
            <w:r/>
            <w:r>
              <w:rPr>
                <w:rFonts w:ascii="Times New Roman" w:hAnsi="Times New Roman" w:eastAsia="Times New Roman"/>
                <w:b/>
                <w:sz w:val="15"/>
              </w:rPr>
              <w:t>Documents and information required with the return</w:t>
            </w:r>
          </w:p>
        </w:tc>
      </w:tr>
      <w:tr>
        <w:tc>
          <w:tcPr>
            <w:tcW w:type="dxa" w:w="3096"/>
            <w:vAlign w:val="top"/>
          </w:tcPr>
          <w:p>
            <w:pPr>
              <w:spacing w:after="0" w:line="240" w:lineRule="auto"/>
            </w:pPr>
            <w:r/>
            <w:r>
              <w:rPr>
                <w:rFonts w:ascii="Times New Roman" w:hAnsi="Times New Roman" w:eastAsia="Times New Roman"/>
                <w:b w:val="0"/>
                <w:sz w:val="15"/>
              </w:rPr>
              <w:t>Presumptive taxpayer</w:t>
            </w:r>
          </w:p>
        </w:tc>
        <w:tc>
          <w:tcPr>
            <w:tcW w:type="dxa" w:w="7272"/>
            <w:vAlign w:val="top"/>
          </w:tcPr>
          <w:p>
            <w:pPr>
              <w:spacing w:after="0" w:line="240" w:lineRule="auto"/>
            </w:pPr>
            <w:r/>
            <w:r>
              <w:rPr>
                <w:rFonts w:ascii="Times New Roman" w:hAnsi="Times New Roman" w:eastAsia="Times New Roman"/>
                <w:b w:val="0"/>
                <w:sz w:val="15"/>
              </w:rPr>
              <w:t>No additional documents are required with the return, but evidence supporting the turnover and expenses shown in the return must be safely retained.</w:t>
            </w:r>
          </w:p>
        </w:tc>
      </w:tr>
      <w:tr>
        <w:tc>
          <w:tcPr>
            <w:tcW w:type="dxa" w:w="3096"/>
            <w:vAlign w:val="top"/>
          </w:tcPr>
          <w:p>
            <w:pPr>
              <w:spacing w:after="0" w:line="240" w:lineRule="auto"/>
            </w:pPr>
            <w:r/>
            <w:r>
              <w:rPr>
                <w:rFonts w:ascii="Times New Roman" w:hAnsi="Times New Roman" w:eastAsia="Times New Roman"/>
                <w:b w:val="0"/>
                <w:sz w:val="15"/>
              </w:rPr>
              <w:t>Person having business and employment income within the specified small-taxpayer limits</w:t>
            </w:r>
          </w:p>
        </w:tc>
        <w:tc>
          <w:tcPr>
            <w:tcW w:type="dxa" w:w="7272"/>
            <w:vAlign w:val="top"/>
          </w:tcPr>
          <w:p>
            <w:pPr>
              <w:spacing w:after="0" w:line="240" w:lineRule="auto"/>
            </w:pPr>
            <w:r/>
            <w:r>
              <w:rPr>
                <w:rFonts w:ascii="Times New Roman" w:hAnsi="Times New Roman" w:eastAsia="Times New Roman"/>
                <w:b w:val="0"/>
                <w:sz w:val="15"/>
              </w:rPr>
              <w:t>Audited balance sheet, profit and loss account and related schedules; employment-income and business-income computation forms; tax computation form; tax credit claim form; and withholding-tax and tax-deposit details.</w:t>
            </w:r>
          </w:p>
        </w:tc>
      </w:tr>
      <w:tr>
        <w:tc>
          <w:tcPr>
            <w:tcW w:type="dxa" w:w="3096"/>
            <w:vAlign w:val="top"/>
          </w:tcPr>
          <w:p>
            <w:pPr>
              <w:spacing w:after="0" w:line="240" w:lineRule="auto"/>
            </w:pPr>
            <w:r/>
            <w:r>
              <w:rPr>
                <w:rFonts w:ascii="Times New Roman" w:hAnsi="Times New Roman" w:eastAsia="Times New Roman"/>
                <w:b w:val="0"/>
                <w:sz w:val="15"/>
              </w:rPr>
              <w:t>Professional service provider or other person/entity crossing the prescribed income or turnover limits</w:t>
            </w:r>
          </w:p>
        </w:tc>
        <w:tc>
          <w:tcPr>
            <w:tcW w:type="dxa" w:w="7272"/>
            <w:vAlign w:val="top"/>
          </w:tcPr>
          <w:p>
            <w:pPr>
              <w:spacing w:after="0" w:line="240" w:lineRule="auto"/>
            </w:pPr>
            <w:r>
              <w:t>Financial statements certified by a licensed member of ICAN, including balance sheet, profit and loss account, statement of profit, cash-flow statement and schedules; details of employment payments and employer retirement-fund contributions; depreciation asset group, cost and disposal dates; depreciation base, depreciation expense and repair/improvement expense; interest, research and development, and pollution-control expenses with deductible and capitalised/carry-forward amounts separately; withholding and deposit details; opening and closing stock quantities and value and valuation method; cost of sales computation; insurance expense and insurance claims received or receivable; write-offs, contingent liabilities, changes in custody/ownership/share capital structure; items recognised in profit and loss but not claimed or included for tax purposes with reasons; exempt income and related expenses; income computation forms for employment, business, investment, repatriated income and gain from non-business taxable assets; tax computation forms; instalment-tax and withholding-credit claim forms; foreign tax adjustment form; and medical tax credit form for natural persons where applicable.</w:t>
            </w:r>
            <w:r>
              <w:rPr>
                <w:rFonts w:ascii="Times New Roman" w:hAnsi="Times New Roman" w:eastAsia="Times New Roman"/>
                <w:b w:val="0"/>
                <w:sz w:val="15"/>
              </w:rPr>
            </w:r>
          </w:p>
        </w:tc>
      </w:tr>
      <w:tr>
        <w:tc>
          <w:tcPr>
            <w:tcW w:type="dxa" w:w="3096"/>
            <w:vAlign w:val="top"/>
          </w:tcPr>
          <w:p>
            <w:pPr>
              <w:spacing w:after="0" w:line="240" w:lineRule="auto"/>
            </w:pPr>
            <w:r/>
            <w:r>
              <w:rPr>
                <w:rFonts w:ascii="Times New Roman" w:hAnsi="Times New Roman" w:eastAsia="Times New Roman"/>
                <w:b w:val="0"/>
                <w:sz w:val="15"/>
              </w:rPr>
              <w:t>All persons having annual turnover exceeding Rs. 50,000,000</w:t>
            </w:r>
          </w:p>
        </w:tc>
        <w:tc>
          <w:tcPr>
            <w:tcW w:type="dxa" w:w="7272"/>
            <w:vAlign w:val="top"/>
          </w:tcPr>
          <w:p>
            <w:pPr>
              <w:spacing w:after="0" w:line="240" w:lineRule="auto"/>
            </w:pPr>
            <w:r/>
            <w:r>
              <w:rPr>
                <w:rFonts w:ascii="Times New Roman" w:hAnsi="Times New Roman" w:eastAsia="Times New Roman"/>
                <w:b w:val="0"/>
                <w:sz w:val="15"/>
              </w:rPr>
              <w:t>In addition to the above, details of interest payments exceeding Rs. 50,000 to one person; payments made to or received from any person, firm or company exceeding Rs. 100,000 with name, address, PAN, reason and amount; foreign-exchange gain or loss and computation method; letters of credit opened for import/export with bank, amount, payments and balance; and item-wise details of goods imported through letters of credit or other payment channels, including quantity, value, customs duty, government charges, transport and other expenses.</w:t>
            </w:r>
          </w:p>
        </w:tc>
      </w:tr>
    </w:tbl>
    <w:p/>
    <w:p>
      <w:pPr>
        <w:pStyle w:val="Heading3"/>
        <w:spacing w:after="80" w:line="252" w:lineRule="auto"/>
      </w:pPr>
      <w:r>
        <w:rPr>
          <w:rFonts w:ascii="Times New Roman" w:hAnsi="Times New Roman" w:eastAsia="Times New Roman"/>
          <w:b w:val="0"/>
          <w:i w:val="0"/>
        </w:rPr>
        <w:t>Additional documents for specified industries and services</w:t>
      </w:r>
    </w:p>
    <w:tbl>
      <w:tblPr>
        <w:tblStyle w:val="TableGrid"/>
        <w:tblW w:type="auto" w:w="0"/>
        <w:jc w:val="center"/>
        <w:tblLook w:firstColumn="1" w:firstRow="1" w:lastColumn="0" w:lastRow="0" w:noHBand="0" w:noVBand="1" w:val="04A0"/>
      </w:tblPr>
      <w:tblGrid>
        <w:gridCol w:w="4946"/>
        <w:gridCol w:w="4946"/>
      </w:tblGrid>
      <w:tr>
        <w:trPr>
          <w:tblHeader w:val="true"/>
        </w:trPr>
        <w:tc>
          <w:tcPr>
            <w:tcW w:type="dxa" w:w="2592"/>
            <w:vAlign w:val="top"/>
            <w:shd w:fill="D9EAF7"/>
          </w:tcPr>
          <w:p>
            <w:pPr>
              <w:spacing w:after="0" w:line="240" w:lineRule="auto"/>
            </w:pPr>
            <w:r/>
            <w:r>
              <w:rPr>
                <w:rFonts w:ascii="Times New Roman" w:hAnsi="Times New Roman" w:eastAsia="Times New Roman"/>
                <w:b/>
                <w:sz w:val="15"/>
              </w:rPr>
              <w:t>Industry / service</w:t>
            </w:r>
          </w:p>
        </w:tc>
        <w:tc>
          <w:tcPr>
            <w:tcW w:type="dxa" w:w="7776"/>
            <w:vAlign w:val="top"/>
            <w:shd w:fill="D9EAF7"/>
          </w:tcPr>
          <w:p>
            <w:pPr>
              <w:spacing w:after="0" w:line="240" w:lineRule="auto"/>
            </w:pPr>
            <w:r/>
            <w:r>
              <w:rPr>
                <w:rFonts w:ascii="Times New Roman" w:hAnsi="Times New Roman" w:eastAsia="Times New Roman"/>
                <w:b/>
                <w:sz w:val="15"/>
              </w:rPr>
              <w:t>Additional documents and details</w:t>
            </w:r>
          </w:p>
        </w:tc>
      </w:tr>
      <w:tr>
        <w:tc>
          <w:tcPr>
            <w:tcW w:type="dxa" w:w="2592"/>
            <w:vAlign w:val="top"/>
          </w:tcPr>
          <w:p>
            <w:pPr>
              <w:spacing w:after="0" w:line="240" w:lineRule="auto"/>
            </w:pPr>
            <w:r/>
            <w:r>
              <w:rPr>
                <w:rFonts w:ascii="Times New Roman" w:hAnsi="Times New Roman" w:eastAsia="Times New Roman"/>
                <w:b w:val="0"/>
                <w:sz w:val="15"/>
              </w:rPr>
              <w:t>Manufacturing industry</w:t>
            </w:r>
          </w:p>
        </w:tc>
        <w:tc>
          <w:tcPr>
            <w:tcW w:type="dxa" w:w="7776"/>
            <w:vAlign w:val="top"/>
          </w:tcPr>
          <w:p>
            <w:pPr>
              <w:spacing w:after="0" w:line="240" w:lineRule="auto"/>
            </w:pPr>
            <w:r/>
            <w:r>
              <w:rPr>
                <w:rFonts w:ascii="Times New Roman" w:hAnsi="Times New Roman" w:eastAsia="Times New Roman"/>
                <w:b w:val="0"/>
                <w:sz w:val="15"/>
              </w:rPr>
              <w:t>Production details of main products and by-products; opening stock, imports/purchases or production, sales/consumption, breakage/loss and closing stock of main products, by-products, raw materials, auxiliary raw materials and packing materials by quantity and value; and evidence if the public selling price has been published.</w:t>
            </w:r>
          </w:p>
        </w:tc>
      </w:tr>
      <w:tr>
        <w:tc>
          <w:tcPr>
            <w:tcW w:type="dxa" w:w="2592"/>
            <w:vAlign w:val="top"/>
          </w:tcPr>
          <w:p>
            <w:pPr>
              <w:spacing w:after="0" w:line="240" w:lineRule="auto"/>
            </w:pPr>
            <w:r/>
            <w:r>
              <w:rPr>
                <w:rFonts w:ascii="Times New Roman" w:hAnsi="Times New Roman" w:eastAsia="Times New Roman"/>
                <w:b w:val="0"/>
                <w:sz w:val="15"/>
              </w:rPr>
              <w:t>Contract business</w:t>
            </w:r>
          </w:p>
        </w:tc>
        <w:tc>
          <w:tcPr>
            <w:tcW w:type="dxa" w:w="7776"/>
            <w:vAlign w:val="top"/>
          </w:tcPr>
          <w:p>
            <w:pPr>
              <w:spacing w:after="0" w:line="240" w:lineRule="auto"/>
            </w:pPr>
            <w:r/>
            <w:r>
              <w:rPr>
                <w:rFonts w:ascii="Times New Roman" w:hAnsi="Times New Roman" w:eastAsia="Times New Roman"/>
                <w:b w:val="0"/>
                <w:sz w:val="15"/>
              </w:rPr>
              <w:t>Contract, agreement, sub-contract and lease documents; cost details of each contract; income and expenditure statement for each contract and all contracts; payment certificates from the payer; details of price variation; and payments to sub-contractors and withholding details.</w:t>
            </w:r>
          </w:p>
        </w:tc>
      </w:tr>
      <w:tr>
        <w:tc>
          <w:tcPr>
            <w:tcW w:type="dxa" w:w="2592"/>
            <w:vAlign w:val="top"/>
          </w:tcPr>
          <w:p>
            <w:pPr>
              <w:spacing w:after="0" w:line="240" w:lineRule="auto"/>
            </w:pPr>
            <w:r/>
            <w:r>
              <w:rPr>
                <w:rFonts w:ascii="Times New Roman" w:hAnsi="Times New Roman" w:eastAsia="Times New Roman"/>
                <w:b w:val="0"/>
                <w:sz w:val="15"/>
              </w:rPr>
              <w:t>Commission business</w:t>
            </w:r>
          </w:p>
        </w:tc>
        <w:tc>
          <w:tcPr>
            <w:tcW w:type="dxa" w:w="7776"/>
            <w:vAlign w:val="top"/>
          </w:tcPr>
          <w:p>
            <w:pPr>
              <w:spacing w:after="0" w:line="240" w:lineRule="auto"/>
            </w:pPr>
            <w:r/>
            <w:r>
              <w:rPr>
                <w:rFonts w:ascii="Times New Roman" w:hAnsi="Times New Roman" w:eastAsia="Times New Roman"/>
                <w:b w:val="0"/>
                <w:sz w:val="15"/>
              </w:rPr>
              <w:t>Copy of the agreement or terms showing commission rate and work; evidence of commission deposited in bank or otherwise received; supplier-wise commission details; and details of income other than agency income.</w:t>
            </w:r>
          </w:p>
        </w:tc>
      </w:tr>
      <w:tr>
        <w:tc>
          <w:tcPr>
            <w:tcW w:type="dxa" w:w="2592"/>
            <w:vAlign w:val="top"/>
          </w:tcPr>
          <w:p>
            <w:pPr>
              <w:spacing w:after="0" w:line="240" w:lineRule="auto"/>
            </w:pPr>
            <w:r/>
            <w:r>
              <w:rPr>
                <w:rFonts w:ascii="Times New Roman" w:hAnsi="Times New Roman" w:eastAsia="Times New Roman"/>
                <w:b w:val="0"/>
                <w:sz w:val="15"/>
              </w:rPr>
              <w:t>Hotel business</w:t>
            </w:r>
          </w:p>
        </w:tc>
        <w:tc>
          <w:tcPr>
            <w:tcW w:type="dxa" w:w="7776"/>
            <w:vAlign w:val="top"/>
          </w:tcPr>
          <w:p>
            <w:pPr>
              <w:spacing w:after="0" w:line="240" w:lineRule="auto"/>
            </w:pPr>
            <w:r/>
            <w:r>
              <w:rPr>
                <w:rFonts w:ascii="Times New Roman" w:hAnsi="Times New Roman" w:eastAsia="Times New Roman"/>
                <w:b w:val="0"/>
                <w:sz w:val="15"/>
              </w:rPr>
              <w:t>Separate details of income and expenses from rooms, restaurant, laundry and other activities; and commission expense details.</w:t>
            </w:r>
          </w:p>
        </w:tc>
      </w:tr>
      <w:tr>
        <w:tc>
          <w:tcPr>
            <w:tcW w:type="dxa" w:w="2592"/>
            <w:vAlign w:val="top"/>
          </w:tcPr>
          <w:p>
            <w:pPr>
              <w:spacing w:after="0" w:line="240" w:lineRule="auto"/>
            </w:pPr>
            <w:r/>
            <w:r>
              <w:rPr>
                <w:rFonts w:ascii="Times New Roman" w:hAnsi="Times New Roman" w:eastAsia="Times New Roman"/>
                <w:b w:val="0"/>
                <w:sz w:val="15"/>
              </w:rPr>
              <w:t>Travel, trekking and rafting business</w:t>
            </w:r>
          </w:p>
        </w:tc>
        <w:tc>
          <w:tcPr>
            <w:tcW w:type="dxa" w:w="7776"/>
            <w:vAlign w:val="top"/>
          </w:tcPr>
          <w:p>
            <w:pPr>
              <w:spacing w:after="0" w:line="240" w:lineRule="auto"/>
            </w:pPr>
            <w:r/>
            <w:r>
              <w:rPr>
                <w:rFonts w:ascii="Times New Roman" w:hAnsi="Times New Roman" w:eastAsia="Times New Roman"/>
                <w:b w:val="0"/>
                <w:sz w:val="15"/>
              </w:rPr>
              <w:t>Separate and aggregate income and expense details for passenger tickets, cargo, hotel reservation, sightseeing, water sports, trekking and other tourism services; GSA agreement and income from that activity where applicable; payments sent to or received from foreign companies and tax withheld; and foreign-currency income details.</w:t>
            </w:r>
          </w:p>
        </w:tc>
      </w:tr>
      <w:tr>
        <w:tc>
          <w:tcPr>
            <w:tcW w:type="dxa" w:w="2592"/>
            <w:vAlign w:val="top"/>
          </w:tcPr>
          <w:p>
            <w:pPr>
              <w:spacing w:after="0" w:line="240" w:lineRule="auto"/>
            </w:pPr>
            <w:r/>
            <w:r>
              <w:rPr>
                <w:rFonts w:ascii="Times New Roman" w:hAnsi="Times New Roman" w:eastAsia="Times New Roman"/>
                <w:b w:val="0"/>
                <w:sz w:val="15"/>
              </w:rPr>
              <w:t>Bank and financial institution</w:t>
            </w:r>
          </w:p>
        </w:tc>
        <w:tc>
          <w:tcPr>
            <w:tcW w:type="dxa" w:w="7776"/>
            <w:vAlign w:val="top"/>
          </w:tcPr>
          <w:p>
            <w:pPr>
              <w:spacing w:after="0" w:line="240" w:lineRule="auto"/>
            </w:pPr>
            <w:r/>
            <w:r>
              <w:rPr>
                <w:rFonts w:ascii="Times New Roman" w:hAnsi="Times New Roman" w:eastAsia="Times New Roman"/>
                <w:b w:val="0"/>
                <w:sz w:val="15"/>
              </w:rPr>
              <w:t>Computation of bad-loan write-off and provision claimed as expense; interest income from foreign investments or deposits; interest-free deposit details; agreements between banks where operated in foreign partnership; interest income and expense by loan and deposit classification; income other than interest; and off-balance-sheet transaction details.</w:t>
            </w:r>
          </w:p>
        </w:tc>
      </w:tr>
      <w:tr>
        <w:tc>
          <w:tcPr>
            <w:tcW w:type="dxa" w:w="2592"/>
            <w:vAlign w:val="top"/>
          </w:tcPr>
          <w:p>
            <w:pPr>
              <w:spacing w:after="0" w:line="240" w:lineRule="auto"/>
            </w:pPr>
            <w:r/>
            <w:r>
              <w:rPr>
                <w:rFonts w:ascii="Times New Roman" w:hAnsi="Times New Roman" w:eastAsia="Times New Roman"/>
                <w:b w:val="0"/>
                <w:sz w:val="15"/>
              </w:rPr>
              <w:t>General insurance business</w:t>
            </w:r>
          </w:p>
        </w:tc>
        <w:tc>
          <w:tcPr>
            <w:tcW w:type="dxa" w:w="7776"/>
            <w:vAlign w:val="top"/>
          </w:tcPr>
          <w:p>
            <w:pPr>
              <w:spacing w:after="0" w:line="240" w:lineRule="auto"/>
            </w:pPr>
            <w:r/>
            <w:r>
              <w:rPr>
                <w:rFonts w:ascii="Times New Roman" w:hAnsi="Times New Roman" w:eastAsia="Times New Roman"/>
                <w:b w:val="0"/>
                <w:sz w:val="15"/>
              </w:rPr>
              <w:t>Sector-wise income and expense of general/non-life insurance business; amounts sent abroad and received from abroad for reinsurance; and details of reinsurance premium paid to non-residents.</w:t>
            </w:r>
          </w:p>
        </w:tc>
      </w:tr>
      <w:tr>
        <w:tc>
          <w:tcPr>
            <w:tcW w:type="dxa" w:w="2592"/>
            <w:vAlign w:val="top"/>
          </w:tcPr>
          <w:p>
            <w:pPr>
              <w:spacing w:after="0" w:line="240" w:lineRule="auto"/>
            </w:pPr>
            <w:r/>
            <w:r>
              <w:rPr>
                <w:rFonts w:ascii="Times New Roman" w:hAnsi="Times New Roman" w:eastAsia="Times New Roman"/>
                <w:b w:val="0"/>
                <w:sz w:val="15"/>
              </w:rPr>
              <w:t>Long-term contract</w:t>
            </w:r>
          </w:p>
        </w:tc>
        <w:tc>
          <w:tcPr>
            <w:tcW w:type="dxa" w:w="7776"/>
            <w:vAlign w:val="top"/>
          </w:tcPr>
          <w:p>
            <w:pPr>
              <w:spacing w:after="0" w:line="240" w:lineRule="auto"/>
            </w:pPr>
            <w:r/>
            <w:r>
              <w:rPr>
                <w:rFonts w:ascii="Times New Roman" w:hAnsi="Times New Roman" w:eastAsia="Times New Roman"/>
                <w:b w:val="0"/>
                <w:sz w:val="15"/>
              </w:rPr>
              <w:t>Completion percentage computation form; computation of amounts included in income under the cumulative increase method; details of deductible amounts under that method; and estimated direct and total expenses deductible until completion of the contract.</w:t>
            </w:r>
          </w:p>
        </w:tc>
      </w:tr>
    </w:tbl>
    <w:p/>
    <w:p>
      <w:pPr>
        <w:pStyle w:val="Heading3"/>
        <w:spacing w:after="80" w:line="252" w:lineRule="auto"/>
      </w:pPr>
      <w:r>
        <w:rPr>
          <w:rFonts w:ascii="Times New Roman" w:hAnsi="Times New Roman" w:eastAsia="Times New Roman"/>
          <w:b w:val="0"/>
          <w:i w:val="0"/>
        </w:rPr>
        <w:t>25.2.4 Format of the income return</w:t>
      </w:r>
    </w:p>
    <w:p>
      <w:pPr>
        <w:spacing w:after="80" w:line="252" w:lineRule="auto"/>
      </w:pPr>
      <w:r>
        <w:rPr>
          <w:rFonts w:ascii="Times New Roman" w:hAnsi="Times New Roman" w:eastAsia="Times New Roman"/>
          <w:b w:val="0"/>
          <w:i w:val="0"/>
          <w:sz w:val="21"/>
        </w:rPr>
        <w:t>Section 96(2) requires the return to be prepared in the prescribed format. Under section 77, the Director General of the Department has authority to prescribe the format of documents and statements to be submitted to the Department or office. Detailed explanation of official documents and formats is contained in Chapter 31 of the Directive.</w:t>
      </w:r>
    </w:p>
    <w:p>
      <w:pPr>
        <w:pStyle w:val="Heading3"/>
        <w:spacing w:after="80" w:line="252" w:lineRule="auto"/>
      </w:pPr>
      <w:r>
        <w:rPr>
          <w:rFonts w:ascii="Times New Roman" w:hAnsi="Times New Roman" w:eastAsia="Times New Roman"/>
          <w:b w:val="0"/>
          <w:i w:val="0"/>
        </w:rPr>
        <w:t>25.2.5 Responsibility of the person certifying the income return</w:t>
      </w:r>
    </w:p>
    <w:p>
      <w:pPr>
        <w:spacing w:after="80" w:line="252" w:lineRule="auto"/>
      </w:pPr>
      <w:r>
        <w:rPr>
          <w:rFonts w:ascii="Times New Roman" w:hAnsi="Times New Roman" w:eastAsia="Times New Roman"/>
          <w:b w:val="0"/>
          <w:i w:val="0"/>
          <w:sz w:val="21"/>
        </w:rPr>
        <w:t>Where a person, other than as an employee, receives consideration for preparing or assisting in preparing another person's income return or attached documents, that person must certify that the records maintained under section 81 have been examined and that the return and information truly reflect the relevant circumstances. If the certifier refuses to certify, written reasons must be given to the person whose return was to be certified.</w:t>
      </w:r>
    </w:p>
    <w:p>
      <w:pPr>
        <w:spacing w:after="80" w:line="252" w:lineRule="auto"/>
      </w:pPr>
      <w:r>
        <w:rPr>
          <w:rFonts w:ascii="Times New Roman" w:hAnsi="Times New Roman" w:eastAsia="Times New Roman"/>
          <w:b w:val="0"/>
          <w:i w:val="0"/>
          <w:sz w:val="21"/>
        </w:rPr>
        <w:t>For the purposes of the Act, an accounting professional authorised to audit by the Institute of Chartered Accountants of Nepal is treated as a tax auditor. The tax auditor must ensure that the prescribed return format is used, required attachments are included, books and documents maintained for tax purposes are examined, the audit report certifies that the records have been examined and that the return reflects income, expenses, profit or loss, and the return prepared or assisted by the auditor is signed and certified. If certification cannot be given, written reasons must be communicated to the taxpayer.</w:t>
      </w:r>
    </w:p>
    <w:p>
      <w:pPr>
        <w:pStyle w:val="Heading2"/>
        <w:spacing w:after="80" w:line="252" w:lineRule="auto"/>
      </w:pPr>
      <w:r>
        <w:rPr>
          <w:rFonts w:ascii="Times New Roman" w:hAnsi="Times New Roman" w:eastAsia="Times New Roman"/>
          <w:b w:val="0"/>
          <w:i w:val="0"/>
        </w:rPr>
        <w:t>25.3 Persons not required to submit an income return</w:t>
      </w:r>
    </w:p>
    <w:p>
      <w:pPr>
        <w:spacing w:after="80" w:line="252" w:lineRule="auto"/>
      </w:pPr>
      <w:r>
        <w:rPr>
          <w:rFonts w:ascii="Times New Roman" w:hAnsi="Times New Roman" w:eastAsia="Times New Roman"/>
          <w:b w:val="0"/>
          <w:i w:val="0"/>
          <w:sz w:val="21"/>
        </w:rPr>
        <w:t>Unless the Department gives a written order or issues a public notice requiring submission, the following persons are not required to file an income return under section 96 for an income year:</w:t>
      </w:r>
    </w:p>
    <w:tbl>
      <w:tblPr>
        <w:tblStyle w:val="TableGrid"/>
        <w:tblW w:type="auto" w:w="0"/>
        <w:jc w:val="center"/>
        <w:tblLook w:firstColumn="1" w:firstRow="1" w:lastColumn="0" w:lastRow="0" w:noHBand="0" w:noVBand="1" w:val="04A0"/>
      </w:tblPr>
      <w:tblGrid>
        <w:gridCol w:w="4946"/>
        <w:gridCol w:w="4946"/>
      </w:tblGrid>
      <w:tr>
        <w:trPr>
          <w:tblHeader w:val="true"/>
        </w:trPr>
        <w:tc>
          <w:tcPr>
            <w:tcW w:type="dxa" w:w="3240"/>
            <w:vAlign w:val="top"/>
            <w:shd w:fill="D9EAF7"/>
          </w:tcPr>
          <w:p>
            <w:pPr>
              <w:spacing w:after="0" w:line="240" w:lineRule="auto"/>
            </w:pPr>
            <w:r/>
            <w:r>
              <w:rPr>
                <w:rFonts w:ascii="Times New Roman" w:hAnsi="Times New Roman" w:eastAsia="Times New Roman"/>
                <w:b/>
                <w:sz w:val="15"/>
              </w:rPr>
              <w:t>Person / income condition</w:t>
            </w:r>
          </w:p>
        </w:tc>
        <w:tc>
          <w:tcPr>
            <w:tcW w:type="dxa" w:w="7128"/>
            <w:vAlign w:val="top"/>
            <w:shd w:fill="D9EAF7"/>
          </w:tcPr>
          <w:p>
            <w:pPr>
              <w:spacing w:after="0" w:line="240" w:lineRule="auto"/>
            </w:pPr>
            <w:r/>
            <w:r>
              <w:rPr>
                <w:rFonts w:ascii="Times New Roman" w:hAnsi="Times New Roman" w:eastAsia="Times New Roman"/>
                <w:b/>
                <w:sz w:val="15"/>
              </w:rPr>
              <w:t>Explanation</w:t>
            </w:r>
          </w:p>
        </w:tc>
      </w:tr>
      <w:tr>
        <w:tc>
          <w:tcPr>
            <w:tcW w:type="dxa" w:w="3240"/>
            <w:vAlign w:val="top"/>
          </w:tcPr>
          <w:p>
            <w:pPr>
              <w:spacing w:after="0" w:line="240" w:lineRule="auto"/>
            </w:pPr>
            <w:r/>
            <w:r>
              <w:rPr>
                <w:rFonts w:ascii="Times New Roman" w:hAnsi="Times New Roman" w:eastAsia="Times New Roman"/>
                <w:b w:val="0"/>
                <w:sz w:val="15"/>
              </w:rPr>
              <w:t>Person not liable to tax under section 3(a)</w:t>
            </w:r>
          </w:p>
        </w:tc>
        <w:tc>
          <w:tcPr>
            <w:tcW w:type="dxa" w:w="7128"/>
            <w:vAlign w:val="top"/>
          </w:tcPr>
          <w:p>
            <w:pPr>
              <w:spacing w:after="0" w:line="240" w:lineRule="auto"/>
            </w:pPr>
            <w:r/>
            <w:r>
              <w:rPr>
                <w:rFonts w:ascii="Times New Roman" w:hAnsi="Times New Roman" w:eastAsia="Times New Roman"/>
                <w:b w:val="0"/>
                <w:sz w:val="15"/>
              </w:rPr>
              <w:t>This generally means a person with no taxable income in the year. However, a person engaged in an activity capable of generating taxable income is not treated as a non-taxable person merely because the activity resulted in loss or income below the taxable limit; such person must still file.</w:t>
            </w:r>
          </w:p>
        </w:tc>
      </w:tr>
      <w:tr>
        <w:tc>
          <w:tcPr>
            <w:tcW w:type="dxa" w:w="3240"/>
            <w:vAlign w:val="top"/>
          </w:tcPr>
          <w:p>
            <w:pPr>
              <w:spacing w:after="0" w:line="240" w:lineRule="auto"/>
            </w:pPr>
            <w:r/>
            <w:r>
              <w:rPr>
                <w:rFonts w:ascii="Times New Roman" w:hAnsi="Times New Roman" w:eastAsia="Times New Roman"/>
                <w:b w:val="0"/>
                <w:sz w:val="15"/>
              </w:rPr>
              <w:t>Person mentioned in section 3(b)</w:t>
            </w:r>
          </w:p>
        </w:tc>
        <w:tc>
          <w:tcPr>
            <w:tcW w:type="dxa" w:w="7128"/>
            <w:vAlign w:val="top"/>
          </w:tcPr>
          <w:p>
            <w:pPr>
              <w:spacing w:after="0" w:line="240" w:lineRule="auto"/>
            </w:pPr>
            <w:r/>
            <w:r>
              <w:rPr>
                <w:rFonts w:ascii="Times New Roman" w:hAnsi="Times New Roman" w:eastAsia="Times New Roman"/>
                <w:b w:val="0"/>
                <w:sz w:val="15"/>
              </w:rPr>
              <w:t>Where income consists only of payments subject to final withholding, such as dividend from a resident company, life-insurance proceeds, retirement payments, interest received by a natural person from a bank or financial institution, payment received by a non-resident person, meeting allowance up to Rs. 20,000 per meeting, payment for occasional teaching, question setting or answer-script checking, and windfall gain, the person need not file.</w:t>
            </w:r>
          </w:p>
        </w:tc>
      </w:tr>
      <w:tr>
        <w:tc>
          <w:tcPr>
            <w:tcW w:type="dxa" w:w="3240"/>
            <w:vAlign w:val="top"/>
          </w:tcPr>
          <w:p>
            <w:pPr>
              <w:spacing w:after="0" w:line="240" w:lineRule="auto"/>
            </w:pPr>
            <w:r/>
            <w:r>
              <w:rPr>
                <w:rFonts w:ascii="Times New Roman" w:hAnsi="Times New Roman" w:eastAsia="Times New Roman"/>
                <w:b w:val="0"/>
                <w:sz w:val="15"/>
              </w:rPr>
              <w:t>Resident natural person covered by section 4(3)</w:t>
            </w:r>
          </w:p>
        </w:tc>
        <w:tc>
          <w:tcPr>
            <w:tcW w:type="dxa" w:w="7128"/>
            <w:vAlign w:val="top"/>
          </w:tcPr>
          <w:p>
            <w:pPr>
              <w:spacing w:after="0" w:line="240" w:lineRule="auto"/>
            </w:pPr>
            <w:r/>
            <w:r>
              <w:rPr>
                <w:rFonts w:ascii="Times New Roman" w:hAnsi="Times New Roman" w:eastAsia="Times New Roman"/>
                <w:b w:val="0"/>
                <w:sz w:val="15"/>
              </w:rPr>
              <w:t>A person having only Nepal-source employment income, only one employer at a time, all employers being resident persons, and not claiming deductions or credits other than employer-paid retirement contribution and employer-paid medical tax credit need not file because the employer's withholding is treated as final for the person. If the person also has business or investment income, a return must be filed.</w:t>
            </w:r>
          </w:p>
        </w:tc>
      </w:tr>
      <w:tr>
        <w:tc>
          <w:tcPr>
            <w:tcW w:type="dxa" w:w="3240"/>
            <w:vAlign w:val="top"/>
          </w:tcPr>
          <w:p>
            <w:pPr>
              <w:spacing w:after="0" w:line="240" w:lineRule="auto"/>
            </w:pPr>
            <w:r/>
            <w:r>
              <w:rPr>
                <w:rFonts w:ascii="Times New Roman" w:hAnsi="Times New Roman" w:eastAsia="Times New Roman"/>
                <w:b w:val="0"/>
                <w:sz w:val="15"/>
              </w:rPr>
              <w:t>Natural person owner of a vehicle for hire, other than sole proprietorship firm</w:t>
            </w:r>
          </w:p>
        </w:tc>
        <w:tc>
          <w:tcPr>
            <w:tcW w:type="dxa" w:w="7128"/>
            <w:vAlign w:val="top"/>
          </w:tcPr>
          <w:p>
            <w:pPr>
              <w:spacing w:after="0" w:line="240" w:lineRule="auto"/>
            </w:pPr>
            <w:r/>
            <w:r>
              <w:rPr>
                <w:rFonts w:ascii="Times New Roman" w:hAnsi="Times New Roman" w:eastAsia="Times New Roman"/>
                <w:b w:val="0"/>
                <w:sz w:val="15"/>
              </w:rPr>
              <w:t>A natural person owner of a vehicle for hire who pays tax under Schedule 1, section 1(13), is not required to file under this head.</w:t>
            </w:r>
          </w:p>
        </w:tc>
      </w:tr>
      <w:tr>
        <w:tc>
          <w:tcPr>
            <w:tcW w:type="dxa" w:w="3240"/>
            <w:vAlign w:val="top"/>
          </w:tcPr>
          <w:p>
            <w:pPr>
              <w:spacing w:after="0" w:line="240" w:lineRule="auto"/>
            </w:pPr>
            <w:r>
              <w:t>Natural person with only income from disposal of non-business taxable assets who does not wish to file</w:t>
            </w:r>
            <w:r>
              <w:rPr>
                <w:rFonts w:ascii="Times New Roman" w:hAnsi="Times New Roman" w:eastAsia="Times New Roman"/>
                <w:b w:val="0"/>
                <w:sz w:val="15"/>
              </w:rPr>
            </w:r>
          </w:p>
        </w:tc>
        <w:tc>
          <w:tcPr>
            <w:tcW w:type="dxa" w:w="7128"/>
            <w:vAlign w:val="top"/>
          </w:tcPr>
          <w:p>
            <w:pPr>
              <w:spacing w:after="0" w:line="240" w:lineRule="auto"/>
            </w:pPr>
            <w:r/>
            <w:r>
              <w:rPr>
                <w:rFonts w:ascii="Times New Roman" w:hAnsi="Times New Roman" w:eastAsia="Times New Roman"/>
                <w:b w:val="0"/>
                <w:sz w:val="15"/>
              </w:rPr>
              <w:t>If the only income is from disposal of land/house-land or an interest in an entity and the natural person does not wish to file, no return is required, subject to the Rs. 4,000,000 threshold explained below.</w:t>
            </w:r>
          </w:p>
        </w:tc>
      </w:tr>
    </w:tbl>
    <w:p/>
    <w:p>
      <w:pPr>
        <w:pStyle w:val="Heading3"/>
        <w:spacing w:after="80" w:line="252" w:lineRule="auto"/>
      </w:pPr>
      <w:r>
        <w:rPr>
          <w:rFonts w:ascii="Times New Roman" w:hAnsi="Times New Roman" w:eastAsia="Times New Roman"/>
          <w:b w:val="0"/>
          <w:i w:val="0"/>
        </w:rPr>
        <w:t>25.3.1 Cases where an income return must nevertheless be filed</w:t>
      </w:r>
    </w:p>
    <w:p>
      <w:pPr>
        <w:spacing w:after="80" w:line="252" w:lineRule="auto"/>
      </w:pPr>
      <w:r>
        <w:rPr>
          <w:rFonts w:ascii="Times New Roman" w:hAnsi="Times New Roman" w:eastAsia="Times New Roman"/>
          <w:b w:val="0"/>
          <w:i w:val="0"/>
          <w:sz w:val="21"/>
        </w:rPr>
        <w:t>Notwithstanding section 97(1), a natural person whose income in an income year exceeds Rs. 4,000,000 must submit an income return under section 96. This applies even to a person with Nepal-source employment income, a person receiving payments subject to final withholding, or a natural person owner of a vehicle for hire. In such a return, in addition to the income that must otherwise be included, the person must include income referred to in sections 5(d), 7(3), 8(3)(a), 9(3)(a) and income from business exemptions and concessions under section 11. However, meeting allowance and interest income need not compulsorily be included. In determining income for this filing requirement, final withholding income under section 3(b) and exempt income under section 11 are deducted; where meeting allowance or interest income was not included, it need not be deducted. The format of this return is as prescribed by the Department.</w:t>
      </w:r>
    </w:p>
    <w:p>
      <w:pPr>
        <w:pStyle w:val="Heading2"/>
        <w:spacing w:after="80" w:line="252" w:lineRule="auto"/>
      </w:pPr>
      <w:r>
        <w:rPr>
          <w:rFonts w:ascii="Times New Roman" w:hAnsi="Times New Roman" w:eastAsia="Times New Roman"/>
          <w:b w:val="0"/>
          <w:i w:val="0"/>
        </w:rPr>
        <w:t>25.4 Time for submission of income return</w:t>
      </w:r>
    </w:p>
    <w:p>
      <w:pPr>
        <w:pStyle w:val="Heading3"/>
        <w:spacing w:after="80" w:line="252" w:lineRule="auto"/>
      </w:pPr>
      <w:r>
        <w:rPr>
          <w:rFonts w:ascii="Times New Roman" w:hAnsi="Times New Roman" w:eastAsia="Times New Roman"/>
          <w:b w:val="0"/>
          <w:i w:val="0"/>
        </w:rPr>
        <w:t>25.4.1 Extension of time for filing</w:t>
      </w:r>
    </w:p>
    <w:p>
      <w:pPr>
        <w:spacing w:after="80" w:line="252" w:lineRule="auto"/>
      </w:pPr>
      <w:r>
        <w:rPr>
          <w:rFonts w:ascii="Times New Roman" w:hAnsi="Times New Roman" w:eastAsia="Times New Roman"/>
          <w:b w:val="0"/>
          <w:i w:val="0"/>
          <w:sz w:val="21"/>
        </w:rPr>
        <w:t>A person required to file an income return must generally file within three months after the end of the income year. For example, the return for FY 2081/82 must be filed by the end of Ashoj 2082. If the person cannot file within that time, a written application may be submitted to the concerned office within the filing period, requesting an extension. Where reasonable cause exists, the Department may extend the time, once or in instalments, by a maximum of three months. In practical terms, the extended filing period cannot go beyond the end of Poush of the following income year. The decision on the extension application must be communicated in writing to the applicant.</w:t>
      </w:r>
    </w:p>
    <w:p>
      <w:pPr>
        <w:pStyle w:val="Heading3"/>
        <w:spacing w:after="80" w:line="252" w:lineRule="auto"/>
      </w:pPr>
      <w:r>
        <w:rPr>
          <w:rFonts w:ascii="Times New Roman" w:hAnsi="Times New Roman" w:eastAsia="Times New Roman"/>
          <w:b w:val="0"/>
          <w:i w:val="0"/>
        </w:rPr>
        <w:t>25.4.2 Departmental notice requiring submission before the normal due date</w:t>
      </w:r>
    </w:p>
    <w:p>
      <w:pPr>
        <w:spacing w:after="80" w:line="252" w:lineRule="auto"/>
      </w:pPr>
      <w:r>
        <w:rPr>
          <w:rFonts w:ascii="Times New Roman" w:hAnsi="Times New Roman" w:eastAsia="Times New Roman"/>
          <w:b w:val="0"/>
          <w:i w:val="0"/>
          <w:sz w:val="21"/>
        </w:rPr>
        <w:t>Where tax risk exists, or where there is a possibility that tax may not be paid, the office may require the person to submit a return for the period considered appropriate before the normal due date. Section 96(5) applies where the person becomes bankrupt, insolvent, indebted or dissolved; leaves Nepal for an indefinite period; is about to cease work in Nepal for any reason; or where the Department otherwise considers it appropriate. The person receiving the notice must submit the income return for the income year or part of the income year specified in the notice within the period stated in that notice. If the person fails to submit the return, the office may make a jeopardy assessment under section 100 for the tax payable for the period specified in the notice.</w:t>
      </w:r>
    </w:p>
    <w:p>
      <w:pPr>
        <w:pStyle w:val="Heading3"/>
        <w:spacing w:after="80" w:line="252" w:lineRule="auto"/>
      </w:pPr>
      <w:r>
        <w:rPr>
          <w:rFonts w:ascii="Times New Roman" w:hAnsi="Times New Roman" w:eastAsia="Times New Roman"/>
          <w:b w:val="0"/>
          <w:i w:val="0"/>
        </w:rPr>
        <w:t>25.4.3 Amendment of income return submitted within time</w:t>
      </w:r>
    </w:p>
    <w:p>
      <w:pPr>
        <w:spacing w:after="80" w:line="252" w:lineRule="auto"/>
      </w:pPr>
      <w:r>
        <w:rPr>
          <w:rFonts w:ascii="Times New Roman" w:hAnsi="Times New Roman" w:eastAsia="Times New Roman"/>
          <w:b w:val="0"/>
          <w:i w:val="0"/>
          <w:sz w:val="21"/>
        </w:rPr>
        <w:t>A person who has submitted an income return within the legal time limit may amend the return, if it is otherwise incorrect, within thirty days from the date of filing, following the procedure prescribed by the Department. The expression "return submitted within time" means a return submitted within the period under section 96(1), or, where time is extended, within the period under section 98(1) and (2). Only the return and related schedules filed within that period may be amended under this provision. Once financial statements have been certified by the auditor and taxpayer and submitted, those financial statements cannot be amended under this provision. For presumptive or turnover-based taxpayers who are not required to submit financial statements, if turnover differs from purchase/sales statements, the taxpayer may amend the timely filed income return within the prescribed time if the taxpayer so chooses.</w:t>
      </w:r>
    </w:p>
    <w:tbl>
      <w:tblPr>
        <w:tblStyle w:val="TableGrid"/>
        <w:tblW w:type="auto" w:w="0"/>
        <w:jc w:val="center"/>
        <w:tblLook w:firstColumn="1" w:firstRow="1" w:lastColumn="0" w:lastRow="0" w:noHBand="0" w:noVBand="1" w:val="04A0"/>
      </w:tblPr>
      <w:tblGrid>
        <w:gridCol w:w="3298"/>
        <w:gridCol w:w="3298"/>
        <w:gridCol w:w="3298"/>
      </w:tblGrid>
      <w:tr>
        <w:trPr>
          <w:tblHeader w:val="true"/>
        </w:trPr>
        <w:tc>
          <w:tcPr>
            <w:tcW w:type="dxa" w:w="1440"/>
            <w:vAlign w:val="top"/>
            <w:shd w:fill="D9EAF7"/>
          </w:tcPr>
          <w:p>
            <w:pPr>
              <w:spacing w:after="0" w:line="240" w:lineRule="auto"/>
            </w:pPr>
            <w:r/>
            <w:r>
              <w:rPr>
                <w:rFonts w:ascii="Times New Roman" w:hAnsi="Times New Roman" w:eastAsia="Times New Roman"/>
                <w:b/>
                <w:sz w:val="15"/>
              </w:rPr>
              <w:t>Example</w:t>
            </w:r>
          </w:p>
        </w:tc>
        <w:tc>
          <w:tcPr>
            <w:tcW w:type="dxa" w:w="6408"/>
            <w:vAlign w:val="top"/>
            <w:shd w:fill="D9EAF7"/>
          </w:tcPr>
          <w:p>
            <w:pPr>
              <w:spacing w:after="0" w:line="240" w:lineRule="auto"/>
            </w:pPr>
            <w:r/>
            <w:r>
              <w:rPr>
                <w:rFonts w:ascii="Times New Roman" w:hAnsi="Times New Roman" w:eastAsia="Times New Roman"/>
                <w:b/>
                <w:sz w:val="15"/>
              </w:rPr>
              <w:t>Facts</w:t>
            </w:r>
          </w:p>
        </w:tc>
        <w:tc>
          <w:tcPr>
            <w:tcW w:type="dxa" w:w="2664"/>
            <w:vAlign w:val="top"/>
            <w:shd w:fill="D9EAF7"/>
          </w:tcPr>
          <w:p>
            <w:pPr>
              <w:spacing w:after="0" w:line="240" w:lineRule="auto"/>
            </w:pPr>
            <w:r/>
            <w:r>
              <w:rPr>
                <w:rFonts w:ascii="Times New Roman" w:hAnsi="Times New Roman" w:eastAsia="Times New Roman"/>
                <w:b/>
                <w:sz w:val="15"/>
              </w:rPr>
              <w:t>Directive treatment</w:t>
            </w:r>
          </w:p>
        </w:tc>
      </w:tr>
      <w:tr>
        <w:tc>
          <w:tcPr>
            <w:tcW w:type="dxa" w:w="1440"/>
            <w:vAlign w:val="top"/>
          </w:tcPr>
          <w:p>
            <w:pPr>
              <w:spacing w:after="0" w:line="240" w:lineRule="auto"/>
            </w:pPr>
            <w:r/>
            <w:r>
              <w:rPr>
                <w:rFonts w:ascii="Times New Roman" w:hAnsi="Times New Roman" w:eastAsia="Times New Roman"/>
                <w:b w:val="0"/>
                <w:sz w:val="15"/>
              </w:rPr>
              <w:t>25.4.1</w:t>
            </w:r>
          </w:p>
        </w:tc>
        <w:tc>
          <w:tcPr>
            <w:tcW w:type="dxa" w:w="6408"/>
            <w:vAlign w:val="top"/>
          </w:tcPr>
          <w:p>
            <w:pPr>
              <w:spacing w:after="0" w:line="240" w:lineRule="auto"/>
            </w:pPr>
            <w:r/>
            <w:r>
              <w:rPr>
                <w:rFonts w:ascii="Times New Roman" w:hAnsi="Times New Roman" w:eastAsia="Times New Roman"/>
                <w:b w:val="0"/>
                <w:sz w:val="15"/>
              </w:rPr>
              <w:t>Kalpavriksha Pvt. Ltd. obtained three months' extension for FY 2080/81 and filed the return on 20 Poush 2081. An error was found by 20 Magh 2081.</w:t>
            </w:r>
          </w:p>
        </w:tc>
        <w:tc>
          <w:tcPr>
            <w:tcW w:type="dxa" w:w="2664"/>
            <w:vAlign w:val="top"/>
          </w:tcPr>
          <w:p>
            <w:pPr>
              <w:spacing w:after="0" w:line="240" w:lineRule="auto"/>
            </w:pPr>
            <w:r/>
            <w:r>
              <w:rPr>
                <w:rFonts w:ascii="Times New Roman" w:hAnsi="Times New Roman" w:eastAsia="Times New Roman"/>
                <w:b w:val="0"/>
                <w:sz w:val="15"/>
              </w:rPr>
              <w:t>Because the error was found within thirty days from filing, the return could be amended up to that date.</w:t>
            </w:r>
          </w:p>
        </w:tc>
      </w:tr>
      <w:tr>
        <w:tc>
          <w:tcPr>
            <w:tcW w:type="dxa" w:w="1440"/>
            <w:vAlign w:val="top"/>
          </w:tcPr>
          <w:p>
            <w:pPr>
              <w:spacing w:after="0" w:line="240" w:lineRule="auto"/>
            </w:pPr>
            <w:r/>
            <w:r>
              <w:rPr>
                <w:rFonts w:ascii="Times New Roman" w:hAnsi="Times New Roman" w:eastAsia="Times New Roman"/>
                <w:b w:val="0"/>
                <w:sz w:val="15"/>
              </w:rPr>
              <w:t>25.4.2</w:t>
            </w:r>
          </w:p>
        </w:tc>
        <w:tc>
          <w:tcPr>
            <w:tcW w:type="dxa" w:w="6408"/>
            <w:vAlign w:val="top"/>
          </w:tcPr>
          <w:p>
            <w:pPr>
              <w:spacing w:after="0" w:line="240" w:lineRule="auto"/>
            </w:pPr>
            <w:r/>
            <w:r>
              <w:rPr>
                <w:rFonts w:ascii="Times New Roman" w:hAnsi="Times New Roman" w:eastAsia="Times New Roman"/>
                <w:b w:val="0"/>
                <w:sz w:val="15"/>
              </w:rPr>
              <w:t>ABC &amp; Company Pvt. Ltd. filed its FY 2080/81 D-3 return on 25 Ashoj 2081. Interest expense of Rs. 1,000,000 shown in the profit and loss account was omitted from Schedule 5, and sales of Rs. 1,000,000 were mistakenly entered as Rs. 100,000 in Schedule 5.</w:t>
            </w:r>
          </w:p>
        </w:tc>
        <w:tc>
          <w:tcPr>
            <w:tcW w:type="dxa" w:w="2664"/>
            <w:vAlign w:val="top"/>
          </w:tcPr>
          <w:p>
            <w:pPr>
              <w:spacing w:after="0" w:line="240" w:lineRule="auto"/>
            </w:pPr>
            <w:r/>
            <w:r>
              <w:rPr>
                <w:rFonts w:ascii="Times New Roman" w:hAnsi="Times New Roman" w:eastAsia="Times New Roman"/>
                <w:b w:val="0"/>
                <w:sz w:val="15"/>
              </w:rPr>
              <w:t>If the company applies within thirty days from filing, giving reasons for amendment, the office may examine and allow amendment of the income return.</w:t>
            </w:r>
          </w:p>
        </w:tc>
      </w:tr>
    </w:tbl>
    <w:p/>
    <w:p>
      <w:pPr>
        <w:pStyle w:val="Heading3"/>
        <w:spacing w:after="80" w:line="252" w:lineRule="auto"/>
      </w:pPr>
      <w:r>
        <w:rPr>
          <w:rFonts w:ascii="Times New Roman" w:hAnsi="Times New Roman" w:eastAsia="Times New Roman"/>
          <w:b w:val="0"/>
          <w:i w:val="0"/>
        </w:rPr>
        <w:t>25.4.4 Filing deadline when ownership of an entity changes</w:t>
      </w:r>
    </w:p>
    <w:p>
      <w:pPr>
        <w:spacing w:after="80" w:line="252" w:lineRule="auto"/>
      </w:pPr>
      <w:r>
        <w:rPr>
          <w:rFonts w:ascii="Times New Roman" w:hAnsi="Times New Roman" w:eastAsia="Times New Roman"/>
          <w:b w:val="0"/>
          <w:i w:val="0"/>
          <w:sz w:val="21"/>
        </w:rPr>
        <w:t>Where ownership of an entity changes under section 57, the part of the income year before the change and the part after the change must be treated as separate income years. Accordingly, separate self-assessments and separate income returns must be submitted for the period before and after the ownership change. The return for the period before the change must be filed within three months from the date of the ownership change.</w:t>
      </w:r>
    </w:p>
    <w:p>
      <w:pPr>
        <w:spacing w:after="80" w:line="252" w:lineRule="auto"/>
      </w:pPr>
      <w:r>
        <w:rPr>
          <w:rFonts w:ascii="Times New Roman" w:hAnsi="Times New Roman" w:eastAsia="Times New Roman"/>
          <w:b w:val="0"/>
          <w:i w:val="0"/>
          <w:sz w:val="21"/>
        </w:rPr>
        <w:t>For example, if ownership of an entity changes on 2081/01/05, the period from 2080/04/01 to 2081/01/05 is treated as one income year for section 57 purposes, and the return for that period must be filed by 2081/04/04 if no extension is taken. The period from 2081/01/06 to 2081/03/32 is treated as another income year, and the return for that later period must be filed by the end of Ashoj 2081 if no extension is taken.</w:t>
      </w:r>
    </w:p>
    <w:p>
      <w:pPr>
        <w:spacing w:after="80" w:line="252" w:lineRule="auto"/>
        <w:jc w:val="center"/>
      </w:pPr>
      <w:r>
        <w:rPr>
          <w:rFonts w:ascii="Times New Roman" w:hAnsi="Times New Roman" w:eastAsia="Times New Roman"/>
          <w:b w:val="0"/>
          <w:i/>
          <w:sz w:val="21"/>
        </w:rPr>
        <w:t>End of Chapter 25</w:t>
      </w:r>
    </w:p>
    <w:p>
      <w:r>
        <w:br w:type="page"/>
      </w:r>
    </w:p>
    <w:p>
      <w:pPr>
        <w:pStyle w:val="Title"/>
        <w:spacing w:after="80" w:line="252" w:lineRule="auto"/>
        <w:jc w:val="center"/>
      </w:pPr>
      <w:r>
        <w:rPr>
          <w:rFonts w:ascii="Times New Roman" w:hAnsi="Times New Roman" w:eastAsia="Times New Roman"/>
          <w:b w:val="0"/>
          <w:i w:val="0"/>
        </w:rPr>
        <w:t>Income Tax Directive, 2066 (with Fifth Amendment, 2081)</w:t>
      </w:r>
    </w:p>
    <w:p>
      <w:pPr>
        <w:pStyle w:val="Title"/>
        <w:spacing w:after="80" w:line="252" w:lineRule="auto"/>
        <w:jc w:val="center"/>
      </w:pPr>
      <w:r>
        <w:rPr>
          <w:rFonts w:ascii="Times New Roman" w:hAnsi="Times New Roman" w:eastAsia="Times New Roman"/>
          <w:b w:val="0"/>
          <w:i w:val="0"/>
        </w:rPr>
        <w:t>English Translation - Part 26</w:t>
      </w:r>
    </w:p>
    <w:p>
      <w:pPr>
        <w:pStyle w:val="Heading1"/>
        <w:spacing w:after="80" w:line="252" w:lineRule="auto"/>
        <w:jc w:val="center"/>
      </w:pPr>
      <w:r>
        <w:rPr>
          <w:rFonts w:ascii="Times New Roman" w:hAnsi="Times New Roman" w:eastAsia="Times New Roman"/>
          <w:b w:val="0"/>
          <w:i w:val="0"/>
        </w:rPr>
        <w:t>Chapter 26: Tax Assessment</w:t>
      </w:r>
    </w:p>
    <w:p>
      <w:pPr>
        <w:spacing w:after="80" w:line="252" w:lineRule="auto"/>
        <w:jc w:val="center"/>
      </w:pPr>
      <w:r>
        <w:rPr>
          <w:rFonts w:ascii="Times New Roman" w:hAnsi="Times New Roman" w:eastAsia="Times New Roman"/>
          <w:b w:val="0"/>
          <w:i/>
          <w:sz w:val="21"/>
        </w:rPr>
        <w:t>Source pages: Directive pages 548-558</w:t>
      </w:r>
    </w:p>
    <w:p>
      <w:pPr>
        <w:spacing w:after="80" w:line="252" w:lineRule="auto"/>
      </w:pPr>
      <w:r>
        <w:rPr>
          <w:rFonts w:ascii="Times New Roman" w:hAnsi="Times New Roman" w:eastAsia="Times New Roman"/>
          <w:b w:val="0"/>
          <w:i/>
          <w:sz w:val="21"/>
        </w:rPr>
        <w:t>Note: This working translation follows the sequence, headings, examples and tabular presentation of the Nepali directive as far as practicable in Word format. Statutory expressions have been aligned with the official English terminology of the Income Tax Act, 2002 (2058) where applicable.</w:t>
      </w:r>
    </w:p>
    <w:p>
      <w:r>
        <w:br w:type="page"/>
      </w:r>
    </w:p>
    <w:p>
      <w:pPr>
        <w:pStyle w:val="Heading1"/>
        <w:spacing w:after="80" w:line="252" w:lineRule="auto"/>
        <w:jc w:val="center"/>
      </w:pPr>
      <w:r>
        <w:rPr>
          <w:rFonts w:ascii="Times New Roman" w:hAnsi="Times New Roman" w:eastAsia="Times New Roman"/>
          <w:b w:val="0"/>
          <w:i w:val="0"/>
        </w:rPr>
        <w:t>Chapter 26</w:t>
      </w:r>
    </w:p>
    <w:p>
      <w:pPr>
        <w:pStyle w:val="Heading1"/>
        <w:spacing w:after="80" w:line="252" w:lineRule="auto"/>
        <w:jc w:val="center"/>
      </w:pPr>
      <w:r>
        <w:rPr>
          <w:rFonts w:ascii="Times New Roman" w:hAnsi="Times New Roman" w:eastAsia="Times New Roman"/>
          <w:b w:val="0"/>
          <w:i w:val="0"/>
        </w:rPr>
        <w:t>Tax Assessment</w:t>
      </w:r>
    </w:p>
    <w:p>
      <w:pPr>
        <w:pStyle w:val="Heading2"/>
        <w:spacing w:after="80" w:line="252" w:lineRule="auto"/>
      </w:pPr>
      <w:r>
        <w:rPr>
          <w:rFonts w:ascii="Times New Roman" w:hAnsi="Times New Roman" w:eastAsia="Times New Roman"/>
          <w:b w:val="0"/>
          <w:i w:val="0"/>
        </w:rPr>
        <w:t>26.1 Introduction</w:t>
      </w:r>
    </w:p>
    <w:p>
      <w:pPr>
        <w:spacing w:after="80" w:line="252" w:lineRule="auto"/>
      </w:pPr>
      <w:r>
        <w:rPr>
          <w:rFonts w:ascii="Times New Roman" w:hAnsi="Times New Roman" w:eastAsia="Times New Roman"/>
          <w:b w:val="0"/>
          <w:i w:val="0"/>
          <w:sz w:val="21"/>
        </w:rPr>
        <w:t>Under the Income Tax Act, 2058, tax assessment means the act of determining the tax payable by a person for an income year. For this purpose, tax includes tax, fees, interest and other amounts payable under the Act. Since income tax is accepted as a self-assessment tax, the person having the duty to pay tax must determine or compute the tax payable by that person. Timely determination and disclosure of the tax liability through the income return is a principal duty of every taxpayer. If a person does not determine the tax and does not inform the concerned office of the tax liability in time, the Department obtains the authority to determine that liability. If a person mistakenly or deliberately assesses tax lower than the actual liability, the Department may amend the assessment.</w:t>
      </w:r>
    </w:p>
    <w:p>
      <w:pPr>
        <w:spacing w:after="80" w:line="252" w:lineRule="auto"/>
      </w:pPr>
      <w:r>
        <w:rPr>
          <w:rFonts w:ascii="Times New Roman" w:hAnsi="Times New Roman" w:eastAsia="Times New Roman"/>
          <w:b w:val="0"/>
          <w:i w:val="0"/>
          <w:sz w:val="21"/>
        </w:rPr>
        <w:t>This chapter explains the provisions of Chapter 19 of the Act relating to self-assessment by taxpayers, amended assessment by the Department, and jeopardy assessment.</w:t>
      </w:r>
    </w:p>
    <w:p>
      <w:pPr>
        <w:pStyle w:val="Heading2"/>
        <w:spacing w:after="80" w:line="252" w:lineRule="auto"/>
      </w:pPr>
      <w:r>
        <w:rPr>
          <w:rFonts w:ascii="Times New Roman" w:hAnsi="Times New Roman" w:eastAsia="Times New Roman"/>
          <w:b w:val="0"/>
          <w:i w:val="0"/>
        </w:rPr>
        <w:t>26.2 Tax Assessment</w:t>
      </w:r>
    </w:p>
    <w:p>
      <w:pPr>
        <w:pStyle w:val="Heading3"/>
        <w:spacing w:after="80" w:line="252" w:lineRule="auto"/>
      </w:pPr>
      <w:r>
        <w:rPr>
          <w:rFonts w:ascii="Times New Roman" w:hAnsi="Times New Roman" w:eastAsia="Times New Roman"/>
          <w:b w:val="0"/>
          <w:i w:val="0"/>
        </w:rPr>
        <w:t>26.2.1 Income return</w:t>
      </w:r>
    </w:p>
    <w:p>
      <w:pPr>
        <w:spacing w:after="80" w:line="252" w:lineRule="auto"/>
      </w:pPr>
      <w:r>
        <w:rPr>
          <w:rFonts w:ascii="Times New Roman" w:hAnsi="Times New Roman" w:eastAsia="Times New Roman"/>
          <w:b w:val="0"/>
          <w:i w:val="0"/>
          <w:sz w:val="21"/>
        </w:rPr>
        <w:t>Persons having a duty to pay tax include a person having income from employment, business or investment in an income year; a Nepal-situated foreign permanent establishment of a non-resident person that repatriates income; a person having windfall gain; a person whose payment has been subject to withholding or from whom advance tax has been collected under sections 87, 88, 88A, 89 and 95A; a person receiving payments subject to final withholding under section 92; and a natural person owner of a vehicle for hire. Detailed explanation of the income return submitted by a person required to file is provided in Chapter 25 of the Directive.</w:t>
      </w:r>
    </w:p>
    <w:p>
      <w:pPr>
        <w:pStyle w:val="Heading3"/>
        <w:spacing w:after="80" w:line="252" w:lineRule="auto"/>
      </w:pPr>
      <w:r>
        <w:rPr>
          <w:rFonts w:ascii="Times New Roman" w:hAnsi="Times New Roman" w:eastAsia="Times New Roman"/>
          <w:b w:val="0"/>
          <w:i w:val="0"/>
        </w:rPr>
        <w:t>26.2.2 Tax assessment by a person submitting an income return</w:t>
      </w:r>
    </w:p>
    <w:p>
      <w:pPr>
        <w:spacing w:after="80" w:line="252" w:lineRule="auto"/>
      </w:pPr>
      <w:r>
        <w:rPr>
          <w:rFonts w:ascii="Times New Roman" w:hAnsi="Times New Roman" w:eastAsia="Times New Roman"/>
          <w:b w:val="0"/>
          <w:i w:val="0"/>
          <w:sz w:val="21"/>
        </w:rPr>
        <w:t>Section 99(1) provides that where a person files an income return for an income year on the date by which the return must be filed, showing the tax payable for that year and the balance tax remaining to be paid, the return is treated as the tax assessment of that person. If an extension has been granted, the return must be filed within the extended date in order for the return to have this self-assessment effect. If the return is not filed within the due date or the extended date, the assessment is treated under section 99(2) until the return is filed.</w:t>
      </w:r>
    </w:p>
    <w:p>
      <w:pPr>
        <w:spacing w:after="80" w:line="252" w:lineRule="auto"/>
      </w:pPr>
      <w:r>
        <w:rPr>
          <w:rFonts w:ascii="Times New Roman" w:hAnsi="Times New Roman" w:eastAsia="Times New Roman"/>
          <w:b w:val="0"/>
          <w:i w:val="0"/>
          <w:sz w:val="21"/>
        </w:rPr>
        <w:t>The total tax payable for this purpose includes the tax on taxable income from the different heads of income at the rates prescribed by Schedule 1, and any fees or interest payable. The balance tax payable is the amount remaining after deducting instalment tax paid, tax withheld on payments included in taxable income, advance tax deposited by the person or by another person on the taxpayer's behalf, foreign tax adjustment allowable on foreign-source income, and medical-treatment tax credit allowed to a natural person.</w:t>
      </w:r>
    </w:p>
    <w:tbl>
      <w:tblPr>
        <w:tblStyle w:val="TableGrid"/>
        <w:tblW w:type="auto" w:w="0"/>
        <w:jc w:val="center"/>
        <w:tblLook w:firstColumn="1" w:firstRow="1" w:lastColumn="0" w:lastRow="0" w:noHBand="0" w:noVBand="1" w:val="04A0"/>
      </w:tblPr>
      <w:tblGrid>
        <w:gridCol w:w="4946"/>
        <w:gridCol w:w="4946"/>
      </w:tblGrid>
      <w:tr>
        <w:trPr>
          <w:tblHeader w:val="true"/>
        </w:trPr>
        <w:tc>
          <w:tcPr>
            <w:tcW w:type="dxa" w:w="7488"/>
            <w:vAlign w:val="top"/>
            <w:shd w:fill="D9EAF7"/>
          </w:tcPr>
          <w:p>
            <w:pPr>
              <w:spacing w:after="0" w:line="240" w:lineRule="auto"/>
            </w:pPr>
            <w:r/>
            <w:r>
              <w:rPr>
                <w:rFonts w:ascii="Times New Roman" w:hAnsi="Times New Roman" w:eastAsia="Times New Roman"/>
                <w:b/>
                <w:sz w:val="16"/>
              </w:rPr>
              <w:t>Example 26.2.1 - Ram Prasad / Ram Galla Bhandar</w:t>
            </w:r>
          </w:p>
        </w:tc>
        <w:tc>
          <w:tcPr>
            <w:tcW w:type="dxa" w:w="2592"/>
            <w:vAlign w:val="top"/>
            <w:shd w:fill="D9EAF7"/>
          </w:tcPr>
          <w:p>
            <w:pPr>
              <w:spacing w:after="0" w:line="240" w:lineRule="auto"/>
            </w:pPr>
            <w:r/>
            <w:r>
              <w:rPr>
                <w:rFonts w:ascii="Times New Roman" w:hAnsi="Times New Roman" w:eastAsia="Times New Roman"/>
                <w:b/>
                <w:sz w:val="16"/>
              </w:rPr>
              <w:t>Amount</w:t>
            </w:r>
          </w:p>
        </w:tc>
      </w:tr>
      <w:tr>
        <w:tc>
          <w:tcPr>
            <w:tcW w:type="dxa" w:w="7488"/>
            <w:vAlign w:val="top"/>
          </w:tcPr>
          <w:p>
            <w:pPr>
              <w:spacing w:after="0" w:line="240" w:lineRule="auto"/>
            </w:pPr>
            <w:r/>
            <w:r>
              <w:rPr>
                <w:rFonts w:ascii="Times New Roman" w:hAnsi="Times New Roman" w:eastAsia="Times New Roman"/>
                <w:b w:val="0"/>
                <w:sz w:val="16"/>
              </w:rPr>
              <w:t>Taxable income from rice wholesale business for FY 2080/81</w:t>
            </w:r>
          </w:p>
        </w:tc>
        <w:tc>
          <w:tcPr>
            <w:tcW w:type="dxa" w:w="2592"/>
            <w:vAlign w:val="top"/>
          </w:tcPr>
          <w:p>
            <w:pPr>
              <w:spacing w:after="0" w:line="240" w:lineRule="auto"/>
            </w:pPr>
            <w:r/>
            <w:r>
              <w:rPr>
                <w:rFonts w:ascii="Times New Roman" w:hAnsi="Times New Roman" w:eastAsia="Times New Roman"/>
                <w:b w:val="0"/>
                <w:sz w:val="16"/>
              </w:rPr>
              <w:t>Rs. 2,000,000</w:t>
            </w:r>
          </w:p>
        </w:tc>
      </w:tr>
      <w:tr>
        <w:tc>
          <w:tcPr>
            <w:tcW w:type="dxa" w:w="7488"/>
            <w:vAlign w:val="top"/>
          </w:tcPr>
          <w:p>
            <w:pPr>
              <w:spacing w:after="0" w:line="240" w:lineRule="auto"/>
            </w:pPr>
            <w:r/>
            <w:r>
              <w:rPr>
                <w:rFonts w:ascii="Times New Roman" w:hAnsi="Times New Roman" w:eastAsia="Times New Roman"/>
                <w:b w:val="0"/>
                <w:sz w:val="16"/>
              </w:rPr>
              <w:t>Less: couple threshold / exemption for sole proprietorship case</w:t>
            </w:r>
          </w:p>
        </w:tc>
        <w:tc>
          <w:tcPr>
            <w:tcW w:type="dxa" w:w="2592"/>
            <w:vAlign w:val="top"/>
          </w:tcPr>
          <w:p>
            <w:pPr>
              <w:spacing w:after="0" w:line="240" w:lineRule="auto"/>
            </w:pPr>
            <w:r/>
            <w:r>
              <w:rPr>
                <w:rFonts w:ascii="Times New Roman" w:hAnsi="Times New Roman" w:eastAsia="Times New Roman"/>
                <w:b w:val="0"/>
                <w:sz w:val="16"/>
              </w:rPr>
              <w:t>Rs. 600,000</w:t>
            </w:r>
          </w:p>
        </w:tc>
      </w:tr>
      <w:tr>
        <w:tc>
          <w:tcPr>
            <w:tcW w:type="dxa" w:w="7488"/>
            <w:vAlign w:val="top"/>
          </w:tcPr>
          <w:p>
            <w:pPr>
              <w:spacing w:after="0" w:line="240" w:lineRule="auto"/>
            </w:pPr>
            <w:r/>
            <w:r>
              <w:rPr>
                <w:rFonts w:ascii="Times New Roman" w:hAnsi="Times New Roman" w:eastAsia="Times New Roman"/>
                <w:b w:val="0"/>
                <w:sz w:val="16"/>
              </w:rPr>
              <w:t>Taxable balance</w:t>
            </w:r>
          </w:p>
        </w:tc>
        <w:tc>
          <w:tcPr>
            <w:tcW w:type="dxa" w:w="2592"/>
            <w:vAlign w:val="top"/>
          </w:tcPr>
          <w:p>
            <w:pPr>
              <w:spacing w:after="0" w:line="240" w:lineRule="auto"/>
            </w:pPr>
            <w:r/>
            <w:r>
              <w:rPr>
                <w:rFonts w:ascii="Times New Roman" w:hAnsi="Times New Roman" w:eastAsia="Times New Roman"/>
                <w:b w:val="0"/>
                <w:sz w:val="16"/>
              </w:rPr>
              <w:t>Rs. 1,400,000</w:t>
            </w:r>
          </w:p>
        </w:tc>
      </w:tr>
      <w:tr>
        <w:tc>
          <w:tcPr>
            <w:tcW w:type="dxa" w:w="7488"/>
            <w:vAlign w:val="top"/>
          </w:tcPr>
          <w:p>
            <w:pPr>
              <w:spacing w:after="0" w:line="240" w:lineRule="auto"/>
            </w:pPr>
            <w:r/>
            <w:r>
              <w:rPr>
                <w:rFonts w:ascii="Times New Roman" w:hAnsi="Times New Roman" w:eastAsia="Times New Roman"/>
                <w:b w:val="0"/>
                <w:sz w:val="16"/>
              </w:rPr>
              <w:t>Tax on first Rs. 200,000 at 10%</w:t>
            </w:r>
          </w:p>
        </w:tc>
        <w:tc>
          <w:tcPr>
            <w:tcW w:type="dxa" w:w="2592"/>
            <w:vAlign w:val="top"/>
          </w:tcPr>
          <w:p>
            <w:pPr>
              <w:spacing w:after="0" w:line="240" w:lineRule="auto"/>
            </w:pPr>
            <w:r/>
            <w:r>
              <w:rPr>
                <w:rFonts w:ascii="Times New Roman" w:hAnsi="Times New Roman" w:eastAsia="Times New Roman"/>
                <w:b w:val="0"/>
                <w:sz w:val="16"/>
              </w:rPr>
              <w:t>Rs. 20,000</w:t>
            </w:r>
          </w:p>
        </w:tc>
      </w:tr>
      <w:tr>
        <w:tc>
          <w:tcPr>
            <w:tcW w:type="dxa" w:w="7488"/>
            <w:vAlign w:val="top"/>
          </w:tcPr>
          <w:p>
            <w:pPr>
              <w:spacing w:after="0" w:line="240" w:lineRule="auto"/>
            </w:pPr>
            <w:r/>
            <w:r>
              <w:rPr>
                <w:rFonts w:ascii="Times New Roman" w:hAnsi="Times New Roman" w:eastAsia="Times New Roman"/>
                <w:b w:val="0"/>
                <w:sz w:val="16"/>
              </w:rPr>
              <w:t>Tax on next Rs. 300,000 at 20%</w:t>
            </w:r>
          </w:p>
        </w:tc>
        <w:tc>
          <w:tcPr>
            <w:tcW w:type="dxa" w:w="2592"/>
            <w:vAlign w:val="top"/>
          </w:tcPr>
          <w:p>
            <w:pPr>
              <w:spacing w:after="0" w:line="240" w:lineRule="auto"/>
            </w:pPr>
            <w:r/>
            <w:r>
              <w:rPr>
                <w:rFonts w:ascii="Times New Roman" w:hAnsi="Times New Roman" w:eastAsia="Times New Roman"/>
                <w:b w:val="0"/>
                <w:sz w:val="16"/>
              </w:rPr>
              <w:t>Rs. 60,000</w:t>
            </w:r>
          </w:p>
        </w:tc>
      </w:tr>
      <w:tr>
        <w:tc>
          <w:tcPr>
            <w:tcW w:type="dxa" w:w="7488"/>
            <w:vAlign w:val="top"/>
          </w:tcPr>
          <w:p>
            <w:pPr>
              <w:spacing w:after="0" w:line="240" w:lineRule="auto"/>
            </w:pPr>
            <w:r/>
            <w:r>
              <w:rPr>
                <w:rFonts w:ascii="Times New Roman" w:hAnsi="Times New Roman" w:eastAsia="Times New Roman"/>
                <w:b w:val="0"/>
                <w:sz w:val="16"/>
              </w:rPr>
              <w:t>Tax on remaining Rs. 900,000 at 30%</w:t>
            </w:r>
          </w:p>
        </w:tc>
        <w:tc>
          <w:tcPr>
            <w:tcW w:type="dxa" w:w="2592"/>
            <w:vAlign w:val="top"/>
          </w:tcPr>
          <w:p>
            <w:pPr>
              <w:spacing w:after="0" w:line="240" w:lineRule="auto"/>
            </w:pPr>
            <w:r/>
            <w:r>
              <w:rPr>
                <w:rFonts w:ascii="Times New Roman" w:hAnsi="Times New Roman" w:eastAsia="Times New Roman"/>
                <w:b w:val="0"/>
                <w:sz w:val="16"/>
              </w:rPr>
              <w:t>Rs. 270,000</w:t>
            </w:r>
          </w:p>
        </w:tc>
      </w:tr>
      <w:tr>
        <w:tc>
          <w:tcPr>
            <w:tcW w:type="dxa" w:w="7488"/>
            <w:vAlign w:val="top"/>
          </w:tcPr>
          <w:p>
            <w:pPr>
              <w:spacing w:after="0" w:line="240" w:lineRule="auto"/>
            </w:pPr>
            <w:r/>
            <w:r>
              <w:rPr>
                <w:rFonts w:ascii="Times New Roman" w:hAnsi="Times New Roman" w:eastAsia="Times New Roman"/>
                <w:b w:val="0"/>
                <w:sz w:val="16"/>
              </w:rPr>
              <w:t>Total tax payable</w:t>
            </w:r>
          </w:p>
        </w:tc>
        <w:tc>
          <w:tcPr>
            <w:tcW w:type="dxa" w:w="2592"/>
            <w:vAlign w:val="top"/>
          </w:tcPr>
          <w:p>
            <w:pPr>
              <w:spacing w:after="0" w:line="240" w:lineRule="auto"/>
            </w:pPr>
            <w:r/>
            <w:r>
              <w:rPr>
                <w:rFonts w:ascii="Times New Roman" w:hAnsi="Times New Roman" w:eastAsia="Times New Roman"/>
                <w:b w:val="0"/>
                <w:sz w:val="16"/>
              </w:rPr>
              <w:t>Rs. 350,000</w:t>
            </w:r>
          </w:p>
        </w:tc>
      </w:tr>
      <w:tr>
        <w:tc>
          <w:tcPr>
            <w:tcW w:type="dxa" w:w="7488"/>
            <w:vAlign w:val="top"/>
          </w:tcPr>
          <w:p>
            <w:pPr>
              <w:spacing w:after="0" w:line="240" w:lineRule="auto"/>
            </w:pPr>
            <w:r/>
            <w:r>
              <w:rPr>
                <w:rFonts w:ascii="Times New Roman" w:hAnsi="Times New Roman" w:eastAsia="Times New Roman"/>
                <w:b w:val="0"/>
                <w:sz w:val="16"/>
              </w:rPr>
              <w:t>Less: medical-treatment tax credit</w:t>
            </w:r>
          </w:p>
        </w:tc>
        <w:tc>
          <w:tcPr>
            <w:tcW w:type="dxa" w:w="2592"/>
            <w:vAlign w:val="top"/>
          </w:tcPr>
          <w:p>
            <w:pPr>
              <w:spacing w:after="0" w:line="240" w:lineRule="auto"/>
            </w:pPr>
            <w:r/>
            <w:r>
              <w:rPr>
                <w:rFonts w:ascii="Times New Roman" w:hAnsi="Times New Roman" w:eastAsia="Times New Roman"/>
                <w:b w:val="0"/>
                <w:sz w:val="16"/>
              </w:rPr>
              <w:t>Rs. 1,500</w:t>
            </w:r>
          </w:p>
        </w:tc>
      </w:tr>
      <w:tr>
        <w:tc>
          <w:tcPr>
            <w:tcW w:type="dxa" w:w="7488"/>
            <w:vAlign w:val="top"/>
          </w:tcPr>
          <w:p>
            <w:pPr>
              <w:spacing w:after="0" w:line="240" w:lineRule="auto"/>
            </w:pPr>
            <w:r/>
            <w:r>
              <w:rPr>
                <w:rFonts w:ascii="Times New Roman" w:hAnsi="Times New Roman" w:eastAsia="Times New Roman"/>
                <w:b w:val="0"/>
                <w:sz w:val="16"/>
              </w:rPr>
              <w:t>Less: instalment tax paid</w:t>
            </w:r>
          </w:p>
        </w:tc>
        <w:tc>
          <w:tcPr>
            <w:tcW w:type="dxa" w:w="2592"/>
            <w:vAlign w:val="top"/>
          </w:tcPr>
          <w:p>
            <w:pPr>
              <w:spacing w:after="0" w:line="240" w:lineRule="auto"/>
            </w:pPr>
            <w:r/>
            <w:r>
              <w:rPr>
                <w:rFonts w:ascii="Times New Roman" w:hAnsi="Times New Roman" w:eastAsia="Times New Roman"/>
                <w:b w:val="0"/>
                <w:sz w:val="16"/>
              </w:rPr>
              <w:t>Rs. 60,000</w:t>
            </w:r>
          </w:p>
        </w:tc>
      </w:tr>
      <w:tr>
        <w:tc>
          <w:tcPr>
            <w:tcW w:type="dxa" w:w="7488"/>
            <w:vAlign w:val="top"/>
          </w:tcPr>
          <w:p>
            <w:pPr>
              <w:spacing w:after="0" w:line="240" w:lineRule="auto"/>
            </w:pPr>
            <w:r/>
            <w:r>
              <w:rPr>
                <w:rFonts w:ascii="Times New Roman" w:hAnsi="Times New Roman" w:eastAsia="Times New Roman"/>
                <w:b w:val="0"/>
                <w:sz w:val="16"/>
              </w:rPr>
              <w:t>Less: advance tax withheld by Nepal Food Corporation on Rs. 5,000,000 sale</w:t>
            </w:r>
          </w:p>
        </w:tc>
        <w:tc>
          <w:tcPr>
            <w:tcW w:type="dxa" w:w="2592"/>
            <w:vAlign w:val="top"/>
          </w:tcPr>
          <w:p>
            <w:pPr>
              <w:spacing w:after="0" w:line="240" w:lineRule="auto"/>
            </w:pPr>
            <w:r/>
            <w:r>
              <w:rPr>
                <w:rFonts w:ascii="Times New Roman" w:hAnsi="Times New Roman" w:eastAsia="Times New Roman"/>
                <w:b w:val="0"/>
                <w:sz w:val="16"/>
              </w:rPr>
              <w:t>Rs. 75,000</w:t>
            </w:r>
          </w:p>
        </w:tc>
      </w:tr>
      <w:tr>
        <w:tc>
          <w:tcPr>
            <w:tcW w:type="dxa" w:w="7488"/>
            <w:vAlign w:val="top"/>
          </w:tcPr>
          <w:p>
            <w:pPr>
              <w:spacing w:after="0" w:line="240" w:lineRule="auto"/>
            </w:pPr>
            <w:r/>
            <w:r>
              <w:rPr>
                <w:rFonts w:ascii="Times New Roman" w:hAnsi="Times New Roman" w:eastAsia="Times New Roman"/>
                <w:b w:val="0"/>
                <w:sz w:val="16"/>
              </w:rPr>
              <w:t>Total credits</w:t>
            </w:r>
          </w:p>
        </w:tc>
        <w:tc>
          <w:tcPr>
            <w:tcW w:type="dxa" w:w="2592"/>
            <w:vAlign w:val="top"/>
          </w:tcPr>
          <w:p>
            <w:pPr>
              <w:spacing w:after="0" w:line="240" w:lineRule="auto"/>
            </w:pPr>
            <w:r/>
            <w:r>
              <w:rPr>
                <w:rFonts w:ascii="Times New Roman" w:hAnsi="Times New Roman" w:eastAsia="Times New Roman"/>
                <w:b w:val="0"/>
                <w:sz w:val="16"/>
              </w:rPr>
              <w:t>Rs. 136,500</w:t>
            </w:r>
          </w:p>
        </w:tc>
      </w:tr>
      <w:tr>
        <w:tc>
          <w:tcPr>
            <w:tcW w:type="dxa" w:w="7488"/>
            <w:vAlign w:val="top"/>
          </w:tcPr>
          <w:p>
            <w:pPr>
              <w:spacing w:after="0" w:line="240" w:lineRule="auto"/>
            </w:pPr>
            <w:r/>
            <w:r>
              <w:rPr>
                <w:rFonts w:ascii="Times New Roman" w:hAnsi="Times New Roman" w:eastAsia="Times New Roman"/>
                <w:b w:val="0"/>
                <w:sz w:val="16"/>
              </w:rPr>
              <w:t>Balance tax payable</w:t>
            </w:r>
          </w:p>
        </w:tc>
        <w:tc>
          <w:tcPr>
            <w:tcW w:type="dxa" w:w="2592"/>
            <w:vAlign w:val="top"/>
          </w:tcPr>
          <w:p>
            <w:pPr>
              <w:spacing w:after="0" w:line="240" w:lineRule="auto"/>
            </w:pPr>
            <w:r/>
            <w:r>
              <w:rPr>
                <w:rFonts w:ascii="Times New Roman" w:hAnsi="Times New Roman" w:eastAsia="Times New Roman"/>
                <w:b w:val="0"/>
                <w:sz w:val="16"/>
              </w:rPr>
              <w:t>Rs. 213,500</w:t>
            </w:r>
          </w:p>
        </w:tc>
      </w:tr>
    </w:tbl>
    <w:p/>
    <w:p>
      <w:pPr>
        <w:spacing w:after="80" w:line="252" w:lineRule="auto"/>
      </w:pPr>
      <w:r>
        <w:rPr>
          <w:rFonts w:ascii="Times New Roman" w:hAnsi="Times New Roman" w:eastAsia="Times New Roman"/>
          <w:b w:val="0"/>
          <w:i w:val="0"/>
          <w:sz w:val="21"/>
        </w:rPr>
        <w:t>Different filing period: where section 96(5) applies - for example bankruptcy, insolvency, debt, dissolution, leaving Nepal for an indefinite or permanent period, or ceasing a business or economic transaction in Nepal - the Department may give written notice before the normal due date requiring submission of a return for the income year or a part of it. If the person submits the return within the time stated in the notice, that filing is also treated as an assessment for the specified period. If the return covers the whole income year, another return for the same year need not be filed.</w:t>
      </w:r>
    </w:p>
    <w:p>
      <w:pPr>
        <w:pStyle w:val="Heading3"/>
        <w:spacing w:after="80" w:line="252" w:lineRule="auto"/>
      </w:pPr>
      <w:r>
        <w:rPr>
          <w:rFonts w:ascii="Times New Roman" w:hAnsi="Times New Roman" w:eastAsia="Times New Roman"/>
          <w:b w:val="0"/>
          <w:i w:val="0"/>
        </w:rPr>
        <w:t>26.2.3 Tax assessment of a person who does not submit an income return</w:t>
      </w:r>
    </w:p>
    <w:p>
      <w:pPr>
        <w:spacing w:after="80" w:line="252" w:lineRule="auto"/>
      </w:pPr>
      <w:r>
        <w:rPr>
          <w:rFonts w:ascii="Times New Roman" w:hAnsi="Times New Roman" w:eastAsia="Times New Roman"/>
          <w:b w:val="0"/>
          <w:i w:val="0"/>
          <w:sz w:val="21"/>
        </w:rPr>
        <w:t>The Act is based on self-assessment, because the person carrying on the transaction has the most accurate knowledge of the facts. However, where a person required to submit an income return does not submit it within the prescribed time, section 99(2) treats the person as having made an assessment on the due date until the return is filed. In such a case, the tax for the year is deemed to be equal to the sum of tax withheld from amounts received under Chapter 17 and instalments paid under Chapter 18; and no balance tax is treated as remaining to be paid under that deemed assessment.</w:t>
      </w:r>
    </w:p>
    <w:p>
      <w:pPr>
        <w:spacing w:after="80" w:line="252" w:lineRule="auto"/>
      </w:pPr>
      <w:r>
        <w:rPr>
          <w:rFonts w:ascii="Times New Roman" w:hAnsi="Times New Roman" w:eastAsia="Times New Roman"/>
          <w:b w:val="0"/>
          <w:i w:val="0"/>
          <w:sz w:val="21"/>
        </w:rPr>
        <w:t>If no instalment or advance tax was paid for that year, the deemed assessment is a zero assessment. The purpose of this provision is to make it possible for the tax officer to amend such deemed assessment under section 101. If the taxpayer later files the return after the due date, the deemed assessment becomes ineffective. However, if the Department or office has already made an amended assessment before the late return is filed, that amended assessment remains the taxpayer's assessment. A late return filed after an amended assessment may be treated as information for re-amending the amended assessment, if necessary.</w:t>
      </w:r>
    </w:p>
    <w:tbl>
      <w:tblPr>
        <w:tblStyle w:val="TableGrid"/>
        <w:tblW w:type="auto" w:w="0"/>
        <w:jc w:val="center"/>
        <w:tblLook w:firstColumn="1" w:firstRow="1" w:lastColumn="0" w:lastRow="0" w:noHBand="0" w:noVBand="1" w:val="04A0"/>
      </w:tblPr>
      <w:tblGrid>
        <w:gridCol w:w="3298"/>
        <w:gridCol w:w="3298"/>
        <w:gridCol w:w="3298"/>
      </w:tblGrid>
      <w:tr>
        <w:trPr>
          <w:tblHeader w:val="true"/>
        </w:trPr>
        <w:tc>
          <w:tcPr>
            <w:tcW w:type="dxa" w:w="1440"/>
            <w:vAlign w:val="top"/>
            <w:shd w:fill="D9EAF7"/>
          </w:tcPr>
          <w:p>
            <w:pPr>
              <w:spacing w:after="0" w:line="240" w:lineRule="auto"/>
            </w:pPr>
            <w:r/>
            <w:r>
              <w:rPr>
                <w:rFonts w:ascii="Times New Roman" w:hAnsi="Times New Roman" w:eastAsia="Times New Roman"/>
                <w:b/>
                <w:sz w:val="15"/>
              </w:rPr>
              <w:t>Example</w:t>
            </w:r>
          </w:p>
        </w:tc>
        <w:tc>
          <w:tcPr>
            <w:tcW w:type="dxa" w:w="6552"/>
            <w:vAlign w:val="top"/>
            <w:shd w:fill="D9EAF7"/>
          </w:tcPr>
          <w:p>
            <w:pPr>
              <w:spacing w:after="0" w:line="240" w:lineRule="auto"/>
            </w:pPr>
            <w:r/>
            <w:r>
              <w:rPr>
                <w:rFonts w:ascii="Times New Roman" w:hAnsi="Times New Roman" w:eastAsia="Times New Roman"/>
                <w:b/>
                <w:sz w:val="15"/>
              </w:rPr>
              <w:t>Facts</w:t>
            </w:r>
          </w:p>
        </w:tc>
        <w:tc>
          <w:tcPr>
            <w:tcW w:type="dxa" w:w="2520"/>
            <w:vAlign w:val="top"/>
            <w:shd w:fill="D9EAF7"/>
          </w:tcPr>
          <w:p>
            <w:pPr>
              <w:spacing w:after="0" w:line="240" w:lineRule="auto"/>
            </w:pPr>
            <w:r/>
            <w:r>
              <w:rPr>
                <w:rFonts w:ascii="Times New Roman" w:hAnsi="Times New Roman" w:eastAsia="Times New Roman"/>
                <w:b/>
                <w:sz w:val="15"/>
              </w:rPr>
              <w:t>Assessment result</w:t>
            </w:r>
          </w:p>
        </w:tc>
      </w:tr>
      <w:tr>
        <w:tc>
          <w:tcPr>
            <w:tcW w:type="dxa" w:w="1440"/>
            <w:vAlign w:val="top"/>
          </w:tcPr>
          <w:p>
            <w:pPr>
              <w:spacing w:after="0" w:line="240" w:lineRule="auto"/>
            </w:pPr>
            <w:r/>
            <w:r>
              <w:rPr>
                <w:rFonts w:ascii="Times New Roman" w:hAnsi="Times New Roman" w:eastAsia="Times New Roman"/>
                <w:b w:val="0"/>
                <w:sz w:val="15"/>
              </w:rPr>
              <w:t>26.2.2</w:t>
            </w:r>
          </w:p>
        </w:tc>
        <w:tc>
          <w:tcPr>
            <w:tcW w:type="dxa" w:w="6552"/>
            <w:vAlign w:val="top"/>
          </w:tcPr>
          <w:p>
            <w:pPr>
              <w:spacing w:after="0" w:line="240" w:lineRule="auto"/>
            </w:pPr>
            <w:r/>
            <w:r>
              <w:rPr>
                <w:rFonts w:ascii="Times New Roman" w:hAnsi="Times New Roman" w:eastAsia="Times New Roman"/>
                <w:b w:val="0"/>
                <w:sz w:val="15"/>
              </w:rPr>
              <w:t>Hari Mishra, a wholesale noodle agent, has turnover of Rs. 20,000,000 in FY 2080/81. He received a sales bonus of Rs. 200,000 from the manufacturer, on which Rs. 30,000 advance tax was withheld. He paid Rs. 100,000 instalment tax in Poush 2080. He did not file the return by Ashoj 2081 and did not obtain extension.</w:t>
            </w:r>
          </w:p>
        </w:tc>
        <w:tc>
          <w:tcPr>
            <w:tcW w:type="dxa" w:w="2520"/>
            <w:vAlign w:val="top"/>
          </w:tcPr>
          <w:p>
            <w:pPr>
              <w:spacing w:after="0" w:line="240" w:lineRule="auto"/>
            </w:pPr>
            <w:r/>
            <w:r>
              <w:rPr>
                <w:rFonts w:ascii="Times New Roman" w:hAnsi="Times New Roman" w:eastAsia="Times New Roman"/>
                <w:b w:val="0"/>
                <w:sz w:val="15"/>
              </w:rPr>
              <w:t>On the due date, he is deemed to have assessed tax equal to tax paid on his behalf: Rs. 100,000 instalment + Rs. 30,000 advance withholding = Rs. 130,000. Balance tax under the deemed assessment is nil.</w:t>
            </w:r>
          </w:p>
        </w:tc>
      </w:tr>
      <w:tr>
        <w:tc>
          <w:tcPr>
            <w:tcW w:type="dxa" w:w="1440"/>
            <w:vAlign w:val="top"/>
          </w:tcPr>
          <w:p>
            <w:pPr>
              <w:spacing w:after="0" w:line="240" w:lineRule="auto"/>
            </w:pPr>
            <w:r/>
            <w:r>
              <w:rPr>
                <w:rFonts w:ascii="Times New Roman" w:hAnsi="Times New Roman" w:eastAsia="Times New Roman"/>
                <w:b w:val="0"/>
                <w:sz w:val="15"/>
              </w:rPr>
              <w:t>26.2.3</w:t>
            </w:r>
          </w:p>
        </w:tc>
        <w:tc>
          <w:tcPr>
            <w:tcW w:type="dxa" w:w="6552"/>
            <w:vAlign w:val="top"/>
          </w:tcPr>
          <w:p>
            <w:pPr>
              <w:spacing w:after="0" w:line="240" w:lineRule="auto"/>
            </w:pPr>
            <w:r/>
            <w:r>
              <w:rPr>
                <w:rFonts w:ascii="Times New Roman" w:hAnsi="Times New Roman" w:eastAsia="Times New Roman"/>
                <w:b w:val="0"/>
                <w:sz w:val="15"/>
              </w:rPr>
              <w:t>The same facts, but Hari obtained extension up to the end of Mangsir 2081 and still did not file by that date.</w:t>
            </w:r>
          </w:p>
        </w:tc>
        <w:tc>
          <w:tcPr>
            <w:tcW w:type="dxa" w:w="2520"/>
            <w:vAlign w:val="top"/>
          </w:tcPr>
          <w:p>
            <w:pPr>
              <w:spacing w:after="0" w:line="240" w:lineRule="auto"/>
            </w:pPr>
            <w:r/>
            <w:r>
              <w:rPr>
                <w:rFonts w:ascii="Times New Roman" w:hAnsi="Times New Roman" w:eastAsia="Times New Roman"/>
                <w:b w:val="0"/>
                <w:sz w:val="15"/>
              </w:rPr>
              <w:t>Until the return is filed or the Department makes an amended assessment, the same Rs. 130,000 deemed assessment is treated as having arisen on the normal due date, Ashoj end 2081.</w:t>
            </w:r>
          </w:p>
        </w:tc>
      </w:tr>
      <w:tr>
        <w:tc>
          <w:tcPr>
            <w:tcW w:type="dxa" w:w="1440"/>
            <w:vAlign w:val="top"/>
          </w:tcPr>
          <w:p>
            <w:pPr>
              <w:spacing w:after="0" w:line="240" w:lineRule="auto"/>
            </w:pPr>
            <w:r/>
            <w:r>
              <w:rPr>
                <w:rFonts w:ascii="Times New Roman" w:hAnsi="Times New Roman" w:eastAsia="Times New Roman"/>
                <w:b w:val="0"/>
                <w:sz w:val="15"/>
              </w:rPr>
              <w:t>26.2.4</w:t>
            </w:r>
          </w:p>
        </w:tc>
        <w:tc>
          <w:tcPr>
            <w:tcW w:type="dxa" w:w="6552"/>
            <w:vAlign w:val="top"/>
          </w:tcPr>
          <w:p>
            <w:pPr>
              <w:spacing w:after="0" w:line="240" w:lineRule="auto"/>
            </w:pPr>
            <w:r/>
            <w:r>
              <w:rPr>
                <w:rFonts w:ascii="Times New Roman" w:hAnsi="Times New Roman" w:eastAsia="Times New Roman"/>
                <w:b w:val="0"/>
                <w:sz w:val="15"/>
              </w:rPr>
              <w:t>The same taxpayer had neither sales bonus/withholding nor instalment tax paid for FY 2080/81 and did not file by the due date.</w:t>
            </w:r>
          </w:p>
        </w:tc>
        <w:tc>
          <w:tcPr>
            <w:tcW w:type="dxa" w:w="2520"/>
            <w:vAlign w:val="top"/>
          </w:tcPr>
          <w:p>
            <w:pPr>
              <w:spacing w:after="0" w:line="240" w:lineRule="auto"/>
            </w:pPr>
            <w:r/>
            <w:r>
              <w:rPr>
                <w:rFonts w:ascii="Times New Roman" w:hAnsi="Times New Roman" w:eastAsia="Times New Roman"/>
                <w:b w:val="0"/>
                <w:sz w:val="15"/>
              </w:rPr>
              <w:t>A zero assessment is deemed to have been made, and no balance tax is treated as payable under that deemed assessment.</w:t>
            </w:r>
          </w:p>
        </w:tc>
      </w:tr>
    </w:tbl>
    <w:p/>
    <w:p>
      <w:pPr>
        <w:spacing w:after="80" w:line="252" w:lineRule="auto"/>
      </w:pPr>
      <w:r>
        <w:rPr>
          <w:rFonts w:ascii="Times New Roman" w:hAnsi="Times New Roman" w:eastAsia="Times New Roman"/>
          <w:b w:val="0"/>
          <w:i w:val="0"/>
          <w:sz w:val="21"/>
        </w:rPr>
        <w:t>The above deemed-assessment rule does not apply where a person covered by section 96(5) has been ordered by notice to submit a return for a specified income year or period before the normal due date and fails to do so. In that case, the office must make a jeopardy assessment under section 100 for the tax payable for the period specified in the notice.</w:t>
      </w:r>
    </w:p>
    <w:p>
      <w:pPr>
        <w:pStyle w:val="Heading2"/>
        <w:spacing w:after="80" w:line="252" w:lineRule="auto"/>
      </w:pPr>
      <w:r>
        <w:rPr>
          <w:rFonts w:ascii="Times New Roman" w:hAnsi="Times New Roman" w:eastAsia="Times New Roman"/>
          <w:b w:val="0"/>
          <w:i w:val="0"/>
        </w:rPr>
        <w:t>26.3 Jeopardy Assessment</w:t>
      </w:r>
    </w:p>
    <w:p>
      <w:pPr>
        <w:spacing w:after="80" w:line="252" w:lineRule="auto"/>
      </w:pPr>
      <w:r>
        <w:rPr>
          <w:rFonts w:ascii="Times New Roman" w:hAnsi="Times New Roman" w:eastAsia="Times New Roman"/>
          <w:b w:val="0"/>
          <w:i w:val="0"/>
          <w:sz w:val="21"/>
        </w:rPr>
        <w:t>A jeopardy assessment is an assessment made by the Department to determine tax payable where a person has not made a self-assessment, and where tax may otherwise be at risk because the person is bankrupt, insolvent, indebted, dissolved, leaving Nepal indefinitely or permanently, or ceasing a business or economic activity in Nepal, or where the Department otherwise considers it appropriate. Under section 100(1), if a return for an income year or part of an income year is required under section 96(5), the assessment is made under section 99. Under section 100(2), notwithstanding that rule, in the circumstances of section 96(5), the Department may reasonably assess the tax of that person for the whole income year or part of the year on the basis of the amounts referred to in section 96(2)(a)(1), (2) and (3).</w:t>
      </w:r>
    </w:p>
    <w:p>
      <w:pPr>
        <w:spacing w:after="80" w:line="252" w:lineRule="auto"/>
      </w:pPr>
      <w:r>
        <w:rPr>
          <w:rFonts w:ascii="Times New Roman" w:hAnsi="Times New Roman" w:eastAsia="Times New Roman"/>
          <w:b w:val="0"/>
          <w:i w:val="0"/>
          <w:sz w:val="21"/>
        </w:rPr>
        <w:t>A jeopardy assessment can be made before the normal self-assessment period for the relevant income year has expired. After that period has expired, a jeopardy assessment cannot be made, although an amended assessment may still be made. Where a full income year is assessed under section 100, the person need not file a return for that year. Where only a part of an income year is assessed, the person must file the annual return for the full year, and tax paid under the partial assessment may be credited in the full-year assessment. The Department must give seven days to submit evidence or explanation before making an assessment under section 100.</w:t>
      </w:r>
    </w:p>
    <w:p>
      <w:pPr>
        <w:spacing w:after="80" w:line="252" w:lineRule="auto"/>
      </w:pPr>
      <w:r>
        <w:rPr>
          <w:rFonts w:ascii="Times New Roman" w:hAnsi="Times New Roman" w:eastAsia="Times New Roman"/>
          <w:b w:val="0"/>
          <w:i w:val="0"/>
          <w:sz w:val="21"/>
        </w:rPr>
        <w:t>Example 26.3.1: Information came to the Department on 2081/03/01 that Kamleshwari had prepared documents showing sale of land worth Rs. 30,000,000 for only Rs. 10,000,000 on 2081/02/01, and had not paid advance capital gain tax even on Rs. 10,000,000 at registration. The Department also learned that she was leaving Nepal. In that situation, the Department may: require her to file a return under section 100(1) and then amend that return under section 101; make a jeopardy assessment under section 100(2), after giving seven days to submit evidence; or determine estimated income under section 95(7) for a person who did not file an estimated income return and demand the instalment amount.</w:t>
      </w:r>
    </w:p>
    <w:p>
      <w:pPr>
        <w:pStyle w:val="Heading2"/>
        <w:spacing w:after="80" w:line="252" w:lineRule="auto"/>
      </w:pPr>
      <w:r>
        <w:rPr>
          <w:rFonts w:ascii="Times New Roman" w:hAnsi="Times New Roman" w:eastAsia="Times New Roman"/>
          <w:b w:val="0"/>
          <w:i w:val="0"/>
        </w:rPr>
        <w:t>26.4 Amended Tax Assessment</w:t>
      </w:r>
    </w:p>
    <w:p>
      <w:pPr>
        <w:spacing w:after="80" w:line="252" w:lineRule="auto"/>
      </w:pPr>
      <w:r>
        <w:rPr>
          <w:rFonts w:ascii="Times New Roman" w:hAnsi="Times New Roman" w:eastAsia="Times New Roman"/>
          <w:b w:val="0"/>
          <w:i w:val="0"/>
          <w:sz w:val="21"/>
        </w:rPr>
        <w:t>Under section 101(1), the Department may make an amended assessment in order to adjust the tax liability of a person assessed under section 99 or section 100 on a fair basis according to the purpose of the Act. This applies to assessments made or deemed to have been made under section 99 and to jeopardy assessments made under section 100. An amended assessment should be made only to determine the correct tax liability. A tax officer cannot make an amended assessment without evidence or grounds showing that the existing assessment is unsatisfactory or that tax was under-assessed.</w:t>
      </w:r>
    </w:p>
    <w:p>
      <w:pPr>
        <w:spacing w:after="80" w:line="252" w:lineRule="auto"/>
      </w:pPr>
      <w:r>
        <w:rPr>
          <w:rFonts w:ascii="Times New Roman" w:hAnsi="Times New Roman" w:eastAsia="Times New Roman"/>
          <w:b w:val="0"/>
          <w:i w:val="0"/>
          <w:sz w:val="21"/>
        </w:rPr>
        <w:t>Generally, an assessment is erroneous and tax is under-assessed where income that should have been included was not included, a non-deductible expense was deducted, an expense was deducted in excess of the allowable amount, tax, fees or interest were incorrectly computed, or a tax credit not allowable was claimed. Where audit or other information shows one or more of these circumstances, the tax liability should be amended. This principle applies whether the person filed a return, did not file a return, or was subject to jeopardy assessment.</w:t>
      </w:r>
    </w:p>
    <w:p>
      <w:pPr>
        <w:pStyle w:val="Heading3"/>
        <w:spacing w:after="80" w:line="252" w:lineRule="auto"/>
      </w:pPr>
      <w:r>
        <w:rPr>
          <w:rFonts w:ascii="Times New Roman" w:hAnsi="Times New Roman" w:eastAsia="Times New Roman"/>
          <w:b w:val="0"/>
          <w:i w:val="0"/>
        </w:rPr>
        <w:t>26.4.1 Re-amendment of an amended assessment</w:t>
      </w:r>
    </w:p>
    <w:p>
      <w:pPr>
        <w:spacing w:after="80" w:line="252" w:lineRule="auto"/>
      </w:pPr>
      <w:r>
        <w:rPr>
          <w:rFonts w:ascii="Times New Roman" w:hAnsi="Times New Roman" w:eastAsia="Times New Roman"/>
          <w:b w:val="0"/>
          <w:i w:val="0"/>
          <w:sz w:val="21"/>
        </w:rPr>
        <w:t>Under section 101(2), if the Department considers it appropriate, it may amend an amended assessment any number of times on a fair basis. This power is used only to determine the correct tax liability, for example where an amended assessment contains an error because of absence or insufficiency of information or evidence at the time of the earlier amendment. The officer making the re-amendment must have evidence or grounds showing that the previously amended tax liability needs correction.</w:t>
      </w:r>
    </w:p>
    <w:p>
      <w:pPr>
        <w:spacing w:after="80" w:line="252" w:lineRule="auto"/>
      </w:pPr>
      <w:r>
        <w:rPr>
          <w:rFonts w:ascii="Times New Roman" w:hAnsi="Times New Roman" w:eastAsia="Times New Roman"/>
          <w:b w:val="0"/>
          <w:i w:val="0"/>
          <w:sz w:val="21"/>
        </w:rPr>
        <w:t>Section 101(5) prevents the Department from amending an assessment to the extent that the Revenue Tribunal or another competent court has amended the assessment or reduced the assessed tax. However, this does not prevent amendment where the order requires reinvestigation. If the order specifically states what must be amended, the amendment must be made only to that extent. If the order is only for further inquiry, the matter must be reinvestigated and re-amended on the basis of facts obtained.</w:t>
      </w:r>
    </w:p>
    <w:p>
      <w:pPr>
        <w:pStyle w:val="Heading2"/>
        <w:spacing w:after="80" w:line="252" w:lineRule="auto"/>
      </w:pPr>
      <w:r>
        <w:rPr>
          <w:rFonts w:ascii="Times New Roman" w:hAnsi="Times New Roman" w:eastAsia="Times New Roman"/>
          <w:b w:val="0"/>
          <w:i w:val="0"/>
        </w:rPr>
        <w:t>26.5 Notice of Tax Assessment</w:t>
      </w:r>
    </w:p>
    <w:p>
      <w:pPr>
        <w:pStyle w:val="Heading3"/>
        <w:spacing w:after="80" w:line="252" w:lineRule="auto"/>
      </w:pPr>
      <w:r>
        <w:rPr>
          <w:rFonts w:ascii="Times New Roman" w:hAnsi="Times New Roman" w:eastAsia="Times New Roman"/>
          <w:b w:val="0"/>
          <w:i w:val="0"/>
        </w:rPr>
        <w:t>26.5.1 Notice to be given before assessment</w:t>
      </w:r>
    </w:p>
    <w:p>
      <w:pPr>
        <w:spacing w:after="80" w:line="252" w:lineRule="auto"/>
      </w:pPr>
      <w:r>
        <w:rPr>
          <w:rFonts w:ascii="Times New Roman" w:hAnsi="Times New Roman" w:eastAsia="Times New Roman"/>
          <w:b w:val="0"/>
          <w:i w:val="0"/>
          <w:sz w:val="21"/>
        </w:rPr>
        <w:t>Before amending any assessment, including a jeopardy assessment, the Department must give written notice to the person, clearly stating the grounds for the proposed amendment and giving time to submit evidence in defence. For amended assessment under section 101, the period is fifteen days. For jeopardy assessment, the period is seven days. The notice should clearly state the basis and reasons for changing the existing tax liability, the taxable income to be determined by the amendment, the total tax, fees and interest payable, and the balance tax payable. The period is counted from the date on which the person receives the notice.</w:t>
      </w:r>
    </w:p>
    <w:p>
      <w:pPr>
        <w:pStyle w:val="Heading3"/>
        <w:spacing w:after="80" w:line="252" w:lineRule="auto"/>
      </w:pPr>
      <w:r>
        <w:rPr>
          <w:rFonts w:ascii="Times New Roman" w:hAnsi="Times New Roman" w:eastAsia="Times New Roman"/>
          <w:b w:val="0"/>
          <w:i w:val="0"/>
        </w:rPr>
        <w:t>26.5.2 Notice of assessment</w:t>
      </w:r>
    </w:p>
    <w:p>
      <w:pPr>
        <w:spacing w:after="80" w:line="252" w:lineRule="auto"/>
      </w:pPr>
      <w:r>
        <w:rPr>
          <w:rFonts w:ascii="Times New Roman" w:hAnsi="Times New Roman" w:eastAsia="Times New Roman"/>
          <w:b w:val="0"/>
          <w:i w:val="0"/>
          <w:sz w:val="21"/>
        </w:rPr>
        <w:t>Where the Department makes a jeopardy assessment, amends an assessment or re-amends an amended assessment, it must inform the person in writing. Section 102 requires the notice of assessment to state the following:</w:t>
      </w:r>
    </w:p>
    <w:p>
      <w:pPr>
        <w:pStyle w:val="ListBullet"/>
        <w:spacing w:after="80" w:line="252" w:lineRule="auto"/>
      </w:pPr>
      <w:r>
        <w:rPr>
          <w:rFonts w:ascii="Times New Roman" w:hAnsi="Times New Roman" w:eastAsia="Times New Roman"/>
          <w:b w:val="0"/>
          <w:i w:val="0"/>
        </w:rPr>
        <w:t>the assessed tax required to be deposited and remaining to be deposited for the income year or period concerned;</w:t>
      </w:r>
    </w:p>
    <w:p>
      <w:pPr>
        <w:pStyle w:val="ListBullet"/>
        <w:spacing w:after="80" w:line="252" w:lineRule="auto"/>
      </w:pPr>
      <w:r>
        <w:rPr>
          <w:rFonts w:ascii="Times New Roman" w:hAnsi="Times New Roman" w:eastAsia="Times New Roman"/>
          <w:b w:val="0"/>
          <w:i w:val="0"/>
        </w:rPr>
        <w:t>the manner in which the tax was computed;</w:t>
      </w:r>
    </w:p>
    <w:p>
      <w:pPr>
        <w:pStyle w:val="ListBullet"/>
        <w:spacing w:after="80" w:line="252" w:lineRule="auto"/>
      </w:pPr>
      <w:r>
        <w:rPr>
          <w:rFonts w:ascii="Times New Roman" w:hAnsi="Times New Roman" w:eastAsia="Times New Roman"/>
          <w:b w:val="0"/>
          <w:i w:val="0"/>
        </w:rPr>
        <w:t>the reason why the Department made the assessment;</w:t>
      </w:r>
    </w:p>
    <w:p>
      <w:pPr>
        <w:pStyle w:val="ListBullet"/>
        <w:spacing w:after="80" w:line="252" w:lineRule="auto"/>
      </w:pPr>
      <w:r>
        <w:rPr>
          <w:rFonts w:ascii="Times New Roman" w:hAnsi="Times New Roman" w:eastAsia="Times New Roman"/>
          <w:b w:val="0"/>
          <w:i w:val="0"/>
        </w:rPr>
        <w:t>the time within which the balance assessed tax must be deposited; and</w:t>
      </w:r>
    </w:p>
    <w:p>
      <w:pPr>
        <w:pStyle w:val="ListBullet"/>
        <w:spacing w:after="80" w:line="252" w:lineRule="auto"/>
      </w:pPr>
      <w:r>
        <w:rPr>
          <w:rFonts w:ascii="Times New Roman" w:hAnsi="Times New Roman" w:eastAsia="Times New Roman"/>
          <w:b w:val="0"/>
          <w:i w:val="0"/>
        </w:rPr>
        <w:t>the time, place and manner of filing an objection or appeal if the person is dissatisfied with the assessment.</w:t>
      </w:r>
    </w:p>
    <w:p>
      <w:pPr>
        <w:spacing w:after="80" w:line="252" w:lineRule="auto"/>
      </w:pPr>
      <w:r>
        <w:rPr>
          <w:rFonts w:ascii="Times New Roman" w:hAnsi="Times New Roman" w:eastAsia="Times New Roman"/>
          <w:b w:val="0"/>
          <w:i w:val="0"/>
          <w:sz w:val="21"/>
        </w:rPr>
        <w:t>Until the person assessed receives the notice of assessment, the assessment does not obtain legal validity and the person is not bound to pay the tax liability created by the assessment.</w:t>
      </w:r>
    </w:p>
    <w:p>
      <w:pPr>
        <w:pStyle w:val="Heading2"/>
        <w:spacing w:after="80" w:line="252" w:lineRule="auto"/>
      </w:pPr>
      <w:r>
        <w:rPr>
          <w:rFonts w:ascii="Times New Roman" w:hAnsi="Times New Roman" w:eastAsia="Times New Roman"/>
          <w:b w:val="0"/>
          <w:i w:val="0"/>
        </w:rPr>
        <w:t>26.6 Time limit for amendment or re-amendment of assessment</w:t>
      </w:r>
    </w:p>
    <w:p>
      <w:pPr>
        <w:spacing w:after="80" w:line="252" w:lineRule="auto"/>
      </w:pPr>
      <w:r>
        <w:rPr>
          <w:rFonts w:ascii="Times New Roman" w:hAnsi="Times New Roman" w:eastAsia="Times New Roman"/>
          <w:b w:val="0"/>
          <w:i w:val="0"/>
          <w:sz w:val="21"/>
        </w:rPr>
        <w:t>Under section 101(3), an amended assessment or re-amendment must generally be completed within four years from the relevant date: in the case of an assessment under section 99, from the date on which the income return was required to be filed; in the case of a jeopardy assessment under section 100(2), from the date on which notice of assessment under section 102 was given; and in the case of re-amending an assessment already amended, from the relevant date of the earlier assessment being amended. Section 101(4) provides a special rule for fraud: if tax was assessed incorrectly because of fraud, the Department may amend the assessment at any time, but the amendment must be completed within one year from the date on which the information about the fraud is obtained.</w:t>
      </w:r>
    </w:p>
    <w:p>
      <w:pPr>
        <w:spacing w:after="80" w:line="252" w:lineRule="auto"/>
      </w:pPr>
      <w:r>
        <w:rPr>
          <w:rFonts w:ascii="Times New Roman" w:hAnsi="Times New Roman" w:eastAsia="Times New Roman"/>
          <w:b w:val="0"/>
          <w:i w:val="0"/>
          <w:sz w:val="21"/>
        </w:rPr>
        <w:t>The Act gives adequate power to amend and re-amend assessments, but it does not allow the Department or office to keep a person's assessment open indefinitely in ordinary cases. Within the four-year period, an amended assessment may be re-amended as many times as necessary. In fraud cases, the four-year limit does not apply, but the one-year period from receipt of fraud information applies.</w:t>
      </w:r>
    </w:p>
    <w:p>
      <w:pPr>
        <w:pStyle w:val="Heading3"/>
        <w:spacing w:after="80" w:line="252" w:lineRule="auto"/>
      </w:pPr>
      <w:r>
        <w:rPr>
          <w:rFonts w:ascii="Times New Roman" w:hAnsi="Times New Roman" w:eastAsia="Times New Roman"/>
          <w:b w:val="0"/>
          <w:i w:val="0"/>
        </w:rPr>
        <w:t>26.6.1 Amended or re-amended assessment where return was filed or not filed</w:t>
      </w:r>
    </w:p>
    <w:p>
      <w:pPr>
        <w:spacing w:after="80" w:line="252" w:lineRule="auto"/>
      </w:pPr>
      <w:r>
        <w:rPr>
          <w:rFonts w:ascii="Times New Roman" w:hAnsi="Times New Roman" w:eastAsia="Times New Roman"/>
          <w:b w:val="0"/>
          <w:i w:val="0"/>
          <w:sz w:val="21"/>
        </w:rPr>
        <w:t>For a person who filed an income return under section 96 and made an assessment under section 99(1), or who did not file and was deemed to have been assessed under section 99(2), the Department must complete the amended or re-amended assessment within four years from the date on which the return for that income year was required to be filed. If extension was obtained, the extended filing period is not counted for this four-year time limit; the normal due date remains the reference date.</w:t>
      </w:r>
    </w:p>
    <w:tbl>
      <w:tblPr>
        <w:tblStyle w:val="TableGrid"/>
        <w:tblW w:type="auto" w:w="0"/>
        <w:jc w:val="center"/>
        <w:tblLook w:firstColumn="1" w:firstRow="1" w:lastColumn="0" w:lastRow="0" w:noHBand="0" w:noVBand="1" w:val="04A0"/>
      </w:tblPr>
      <w:tblGrid>
        <w:gridCol w:w="3298"/>
        <w:gridCol w:w="3298"/>
        <w:gridCol w:w="3298"/>
      </w:tblGrid>
      <w:tr>
        <w:trPr>
          <w:tblHeader w:val="true"/>
        </w:trPr>
        <w:tc>
          <w:tcPr>
            <w:tcW w:type="dxa" w:w="1440"/>
            <w:vAlign w:val="top"/>
            <w:shd w:fill="D9EAF7"/>
          </w:tcPr>
          <w:p>
            <w:pPr>
              <w:spacing w:after="0" w:line="240" w:lineRule="auto"/>
            </w:pPr>
            <w:r/>
            <w:r>
              <w:rPr>
                <w:rFonts w:ascii="Times New Roman" w:hAnsi="Times New Roman" w:eastAsia="Times New Roman"/>
                <w:b/>
                <w:sz w:val="15"/>
              </w:rPr>
              <w:t>Example</w:t>
            </w:r>
          </w:p>
        </w:tc>
        <w:tc>
          <w:tcPr>
            <w:tcW w:type="dxa" w:w="6840"/>
            <w:vAlign w:val="top"/>
            <w:shd w:fill="D9EAF7"/>
          </w:tcPr>
          <w:p>
            <w:pPr>
              <w:spacing w:after="0" w:line="240" w:lineRule="auto"/>
            </w:pPr>
            <w:r/>
            <w:r>
              <w:rPr>
                <w:rFonts w:ascii="Times New Roman" w:hAnsi="Times New Roman" w:eastAsia="Times New Roman"/>
                <w:b/>
                <w:sz w:val="15"/>
              </w:rPr>
              <w:t>Facts</w:t>
            </w:r>
          </w:p>
        </w:tc>
        <w:tc>
          <w:tcPr>
            <w:tcW w:type="dxa" w:w="2232"/>
            <w:vAlign w:val="top"/>
            <w:shd w:fill="D9EAF7"/>
          </w:tcPr>
          <w:p>
            <w:pPr>
              <w:spacing w:after="0" w:line="240" w:lineRule="auto"/>
            </w:pPr>
            <w:r/>
            <w:r>
              <w:rPr>
                <w:rFonts w:ascii="Times New Roman" w:hAnsi="Times New Roman" w:eastAsia="Times New Roman"/>
                <w:b/>
                <w:sz w:val="15"/>
              </w:rPr>
              <w:t>Last date for amendment</w:t>
            </w:r>
          </w:p>
        </w:tc>
      </w:tr>
      <w:tr>
        <w:tc>
          <w:tcPr>
            <w:tcW w:type="dxa" w:w="1440"/>
            <w:vAlign w:val="top"/>
          </w:tcPr>
          <w:p>
            <w:pPr>
              <w:spacing w:after="0" w:line="240" w:lineRule="auto"/>
            </w:pPr>
            <w:r/>
            <w:r>
              <w:rPr>
                <w:rFonts w:ascii="Times New Roman" w:hAnsi="Times New Roman" w:eastAsia="Times New Roman"/>
                <w:b w:val="0"/>
                <w:sz w:val="15"/>
              </w:rPr>
              <w:t>26.6.1</w:t>
            </w:r>
          </w:p>
        </w:tc>
        <w:tc>
          <w:tcPr>
            <w:tcW w:type="dxa" w:w="6840"/>
            <w:vAlign w:val="top"/>
          </w:tcPr>
          <w:p>
            <w:pPr>
              <w:spacing w:after="0" w:line="240" w:lineRule="auto"/>
            </w:pPr>
            <w:r/>
            <w:r>
              <w:rPr>
                <w:rFonts w:ascii="Times New Roman" w:hAnsi="Times New Roman" w:eastAsia="Times New Roman"/>
                <w:b w:val="0"/>
                <w:sz w:val="15"/>
              </w:rPr>
              <w:t>For FY 2080/81, Hari Prasad filed by Ashoj 2081; Dinesh Kumar obtained extension up to 30 Mangsir 2081 and filed then; Govinda Prasad filed on 20 Poush 2081 without extension; Hemanta Kumar filed on 2 Chaitra 2081 despite extension only up to Poush end; and Manoj Kumar did not file at all.</w:t>
            </w:r>
          </w:p>
        </w:tc>
        <w:tc>
          <w:tcPr>
            <w:tcW w:type="dxa" w:w="2232"/>
            <w:vAlign w:val="top"/>
          </w:tcPr>
          <w:p>
            <w:pPr>
              <w:spacing w:after="0" w:line="240" w:lineRule="auto"/>
            </w:pPr>
            <w:r/>
            <w:r>
              <w:rPr>
                <w:rFonts w:ascii="Times New Roman" w:hAnsi="Times New Roman" w:eastAsia="Times New Roman"/>
                <w:b w:val="0"/>
                <w:sz w:val="15"/>
              </w:rPr>
              <w:t>For all of them, the return was required to be filed by the end of Ashoj 2081. Therefore, amended or re-amended assessment must be completed by the end of Ashoj 2085.</w:t>
            </w:r>
          </w:p>
        </w:tc>
      </w:tr>
      <w:tr>
        <w:tc>
          <w:tcPr>
            <w:tcW w:type="dxa" w:w="1440"/>
            <w:vAlign w:val="top"/>
          </w:tcPr>
          <w:p>
            <w:pPr>
              <w:spacing w:after="0" w:line="240" w:lineRule="auto"/>
            </w:pPr>
            <w:r/>
            <w:r>
              <w:rPr>
                <w:rFonts w:ascii="Times New Roman" w:hAnsi="Times New Roman" w:eastAsia="Times New Roman"/>
                <w:b w:val="0"/>
                <w:sz w:val="15"/>
              </w:rPr>
              <w:t>26.6.2</w:t>
            </w:r>
          </w:p>
        </w:tc>
        <w:tc>
          <w:tcPr>
            <w:tcW w:type="dxa" w:w="6840"/>
            <w:vAlign w:val="top"/>
          </w:tcPr>
          <w:p>
            <w:pPr>
              <w:spacing w:after="0" w:line="240" w:lineRule="auto"/>
            </w:pPr>
            <w:r/>
            <w:r>
              <w:rPr>
                <w:rFonts w:ascii="Times New Roman" w:hAnsi="Times New Roman" w:eastAsia="Times New Roman"/>
                <w:b w:val="0"/>
                <w:sz w:val="15"/>
              </w:rPr>
              <w:t>Neptune International Pvt. Ltd. had 50% ownership change on 2080/11/10 but did not separately file the pre-change return under section 57 and filed one consolidated FY 2080/81 return on 2081/05/05.</w:t>
            </w:r>
          </w:p>
        </w:tc>
        <w:tc>
          <w:tcPr>
            <w:tcW w:type="dxa" w:w="2232"/>
            <w:vAlign w:val="top"/>
          </w:tcPr>
          <w:p>
            <w:pPr>
              <w:spacing w:after="0" w:line="240" w:lineRule="auto"/>
            </w:pPr>
            <w:r/>
            <w:r>
              <w:rPr>
                <w:rFonts w:ascii="Times New Roman" w:hAnsi="Times New Roman" w:eastAsia="Times New Roman"/>
                <w:b w:val="0"/>
                <w:sz w:val="15"/>
              </w:rPr>
              <w:t>For the pre-change period 2080/04/01 to 2080/11/10, the return was due by 2081/02/10 and amendment must be completed by 2085/02/10. For the post-change period 2080/11/11 to Ashadh end 2081, amendment must be completed by the end of Ashoj 2085.</w:t>
            </w:r>
          </w:p>
        </w:tc>
      </w:tr>
    </w:tbl>
    <w:p/>
    <w:p>
      <w:pPr>
        <w:pStyle w:val="Heading3"/>
        <w:spacing w:after="80" w:line="252" w:lineRule="auto"/>
      </w:pPr>
      <w:r>
        <w:rPr>
          <w:rFonts w:ascii="Times New Roman" w:hAnsi="Times New Roman" w:eastAsia="Times New Roman"/>
          <w:b w:val="0"/>
          <w:i w:val="0"/>
        </w:rPr>
        <w:t>26.6.2 Amended or re-amended assessment of a person subject to jeopardy assessment</w:t>
      </w:r>
    </w:p>
    <w:p>
      <w:pPr>
        <w:spacing w:after="80" w:line="252" w:lineRule="auto"/>
      </w:pPr>
      <w:r>
        <w:rPr>
          <w:rFonts w:ascii="Times New Roman" w:hAnsi="Times New Roman" w:eastAsia="Times New Roman"/>
          <w:b w:val="0"/>
          <w:i w:val="0"/>
          <w:sz w:val="21"/>
        </w:rPr>
        <w:t>The Department may also amend or re-amend a jeopardy assessment made under section 100(2). For this purpose, the amendment or re-amendment must be completed within four years from the date on which the notice of jeopardy assessment is given under section 102.</w:t>
      </w:r>
    </w:p>
    <w:p>
      <w:pPr>
        <w:spacing w:after="80" w:line="252" w:lineRule="auto"/>
      </w:pPr>
      <w:r>
        <w:rPr>
          <w:rFonts w:ascii="Times New Roman" w:hAnsi="Times New Roman" w:eastAsia="Times New Roman"/>
          <w:b w:val="0"/>
          <w:i w:val="0"/>
          <w:sz w:val="21"/>
        </w:rPr>
        <w:t>Example 26.6.3: Mick Jackson, a British citizen, has operated a business in Nepal for ten years. Due to domestic reasons, he closed the business in Poush 2080 to return to the United Kingdom. After receiving this information, the Department issued notice on 2080/10/02 requiring him to file the return for Shrawan to Poush 2080 by the end of Magh 2080. He ignored the notice. On the basis of available evidence, the office made a jeopardy assessment on 2080/11/15 determining tax liability of Rs. 1,000,000 for the period from Shrawan to Poush of FY 2080/81, and served the section 102 notice on 2080/11/20. Any amendment or re-amendment of that jeopardy assessment must be completed within four years from 2080/11/20, i.e. by 2084/11/20.</w:t>
      </w:r>
    </w:p>
    <w:p>
      <w:pPr>
        <w:pStyle w:val="Heading3"/>
        <w:spacing w:after="80" w:line="252" w:lineRule="auto"/>
      </w:pPr>
      <w:r>
        <w:rPr>
          <w:rFonts w:ascii="Times New Roman" w:hAnsi="Times New Roman" w:eastAsia="Times New Roman"/>
          <w:b w:val="0"/>
          <w:i w:val="0"/>
        </w:rPr>
        <w:t>26.6.3 Amended or re-amended assessment where assessment was made by fraud</w:t>
      </w:r>
    </w:p>
    <w:p>
      <w:pPr>
        <w:spacing w:after="80" w:line="252" w:lineRule="auto"/>
      </w:pPr>
      <w:r>
        <w:rPr>
          <w:rFonts w:ascii="Times New Roman" w:hAnsi="Times New Roman" w:eastAsia="Times New Roman"/>
          <w:b w:val="0"/>
          <w:i w:val="0"/>
          <w:sz w:val="21"/>
        </w:rPr>
        <w:t>Where a person makes an assessment by fraud, the four-year limit does not apply. The tax officer may make an amended assessment whenever information about the fraud is obtained, but the amendment must be completed within one year from the date the information is obtained. Fraud generally includes knowingly or intentionally stating an incorrect fact in a return, document, information, statement or application prepared, kept or submitted for the purposes of the Act; knowingly omitting a fact required to be stated; or knowingly preparing or submitting a forged document. If information, documents or evidence show that tax liability for an income year was reduced through any such fraudulent method, amendment or re-amendment must be completed within one year from the date the Department obtained that information.</w:t>
      </w:r>
    </w:p>
    <w:p>
      <w:pPr>
        <w:pStyle w:val="Heading2"/>
        <w:spacing w:after="80" w:line="252" w:lineRule="auto"/>
      </w:pPr>
      <w:r>
        <w:rPr>
          <w:rFonts w:ascii="Times New Roman" w:hAnsi="Times New Roman" w:eastAsia="Times New Roman"/>
          <w:b w:val="0"/>
          <w:i w:val="0"/>
        </w:rPr>
        <w:t>26.7 Re-amendment under order of the Director General, Revenue Tribunal or court</w:t>
      </w:r>
    </w:p>
    <w:p>
      <w:pPr>
        <w:spacing w:after="80" w:line="252" w:lineRule="auto"/>
      </w:pPr>
      <w:r>
        <w:rPr>
          <w:rFonts w:ascii="Times New Roman" w:hAnsi="Times New Roman" w:eastAsia="Times New Roman"/>
          <w:b w:val="0"/>
          <w:i w:val="0"/>
          <w:sz w:val="21"/>
        </w:rPr>
        <w:t>A person dissatisfied with a decision or assessment made by the Department in relation to a jeopardy assessment, amended assessment or re-amended assessment may apply to the Director General for administrative review. If dissatisfied with the decision on administrative review, or if no decision is made within sixty days, the person may appeal to the Revenue Tribunal. If dissatisfied with the decision of the Revenue Tribunal, the person may, with leave of the Supreme Court, further appeal against that decision.</w:t>
      </w:r>
    </w:p>
    <w:p>
      <w:pPr>
        <w:spacing w:after="80" w:line="252" w:lineRule="auto"/>
      </w:pPr>
      <w:r>
        <w:rPr>
          <w:rFonts w:ascii="Times New Roman" w:hAnsi="Times New Roman" w:eastAsia="Times New Roman"/>
          <w:b w:val="0"/>
          <w:i w:val="0"/>
          <w:sz w:val="21"/>
        </w:rPr>
        <w:t>Where a decision of the Director General, Revenue Tribunal or a court has become final and is no longer pending before any court or capable of being pending, and the decision requires amendment of a jeopardy assessment or re-amendment of an amended assessment for a year, the Department may make that amendment at any time. However, the amendment required by the decision must be completed within one year from the date on which a copy of the decision is received.</w:t>
      </w:r>
    </w:p>
    <w:p>
      <w:pPr>
        <w:spacing w:after="80" w:line="252" w:lineRule="auto"/>
        <w:jc w:val="center"/>
      </w:pPr>
      <w:r>
        <w:rPr>
          <w:rFonts w:ascii="Times New Roman" w:hAnsi="Times New Roman" w:eastAsia="Times New Roman"/>
          <w:b w:val="0"/>
          <w:i/>
          <w:sz w:val="21"/>
        </w:rPr>
        <w:t>End of Chapter 26</w:t>
      </w:r>
    </w:p>
    <w:p>
      <w:r>
        <w:br w:type="page"/>
      </w:r>
    </w:p>
    <w:p>
      <w:pPr>
        <w:pStyle w:val="Title"/>
        <w:spacing w:after="80" w:line="252" w:lineRule="auto"/>
        <w:jc w:val="center"/>
      </w:pPr>
      <w:r>
        <w:rPr>
          <w:rFonts w:ascii="Times New Roman" w:hAnsi="Times New Roman" w:eastAsia="Times New Roman"/>
          <w:b w:val="0"/>
          <w:i w:val="0"/>
        </w:rPr>
        <w:t>Income Tax Directive, 2066 (with Fifth Amendment, 2081)</w:t>
      </w:r>
    </w:p>
    <w:p>
      <w:pPr>
        <w:pStyle w:val="Title"/>
        <w:spacing w:after="80" w:line="252" w:lineRule="auto"/>
        <w:jc w:val="center"/>
      </w:pPr>
      <w:r>
        <w:rPr>
          <w:rFonts w:ascii="Times New Roman" w:hAnsi="Times New Roman" w:eastAsia="Times New Roman"/>
          <w:b w:val="0"/>
          <w:i w:val="0"/>
        </w:rPr>
        <w:t>English Translation - Part 27</w:t>
      </w:r>
    </w:p>
    <w:p>
      <w:pPr>
        <w:pStyle w:val="Heading1"/>
        <w:spacing w:after="80" w:line="252" w:lineRule="auto"/>
        <w:jc w:val="center"/>
      </w:pPr>
      <w:r>
        <w:rPr>
          <w:rFonts w:ascii="Times New Roman" w:hAnsi="Times New Roman" w:eastAsia="Times New Roman"/>
          <w:b w:val="0"/>
          <w:i w:val="0"/>
        </w:rPr>
        <w:t>Chapter 27: Payment of Tax</w:t>
      </w:r>
    </w:p>
    <w:p>
      <w:pPr>
        <w:spacing w:after="80" w:line="252" w:lineRule="auto"/>
        <w:jc w:val="center"/>
      </w:pPr>
      <w:r>
        <w:rPr>
          <w:rFonts w:ascii="Times New Roman" w:hAnsi="Times New Roman" w:eastAsia="Times New Roman"/>
          <w:b w:val="0"/>
          <w:i/>
          <w:sz w:val="21"/>
        </w:rPr>
        <w:t>Source pages: Directive pages 559-572</w:t>
      </w:r>
    </w:p>
    <w:p>
      <w:pPr>
        <w:spacing w:after="80" w:line="252" w:lineRule="auto"/>
      </w:pPr>
      <w:r>
        <w:rPr>
          <w:rFonts w:ascii="Times New Roman" w:hAnsi="Times New Roman" w:eastAsia="Times New Roman"/>
          <w:b w:val="0"/>
          <w:i/>
          <w:sz w:val="21"/>
        </w:rPr>
        <w:t>Note: This working translation follows the sequence, headings, examples and tabular presentation of the Nepali directive as far as practicable in Word format. Statutory expressions have been aligned with the official English terminology of the Income Tax Act, 2002 (2058) where applicable.</w:t>
      </w:r>
    </w:p>
    <w:p>
      <w:r>
        <w:br w:type="page"/>
      </w:r>
    </w:p>
    <w:p>
      <w:pPr>
        <w:pStyle w:val="Heading1"/>
        <w:spacing w:after="80" w:line="252" w:lineRule="auto"/>
        <w:jc w:val="center"/>
      </w:pPr>
      <w:r>
        <w:rPr>
          <w:rFonts w:ascii="Times New Roman" w:hAnsi="Times New Roman" w:eastAsia="Times New Roman"/>
          <w:b w:val="0"/>
          <w:i w:val="0"/>
        </w:rPr>
        <w:t>Chapter 27</w:t>
      </w:r>
    </w:p>
    <w:p>
      <w:pPr>
        <w:pStyle w:val="Heading1"/>
        <w:spacing w:after="80" w:line="252" w:lineRule="auto"/>
        <w:jc w:val="center"/>
      </w:pPr>
      <w:r>
        <w:rPr>
          <w:rFonts w:ascii="Times New Roman" w:hAnsi="Times New Roman" w:eastAsia="Times New Roman"/>
          <w:b w:val="0"/>
          <w:i w:val="0"/>
        </w:rPr>
        <w:t>Payment of Tax</w:t>
      </w:r>
    </w:p>
    <w:p>
      <w:pPr>
        <w:pStyle w:val="Heading2"/>
        <w:spacing w:after="80" w:line="252" w:lineRule="auto"/>
      </w:pPr>
      <w:r>
        <w:rPr>
          <w:rFonts w:ascii="Times New Roman" w:hAnsi="Times New Roman" w:eastAsia="Times New Roman"/>
          <w:b w:val="0"/>
          <w:i w:val="0"/>
        </w:rPr>
        <w:t>27.1 Introduction</w:t>
      </w:r>
    </w:p>
    <w:p>
      <w:pPr>
        <w:spacing w:after="80" w:line="252" w:lineRule="auto"/>
      </w:pPr>
      <w:r>
        <w:rPr>
          <w:rFonts w:ascii="Times New Roman" w:hAnsi="Times New Roman" w:eastAsia="Times New Roman"/>
          <w:b w:val="0"/>
          <w:i w:val="0"/>
          <w:sz w:val="21"/>
        </w:rPr>
        <w:t>For a taxpayer to pay tax on time, the process of payment must be simple and clear. With that objective, Chapter 16 of the Act and Chapter 7 of the Rules prescribe the legal provisions on the person having the duty to pay tax, the tax to be paid, the place of payment, the method of payment and the time for payment. This chapter explains those provisions.</w:t>
      </w:r>
    </w:p>
    <w:p>
      <w:pPr>
        <w:pStyle w:val="Heading2"/>
        <w:spacing w:after="80" w:line="252" w:lineRule="auto"/>
      </w:pPr>
      <w:r>
        <w:rPr>
          <w:rFonts w:ascii="Times New Roman" w:hAnsi="Times New Roman" w:eastAsia="Times New Roman"/>
          <w:b w:val="0"/>
          <w:i w:val="0"/>
        </w:rPr>
        <w:t>27.2 Person having the duty to pay tax</w:t>
      </w:r>
    </w:p>
    <w:p>
      <w:pPr>
        <w:spacing w:after="80" w:line="252" w:lineRule="auto"/>
      </w:pPr>
      <w:r>
        <w:rPr>
          <w:rFonts w:ascii="Times New Roman" w:hAnsi="Times New Roman" w:eastAsia="Times New Roman"/>
          <w:b w:val="0"/>
          <w:i w:val="0"/>
          <w:sz w:val="21"/>
        </w:rPr>
        <w:t>A person on whom the Act imposes tax is a person having the duty to pay tax. Section 3 charges tax on every person who has taxable income in an income year; on a foreign permanent establishment of a non-resident person situated in Nepal that repatriates income under section 68(3) or 68(4); and on a person receiving payments subject to final withholding in an income year.</w:t>
      </w:r>
    </w:p>
    <w:tbl>
      <w:tblPr>
        <w:tblStyle w:val="TableGrid"/>
        <w:tblW w:type="auto" w:w="0"/>
        <w:jc w:val="center"/>
        <w:tblLook w:firstColumn="1" w:firstRow="1" w:lastColumn="0" w:lastRow="0" w:noHBand="0" w:noVBand="1" w:val="04A0"/>
      </w:tblPr>
      <w:tblGrid>
        <w:gridCol w:w="3298"/>
        <w:gridCol w:w="3298"/>
        <w:gridCol w:w="3298"/>
      </w:tblGrid>
      <w:tr>
        <w:trPr>
          <w:tblHeader w:val="true"/>
        </w:trPr>
        <w:tc>
          <w:tcPr>
            <w:tcW w:type="dxa" w:w="1152"/>
            <w:vAlign w:val="top"/>
            <w:shd w:fill="D9EAF7"/>
          </w:tcPr>
          <w:p>
            <w:pPr>
              <w:spacing w:after="0" w:line="240" w:lineRule="auto"/>
            </w:pPr>
            <w:r/>
            <w:r>
              <w:rPr>
                <w:rFonts w:ascii="Times New Roman" w:hAnsi="Times New Roman" w:eastAsia="Times New Roman"/>
                <w:b/>
                <w:sz w:val="15"/>
              </w:rPr>
              <w:t>Sub-section</w:t>
            </w:r>
          </w:p>
        </w:tc>
        <w:tc>
          <w:tcPr>
            <w:tcW w:type="dxa" w:w="3168"/>
            <w:vAlign w:val="top"/>
            <w:shd w:fill="D9EAF7"/>
          </w:tcPr>
          <w:p>
            <w:pPr>
              <w:spacing w:after="0" w:line="240" w:lineRule="auto"/>
            </w:pPr>
            <w:r/>
            <w:r>
              <w:rPr>
                <w:rFonts w:ascii="Times New Roman" w:hAnsi="Times New Roman" w:eastAsia="Times New Roman"/>
                <w:b/>
                <w:sz w:val="15"/>
              </w:rPr>
              <w:t>Person / situation</w:t>
            </w:r>
          </w:p>
        </w:tc>
        <w:tc>
          <w:tcPr>
            <w:tcW w:type="dxa" w:w="6120"/>
            <w:vAlign w:val="top"/>
            <w:shd w:fill="D9EAF7"/>
          </w:tcPr>
          <w:p>
            <w:pPr>
              <w:spacing w:after="0" w:line="240" w:lineRule="auto"/>
            </w:pPr>
            <w:r/>
            <w:r>
              <w:rPr>
                <w:rFonts w:ascii="Times New Roman" w:hAnsi="Times New Roman" w:eastAsia="Times New Roman"/>
                <w:b/>
                <w:sz w:val="15"/>
              </w:rPr>
              <w:t>Explanation</w:t>
            </w:r>
          </w:p>
        </w:tc>
      </w:tr>
      <w:tr>
        <w:tc>
          <w:tcPr>
            <w:tcW w:type="dxa" w:w="1152"/>
            <w:vAlign w:val="top"/>
          </w:tcPr>
          <w:p>
            <w:pPr>
              <w:spacing w:after="0" w:line="240" w:lineRule="auto"/>
            </w:pPr>
            <w:r/>
            <w:r>
              <w:rPr>
                <w:rFonts w:ascii="Times New Roman" w:hAnsi="Times New Roman" w:eastAsia="Times New Roman"/>
                <w:b w:val="0"/>
                <w:sz w:val="15"/>
              </w:rPr>
              <w:t>27.2.1</w:t>
            </w:r>
          </w:p>
        </w:tc>
        <w:tc>
          <w:tcPr>
            <w:tcW w:type="dxa" w:w="3168"/>
            <w:vAlign w:val="top"/>
          </w:tcPr>
          <w:p>
            <w:pPr>
              <w:spacing w:after="0" w:line="240" w:lineRule="auto"/>
            </w:pPr>
            <w:r/>
            <w:r>
              <w:rPr>
                <w:rFonts w:ascii="Times New Roman" w:hAnsi="Times New Roman" w:eastAsia="Times New Roman"/>
                <w:b w:val="0"/>
                <w:sz w:val="15"/>
              </w:rPr>
              <w:t>Person having income chargeable to tax under the Act</w:t>
            </w:r>
          </w:p>
        </w:tc>
        <w:tc>
          <w:tcPr>
            <w:tcW w:type="dxa" w:w="6120"/>
            <w:vAlign w:val="top"/>
          </w:tcPr>
          <w:p>
            <w:pPr>
              <w:spacing w:after="0" w:line="240" w:lineRule="auto"/>
            </w:pPr>
            <w:r/>
            <w:r>
              <w:rPr>
                <w:rFonts w:ascii="Times New Roman" w:hAnsi="Times New Roman" w:eastAsia="Times New Roman"/>
                <w:b w:val="0"/>
                <w:sz w:val="15"/>
              </w:rPr>
              <w:t>Income from business, employment, investment or windfall gain, other than exempt amounts under section 10 or concessionary income under section 11, is chargeable income. A person deriving such income has the duty to pay tax.</w:t>
            </w:r>
          </w:p>
        </w:tc>
      </w:tr>
      <w:tr>
        <w:tc>
          <w:tcPr>
            <w:tcW w:type="dxa" w:w="1152"/>
            <w:vAlign w:val="top"/>
          </w:tcPr>
          <w:p>
            <w:pPr>
              <w:spacing w:after="0" w:line="240" w:lineRule="auto"/>
            </w:pPr>
            <w:r/>
            <w:r>
              <w:rPr>
                <w:rFonts w:ascii="Times New Roman" w:hAnsi="Times New Roman" w:eastAsia="Times New Roman"/>
                <w:b w:val="0"/>
                <w:sz w:val="15"/>
              </w:rPr>
              <w:t>27.2.2</w:t>
            </w:r>
          </w:p>
        </w:tc>
        <w:tc>
          <w:tcPr>
            <w:tcW w:type="dxa" w:w="3168"/>
            <w:vAlign w:val="top"/>
          </w:tcPr>
          <w:p>
            <w:pPr>
              <w:spacing w:after="0" w:line="240" w:lineRule="auto"/>
            </w:pPr>
            <w:r/>
            <w:r>
              <w:rPr>
                <w:rFonts w:ascii="Times New Roman" w:hAnsi="Times New Roman" w:eastAsia="Times New Roman"/>
                <w:b w:val="0"/>
                <w:sz w:val="15"/>
              </w:rPr>
              <w:t>Foreign permanent establishment of a non-resident person situated in Nepal</w:t>
            </w:r>
          </w:p>
        </w:tc>
        <w:tc>
          <w:tcPr>
            <w:tcW w:type="dxa" w:w="6120"/>
            <w:vAlign w:val="top"/>
          </w:tcPr>
          <w:p>
            <w:pPr>
              <w:spacing w:after="0" w:line="240" w:lineRule="auto"/>
            </w:pPr>
            <w:r/>
            <w:r>
              <w:rPr>
                <w:rFonts w:ascii="Times New Roman" w:hAnsi="Times New Roman" w:eastAsia="Times New Roman"/>
                <w:b w:val="0"/>
                <w:sz w:val="15"/>
              </w:rPr>
              <w:t>A place through which a non-resident carries on business wholly or partly in Nepal - such as an agent, branch, office, service place, installation site, construction or assembly site, sales/service centre or project - is treated as a foreign permanent establishment situated in Nepal. If it earns income in Nepal and repatriates the income abroad, tax is payable on the repatriated amount at the rate provided by Schedule 1.</w:t>
            </w:r>
          </w:p>
        </w:tc>
      </w:tr>
      <w:tr>
        <w:tc>
          <w:tcPr>
            <w:tcW w:type="dxa" w:w="1152"/>
            <w:vAlign w:val="top"/>
          </w:tcPr>
          <w:p>
            <w:pPr>
              <w:spacing w:after="0" w:line="240" w:lineRule="auto"/>
            </w:pPr>
            <w:r/>
            <w:r>
              <w:rPr>
                <w:rFonts w:ascii="Times New Roman" w:hAnsi="Times New Roman" w:eastAsia="Times New Roman"/>
                <w:b w:val="0"/>
                <w:sz w:val="15"/>
              </w:rPr>
              <w:t>27.2.3</w:t>
            </w:r>
          </w:p>
        </w:tc>
        <w:tc>
          <w:tcPr>
            <w:tcW w:type="dxa" w:w="3168"/>
            <w:vAlign w:val="top"/>
          </w:tcPr>
          <w:p>
            <w:pPr>
              <w:spacing w:after="0" w:line="240" w:lineRule="auto"/>
            </w:pPr>
            <w:r/>
            <w:r>
              <w:rPr>
                <w:rFonts w:ascii="Times New Roman" w:hAnsi="Times New Roman" w:eastAsia="Times New Roman"/>
                <w:b w:val="0"/>
                <w:sz w:val="15"/>
              </w:rPr>
              <w:t>Person receiving final withholding payments</w:t>
            </w:r>
          </w:p>
        </w:tc>
        <w:tc>
          <w:tcPr>
            <w:tcW w:type="dxa" w:w="6120"/>
            <w:vAlign w:val="top"/>
          </w:tcPr>
          <w:p>
            <w:pPr>
              <w:spacing w:after="0" w:line="240" w:lineRule="auto"/>
            </w:pPr>
            <w:r/>
            <w:r>
              <w:rPr>
                <w:rFonts w:ascii="Times New Roman" w:hAnsi="Times New Roman" w:eastAsia="Times New Roman"/>
                <w:b w:val="0"/>
                <w:sz w:val="15"/>
              </w:rPr>
              <w:t>Payments treated as final withholding include dividends from a resident company, rent income of a natural person, life-insurance payments, retirement payments, interest from a bank or financial institution, payments received by a non-resident, meeting allowance up to Rs. 20,000 per meeting, occasional teaching payments, and payments for setting question papers or checking answer scripts. Where tax withheld on such income has been deposited, the recipient is treated as having paid the tax on that income and cannot claim refund or adjustment of that withholding.</w:t>
            </w:r>
          </w:p>
        </w:tc>
      </w:tr>
      <w:tr>
        <w:tc>
          <w:tcPr>
            <w:tcW w:type="dxa" w:w="1152"/>
            <w:vAlign w:val="top"/>
          </w:tcPr>
          <w:p>
            <w:pPr>
              <w:spacing w:after="0" w:line="240" w:lineRule="auto"/>
            </w:pPr>
            <w:r/>
            <w:r>
              <w:rPr>
                <w:rFonts w:ascii="Times New Roman" w:hAnsi="Times New Roman" w:eastAsia="Times New Roman"/>
                <w:b w:val="0"/>
                <w:sz w:val="15"/>
              </w:rPr>
              <w:t>27.2.4</w:t>
            </w:r>
          </w:p>
        </w:tc>
        <w:tc>
          <w:tcPr>
            <w:tcW w:type="dxa" w:w="3168"/>
            <w:vAlign w:val="top"/>
          </w:tcPr>
          <w:p>
            <w:pPr>
              <w:spacing w:after="0" w:line="240" w:lineRule="auto"/>
            </w:pPr>
            <w:r/>
            <w:r>
              <w:rPr>
                <w:rFonts w:ascii="Times New Roman" w:hAnsi="Times New Roman" w:eastAsia="Times New Roman"/>
                <w:b w:val="0"/>
                <w:sz w:val="15"/>
              </w:rPr>
              <w:t>Person required to collect advance tax</w:t>
            </w:r>
          </w:p>
        </w:tc>
        <w:tc>
          <w:tcPr>
            <w:tcW w:type="dxa" w:w="6120"/>
            <w:vAlign w:val="top"/>
          </w:tcPr>
          <w:p>
            <w:pPr>
              <w:spacing w:after="0" w:line="240" w:lineRule="auto"/>
            </w:pPr>
            <w:r/>
            <w:r>
              <w:rPr>
                <w:rFonts w:ascii="Times New Roman" w:hAnsi="Times New Roman" w:eastAsia="Times New Roman"/>
                <w:b w:val="0"/>
                <w:sz w:val="15"/>
              </w:rPr>
              <w:t>A commodity-market operator, the concerned body in case of gain on disposal of securities, the Land Revenue Office in case of disposal of land and building, and the Customs Office in case of import of specified agricultural goods must collect and deposit advance tax as prescribed by section 95A.</w:t>
            </w:r>
          </w:p>
        </w:tc>
      </w:tr>
    </w:tbl>
    <w:p/>
    <w:p>
      <w:pPr>
        <w:pStyle w:val="Heading3"/>
        <w:spacing w:after="80" w:line="252" w:lineRule="auto"/>
      </w:pPr>
      <w:r>
        <w:rPr>
          <w:rFonts w:ascii="Times New Roman" w:hAnsi="Times New Roman" w:eastAsia="Times New Roman"/>
          <w:b w:val="0"/>
          <w:i w:val="0"/>
        </w:rPr>
        <w:t>27.2.5 Other persons who may become liable to pay tax</w:t>
      </w:r>
    </w:p>
    <w:p>
      <w:pPr>
        <w:spacing w:after="80" w:line="252" w:lineRule="auto"/>
      </w:pPr>
      <w:r>
        <w:rPr>
          <w:rFonts w:ascii="Times New Roman" w:hAnsi="Times New Roman" w:eastAsia="Times New Roman"/>
          <w:b w:val="0"/>
          <w:i w:val="0"/>
          <w:sz w:val="21"/>
        </w:rPr>
        <w:t>For collection purposes, the Act may make certain third parties responsible for the tax arrears of another person. Such persons are also treated, for the purposes of the Act, as persons having the duty to pay tax.</w:t>
      </w:r>
    </w:p>
    <w:tbl>
      <w:tblPr>
        <w:tblStyle w:val="TableGrid"/>
        <w:tblW w:type="auto" w:w="0"/>
        <w:jc w:val="center"/>
        <w:tblLook w:firstColumn="1" w:firstRow="1" w:lastColumn="0" w:lastRow="0" w:noHBand="0" w:noVBand="1" w:val="04A0"/>
      </w:tblPr>
      <w:tblGrid>
        <w:gridCol w:w="4946"/>
        <w:gridCol w:w="4946"/>
      </w:tblGrid>
      <w:tr>
        <w:trPr>
          <w:tblHeader w:val="true"/>
        </w:trPr>
        <w:tc>
          <w:tcPr>
            <w:tcW w:type="dxa" w:w="2880"/>
            <w:vAlign w:val="top"/>
            <w:shd w:fill="D9EAF7"/>
          </w:tcPr>
          <w:p>
            <w:pPr>
              <w:spacing w:after="0" w:line="240" w:lineRule="auto"/>
            </w:pPr>
            <w:r/>
            <w:r>
              <w:rPr>
                <w:rFonts w:ascii="Times New Roman" w:hAnsi="Times New Roman" w:eastAsia="Times New Roman"/>
                <w:b/>
                <w:sz w:val="15"/>
              </w:rPr>
              <w:t>Category</w:t>
            </w:r>
          </w:p>
        </w:tc>
        <w:tc>
          <w:tcPr>
            <w:tcW w:type="dxa" w:w="7632"/>
            <w:vAlign w:val="top"/>
            <w:shd w:fill="D9EAF7"/>
          </w:tcPr>
          <w:p>
            <w:pPr>
              <w:spacing w:after="0" w:line="240" w:lineRule="auto"/>
            </w:pPr>
            <w:r/>
            <w:r>
              <w:rPr>
                <w:rFonts w:ascii="Times New Roman" w:hAnsi="Times New Roman" w:eastAsia="Times New Roman"/>
                <w:b/>
                <w:sz w:val="15"/>
              </w:rPr>
              <w:t>Duty / liability</w:t>
            </w:r>
          </w:p>
        </w:tc>
      </w:tr>
      <w:tr>
        <w:tc>
          <w:tcPr>
            <w:tcW w:type="dxa" w:w="2880"/>
            <w:vAlign w:val="top"/>
          </w:tcPr>
          <w:p>
            <w:pPr>
              <w:spacing w:after="0" w:line="240" w:lineRule="auto"/>
            </w:pPr>
            <w:r/>
            <w:r>
              <w:rPr>
                <w:rFonts w:ascii="Times New Roman" w:hAnsi="Times New Roman" w:eastAsia="Times New Roman"/>
                <w:b w:val="0"/>
                <w:sz w:val="15"/>
              </w:rPr>
              <w:t>Officer of an entity</w:t>
            </w:r>
          </w:p>
        </w:tc>
        <w:tc>
          <w:tcPr>
            <w:tcW w:type="dxa" w:w="7632"/>
            <w:vAlign w:val="top"/>
          </w:tcPr>
          <w:p>
            <w:pPr>
              <w:spacing w:after="0" w:line="240" w:lineRule="auto"/>
            </w:pPr>
            <w:r/>
            <w:r>
              <w:rPr>
                <w:rFonts w:ascii="Times New Roman" w:hAnsi="Times New Roman" w:eastAsia="Times New Roman"/>
                <w:b w:val="0"/>
                <w:sz w:val="15"/>
              </w:rPr>
              <w:t>A serving officer, or a person who was an officer of the entity within the previous six months, including a manager or person acting in a similar capacity, may be responsible for the tax that the entity failed to pay.</w:t>
            </w:r>
          </w:p>
        </w:tc>
      </w:tr>
      <w:tr>
        <w:tc>
          <w:tcPr>
            <w:tcW w:type="dxa" w:w="2880"/>
            <w:vAlign w:val="top"/>
          </w:tcPr>
          <w:p>
            <w:pPr>
              <w:spacing w:after="0" w:line="240" w:lineRule="auto"/>
            </w:pPr>
            <w:r/>
            <w:r>
              <w:rPr>
                <w:rFonts w:ascii="Times New Roman" w:hAnsi="Times New Roman" w:eastAsia="Times New Roman"/>
                <w:b w:val="0"/>
                <w:sz w:val="15"/>
              </w:rPr>
              <w:t>Receiver</w:t>
            </w:r>
          </w:p>
        </w:tc>
        <w:tc>
          <w:tcPr>
            <w:tcW w:type="dxa" w:w="7632"/>
            <w:vAlign w:val="top"/>
          </w:tcPr>
          <w:p>
            <w:pPr>
              <w:spacing w:after="0" w:line="240" w:lineRule="auto"/>
            </w:pPr>
            <w:r/>
            <w:r>
              <w:rPr>
                <w:rFonts w:ascii="Times New Roman" w:hAnsi="Times New Roman" w:eastAsia="Times New Roman"/>
                <w:b w:val="0"/>
                <w:sz w:val="15"/>
              </w:rPr>
              <w:t>A liquidator, court-appointed or non-court receiver or manager, mortgagee in possession, heir or administrator of a deceased natural person, or person managing the affairs of an incapacitated natural person may be required to pay the tax arrears out of proceeds of the taxpayer's property.</w:t>
            </w:r>
          </w:p>
        </w:tc>
      </w:tr>
      <w:tr>
        <w:tc>
          <w:tcPr>
            <w:tcW w:type="dxa" w:w="2880"/>
            <w:vAlign w:val="top"/>
          </w:tcPr>
          <w:p>
            <w:pPr>
              <w:spacing w:after="0" w:line="240" w:lineRule="auto"/>
            </w:pPr>
            <w:r/>
            <w:r>
              <w:rPr>
                <w:rFonts w:ascii="Times New Roman" w:hAnsi="Times New Roman" w:eastAsia="Times New Roman"/>
                <w:b w:val="0"/>
                <w:sz w:val="15"/>
              </w:rPr>
              <w:t>Person owing money to the tax debtor</w:t>
            </w:r>
          </w:p>
        </w:tc>
        <w:tc>
          <w:tcPr>
            <w:tcW w:type="dxa" w:w="7632"/>
            <w:vAlign w:val="top"/>
          </w:tcPr>
          <w:p>
            <w:pPr>
              <w:spacing w:after="0" w:line="240" w:lineRule="auto"/>
            </w:pPr>
            <w:r/>
            <w:r>
              <w:rPr>
                <w:rFonts w:ascii="Times New Roman" w:hAnsi="Times New Roman" w:eastAsia="Times New Roman"/>
                <w:b w:val="0"/>
                <w:sz w:val="15"/>
              </w:rPr>
              <w:t>A person who is required to pay money to a person having tax arrears, or who holds money for or on behalf of such person, may be ordered to pay the amount to the Department up to the amount of the tax arrears.</w:t>
            </w:r>
          </w:p>
        </w:tc>
      </w:tr>
      <w:tr>
        <w:tc>
          <w:tcPr>
            <w:tcW w:type="dxa" w:w="2880"/>
            <w:vAlign w:val="top"/>
          </w:tcPr>
          <w:p>
            <w:pPr>
              <w:spacing w:after="0" w:line="240" w:lineRule="auto"/>
            </w:pPr>
            <w:r/>
            <w:r>
              <w:rPr>
                <w:rFonts w:ascii="Times New Roman" w:hAnsi="Times New Roman" w:eastAsia="Times New Roman"/>
                <w:b w:val="0"/>
                <w:sz w:val="15"/>
              </w:rPr>
              <w:t>Agent of a non-resident</w:t>
            </w:r>
          </w:p>
        </w:tc>
        <w:tc>
          <w:tcPr>
            <w:tcW w:type="dxa" w:w="7632"/>
            <w:vAlign w:val="top"/>
          </w:tcPr>
          <w:p>
            <w:pPr>
              <w:spacing w:after="0" w:line="240" w:lineRule="auto"/>
            </w:pPr>
            <w:r/>
            <w:r>
              <w:rPr>
                <w:rFonts w:ascii="Times New Roman" w:hAnsi="Times New Roman" w:eastAsia="Times New Roman"/>
                <w:b w:val="0"/>
                <w:sz w:val="15"/>
              </w:rPr>
              <w:t>A person holding property of, or acting as agent for, a non-resident with tax arrears may be ordered to pay the arrears up to the value of the property or amount controlled.</w:t>
            </w:r>
          </w:p>
        </w:tc>
      </w:tr>
      <w:tr>
        <w:tc>
          <w:tcPr>
            <w:tcW w:type="dxa" w:w="2880"/>
            <w:vAlign w:val="top"/>
          </w:tcPr>
          <w:p>
            <w:pPr>
              <w:spacing w:after="0" w:line="240" w:lineRule="auto"/>
            </w:pPr>
            <w:r>
              <w:t>Person withholding advance tax</w:t>
            </w:r>
            <w:r>
              <w:rPr>
                <w:rFonts w:ascii="Times New Roman" w:hAnsi="Times New Roman" w:eastAsia="Times New Roman"/>
                <w:b w:val="0"/>
                <w:sz w:val="15"/>
              </w:rPr>
            </w:r>
          </w:p>
        </w:tc>
        <w:tc>
          <w:tcPr>
            <w:tcW w:type="dxa" w:w="7632"/>
            <w:vAlign w:val="top"/>
          </w:tcPr>
          <w:p>
            <w:pPr>
              <w:spacing w:after="0" w:line="240" w:lineRule="auto"/>
            </w:pPr>
            <w:r/>
            <w:r>
              <w:rPr>
                <w:rFonts w:ascii="Times New Roman" w:hAnsi="Times New Roman" w:eastAsia="Times New Roman"/>
                <w:b w:val="0"/>
                <w:sz w:val="15"/>
              </w:rPr>
              <w:t>An employer, payer, retirement fund or other person responsible for withholding tax under sections 87, 88, 88A, 89 and 90 must deduct and deposit tax and submit the prescribed statement.</w:t>
            </w:r>
          </w:p>
        </w:tc>
      </w:tr>
      <w:tr>
        <w:tc>
          <w:tcPr>
            <w:tcW w:type="dxa" w:w="2880"/>
            <w:vAlign w:val="top"/>
          </w:tcPr>
          <w:p>
            <w:pPr>
              <w:spacing w:after="0" w:line="240" w:lineRule="auto"/>
            </w:pPr>
            <w:r/>
            <w:r>
              <w:rPr>
                <w:rFonts w:ascii="Times New Roman" w:hAnsi="Times New Roman" w:eastAsia="Times New Roman"/>
                <w:b w:val="0"/>
                <w:sz w:val="15"/>
              </w:rPr>
              <w:t>Advance-tax collector</w:t>
            </w:r>
          </w:p>
        </w:tc>
        <w:tc>
          <w:tcPr>
            <w:tcW w:type="dxa" w:w="7632"/>
            <w:vAlign w:val="top"/>
          </w:tcPr>
          <w:p>
            <w:pPr>
              <w:spacing w:after="0" w:line="240" w:lineRule="auto"/>
            </w:pPr>
            <w:r/>
            <w:r>
              <w:rPr>
                <w:rFonts w:ascii="Times New Roman" w:hAnsi="Times New Roman" w:eastAsia="Times New Roman"/>
                <w:b w:val="0"/>
                <w:sz w:val="15"/>
              </w:rPr>
              <w:t>A person or office required by section 95A to collect advance tax must collect and deposit it and submit the prescribed details.</w:t>
            </w:r>
          </w:p>
        </w:tc>
      </w:tr>
      <w:tr>
        <w:tc>
          <w:tcPr>
            <w:tcW w:type="dxa" w:w="2880"/>
            <w:vAlign w:val="top"/>
          </w:tcPr>
          <w:p>
            <w:pPr>
              <w:spacing w:after="0" w:line="240" w:lineRule="auto"/>
            </w:pPr>
            <w:r>
              <w:t>Person subject to tax withholding</w:t>
            </w:r>
            <w:r>
              <w:rPr>
                <w:rFonts w:ascii="Times New Roman" w:hAnsi="Times New Roman" w:eastAsia="Times New Roman"/>
                <w:b w:val="0"/>
                <w:sz w:val="15"/>
              </w:rPr>
            </w:r>
          </w:p>
        </w:tc>
        <w:tc>
          <w:tcPr>
            <w:tcW w:type="dxa" w:w="7632"/>
            <w:vAlign w:val="top"/>
          </w:tcPr>
          <w:p>
            <w:pPr>
              <w:spacing w:after="0" w:line="240" w:lineRule="auto"/>
            </w:pPr>
            <w:r/>
            <w:r>
              <w:rPr>
                <w:rFonts w:ascii="Times New Roman" w:hAnsi="Times New Roman" w:eastAsia="Times New Roman"/>
                <w:b w:val="0"/>
                <w:sz w:val="15"/>
              </w:rPr>
              <w:t>Where withholding should have been made but was not made, or was made but not deposited, the recipient may also be liable for the amount treated as withheld or not deposited, as provided by section 90.</w:t>
            </w:r>
          </w:p>
        </w:tc>
      </w:tr>
    </w:tbl>
    <w:p/>
    <w:p>
      <w:pPr>
        <w:pStyle w:val="Heading2"/>
        <w:spacing w:after="80" w:line="252" w:lineRule="auto"/>
      </w:pPr>
      <w:r>
        <w:rPr>
          <w:rFonts w:ascii="Times New Roman" w:hAnsi="Times New Roman" w:eastAsia="Times New Roman"/>
          <w:b w:val="0"/>
          <w:i w:val="0"/>
        </w:rPr>
        <w:t>27.3 Tax payable</w:t>
      </w:r>
    </w:p>
    <w:p>
      <w:pPr>
        <w:spacing w:after="80" w:line="252" w:lineRule="auto"/>
      </w:pPr>
      <w:r>
        <w:rPr>
          <w:rFonts w:ascii="Times New Roman" w:hAnsi="Times New Roman" w:eastAsia="Times New Roman"/>
          <w:b w:val="0"/>
          <w:i w:val="0"/>
          <w:sz w:val="21"/>
        </w:rPr>
        <w:t>In general, tax payable means the tax that must be paid under the Act by a person having chargeable income, by a foreign permanent establishment of a non-resident person situated in Nepal that repatriates income, or by a person receiving payments subject to final withholding. Section 2 defines tax to include not only income tax, but also certain amounts payable under the Act, including expenses of claim and auction, amounts payable by persons withholding advance tax, instalment tax, advance tax, assessed tax, amounts payable by third parties, fees, interest and penalties ordered by the Department.</w:t>
      </w:r>
    </w:p>
    <w:tbl>
      <w:tblPr>
        <w:tblStyle w:val="TableGrid"/>
        <w:tblW w:type="auto" w:w="0"/>
        <w:jc w:val="center"/>
        <w:tblLook w:firstColumn="1" w:firstRow="1" w:lastColumn="0" w:lastRow="0" w:noHBand="0" w:noVBand="1" w:val="04A0"/>
      </w:tblPr>
      <w:tblGrid>
        <w:gridCol w:w="4946"/>
        <w:gridCol w:w="4946"/>
      </w:tblGrid>
      <w:tr>
        <w:trPr>
          <w:tblHeader w:val="true"/>
        </w:trPr>
        <w:tc>
          <w:tcPr>
            <w:tcW w:type="dxa" w:w="720"/>
            <w:vAlign w:val="top"/>
            <w:shd w:fill="D9EAF7"/>
          </w:tcPr>
          <w:p>
            <w:pPr>
              <w:spacing w:after="0" w:line="240" w:lineRule="auto"/>
            </w:pPr>
            <w:r/>
            <w:r>
              <w:rPr>
                <w:rFonts w:ascii="Times New Roman" w:hAnsi="Times New Roman" w:eastAsia="Times New Roman"/>
                <w:b/>
                <w:sz w:val="15"/>
              </w:rPr>
              <w:t>No.</w:t>
            </w:r>
          </w:p>
        </w:tc>
        <w:tc>
          <w:tcPr>
            <w:tcW w:type="dxa" w:w="9792"/>
            <w:vAlign w:val="top"/>
            <w:shd w:fill="D9EAF7"/>
          </w:tcPr>
          <w:p>
            <w:pPr>
              <w:spacing w:after="0" w:line="240" w:lineRule="auto"/>
            </w:pPr>
            <w:r/>
            <w:r>
              <w:rPr>
                <w:rFonts w:ascii="Times New Roman" w:hAnsi="Times New Roman" w:eastAsia="Times New Roman"/>
                <w:b/>
                <w:sz w:val="15"/>
              </w:rPr>
              <w:t>Amount treated as tax payable under the Act</w:t>
            </w:r>
          </w:p>
        </w:tc>
      </w:tr>
      <w:tr>
        <w:tc>
          <w:tcPr>
            <w:tcW w:type="dxa" w:w="720"/>
            <w:vAlign w:val="top"/>
          </w:tcPr>
          <w:p>
            <w:pPr>
              <w:spacing w:after="0" w:line="240" w:lineRule="auto"/>
            </w:pPr>
            <w:r/>
            <w:r>
              <w:rPr>
                <w:rFonts w:ascii="Times New Roman" w:hAnsi="Times New Roman" w:eastAsia="Times New Roman"/>
                <w:b w:val="0"/>
                <w:sz w:val="15"/>
              </w:rPr>
              <w:t>1</w:t>
            </w:r>
          </w:p>
        </w:tc>
        <w:tc>
          <w:tcPr>
            <w:tcW w:type="dxa" w:w="9792"/>
            <w:vAlign w:val="top"/>
          </w:tcPr>
          <w:p>
            <w:pPr>
              <w:spacing w:after="0" w:line="240" w:lineRule="auto"/>
            </w:pPr>
            <w:r/>
            <w:r>
              <w:rPr>
                <w:rFonts w:ascii="Times New Roman" w:hAnsi="Times New Roman" w:eastAsia="Times New Roman"/>
                <w:b w:val="0"/>
                <w:sz w:val="15"/>
              </w:rPr>
              <w:t>Balance tax payable under the taxpayer's self-assessment made through an income return under sections 96 and 99, after reducing instalment tax, advance tax and tax withheld.</w:t>
            </w:r>
          </w:p>
        </w:tc>
      </w:tr>
      <w:tr>
        <w:tc>
          <w:tcPr>
            <w:tcW w:type="dxa" w:w="720"/>
            <w:vAlign w:val="top"/>
          </w:tcPr>
          <w:p>
            <w:pPr>
              <w:spacing w:after="0" w:line="240" w:lineRule="auto"/>
            </w:pPr>
            <w:r/>
            <w:r>
              <w:rPr>
                <w:rFonts w:ascii="Times New Roman" w:hAnsi="Times New Roman" w:eastAsia="Times New Roman"/>
                <w:b w:val="0"/>
                <w:sz w:val="15"/>
              </w:rPr>
              <w:t>2</w:t>
            </w:r>
          </w:p>
        </w:tc>
        <w:tc>
          <w:tcPr>
            <w:tcW w:type="dxa" w:w="9792"/>
            <w:vAlign w:val="top"/>
          </w:tcPr>
          <w:p>
            <w:pPr>
              <w:spacing w:after="0" w:line="240" w:lineRule="auto"/>
            </w:pPr>
            <w:r/>
            <w:r>
              <w:rPr>
                <w:rFonts w:ascii="Times New Roman" w:hAnsi="Times New Roman" w:eastAsia="Times New Roman"/>
                <w:b w:val="0"/>
                <w:sz w:val="15"/>
              </w:rPr>
              <w:t>Instalment tax payable under section 94 by a person deriving income from business or investment, unless the total instalment payable is below the statutory threshold.</w:t>
            </w:r>
          </w:p>
        </w:tc>
      </w:tr>
      <w:tr>
        <w:tc>
          <w:tcPr>
            <w:tcW w:type="dxa" w:w="720"/>
            <w:vAlign w:val="top"/>
          </w:tcPr>
          <w:p>
            <w:pPr>
              <w:spacing w:after="0" w:line="240" w:lineRule="auto"/>
            </w:pPr>
            <w:r/>
            <w:r>
              <w:rPr>
                <w:rFonts w:ascii="Times New Roman" w:hAnsi="Times New Roman" w:eastAsia="Times New Roman"/>
                <w:b w:val="0"/>
                <w:sz w:val="15"/>
              </w:rPr>
              <w:t>3</w:t>
            </w:r>
          </w:p>
        </w:tc>
        <w:tc>
          <w:tcPr>
            <w:tcW w:type="dxa" w:w="9792"/>
            <w:vAlign w:val="top"/>
          </w:tcPr>
          <w:p>
            <w:pPr>
              <w:spacing w:after="0" w:line="240" w:lineRule="auto"/>
            </w:pPr>
            <w:r/>
            <w:r>
              <w:rPr>
                <w:rFonts w:ascii="Times New Roman" w:hAnsi="Times New Roman" w:eastAsia="Times New Roman"/>
                <w:b w:val="0"/>
                <w:sz w:val="15"/>
              </w:rPr>
              <w:t>Amount payable under amended assessment or jeopardy assessment issued under sections 100, 101 and 102.</w:t>
            </w:r>
          </w:p>
        </w:tc>
      </w:tr>
      <w:tr>
        <w:tc>
          <w:tcPr>
            <w:tcW w:type="dxa" w:w="720"/>
            <w:vAlign w:val="top"/>
          </w:tcPr>
          <w:p>
            <w:pPr>
              <w:spacing w:after="0" w:line="240" w:lineRule="auto"/>
            </w:pPr>
            <w:r/>
            <w:r>
              <w:rPr>
                <w:rFonts w:ascii="Times New Roman" w:hAnsi="Times New Roman" w:eastAsia="Times New Roman"/>
                <w:b w:val="0"/>
                <w:sz w:val="15"/>
              </w:rPr>
              <w:t>4</w:t>
            </w:r>
          </w:p>
        </w:tc>
        <w:tc>
          <w:tcPr>
            <w:tcW w:type="dxa" w:w="9792"/>
            <w:vAlign w:val="top"/>
          </w:tcPr>
          <w:p>
            <w:pPr>
              <w:spacing w:after="0" w:line="240" w:lineRule="auto"/>
            </w:pPr>
            <w:r/>
            <w:r>
              <w:rPr>
                <w:rFonts w:ascii="Times New Roman" w:hAnsi="Times New Roman" w:eastAsia="Times New Roman"/>
                <w:b w:val="0"/>
                <w:sz w:val="15"/>
              </w:rPr>
              <w:t>Tax withheld or deemed to have been withheld from payments under sections 87, 88, 88A and 89, and payable under section 90.</w:t>
            </w:r>
          </w:p>
        </w:tc>
      </w:tr>
      <w:tr>
        <w:tc>
          <w:tcPr>
            <w:tcW w:type="dxa" w:w="720"/>
            <w:vAlign w:val="top"/>
          </w:tcPr>
          <w:p>
            <w:pPr>
              <w:spacing w:after="0" w:line="240" w:lineRule="auto"/>
            </w:pPr>
            <w:r/>
            <w:r>
              <w:rPr>
                <w:rFonts w:ascii="Times New Roman" w:hAnsi="Times New Roman" w:eastAsia="Times New Roman"/>
                <w:b w:val="0"/>
                <w:sz w:val="15"/>
              </w:rPr>
              <w:t>5</w:t>
            </w:r>
          </w:p>
        </w:tc>
        <w:tc>
          <w:tcPr>
            <w:tcW w:type="dxa" w:w="9792"/>
            <w:vAlign w:val="top"/>
          </w:tcPr>
          <w:p>
            <w:pPr>
              <w:spacing w:after="0" w:line="240" w:lineRule="auto"/>
            </w:pPr>
            <w:r/>
            <w:r>
              <w:rPr>
                <w:rFonts w:ascii="Times New Roman" w:hAnsi="Times New Roman" w:eastAsia="Times New Roman"/>
                <w:b w:val="0"/>
                <w:sz w:val="15"/>
              </w:rPr>
              <w:t>Advance tax collected or deemed to have been collected under section 95A.</w:t>
            </w:r>
          </w:p>
        </w:tc>
      </w:tr>
      <w:tr>
        <w:tc>
          <w:tcPr>
            <w:tcW w:type="dxa" w:w="720"/>
            <w:vAlign w:val="top"/>
          </w:tcPr>
          <w:p>
            <w:pPr>
              <w:spacing w:after="0" w:line="240" w:lineRule="auto"/>
            </w:pPr>
            <w:r/>
            <w:r>
              <w:rPr>
                <w:rFonts w:ascii="Times New Roman" w:hAnsi="Times New Roman" w:eastAsia="Times New Roman"/>
                <w:b w:val="0"/>
                <w:sz w:val="15"/>
              </w:rPr>
              <w:t>6</w:t>
            </w:r>
          </w:p>
        </w:tc>
        <w:tc>
          <w:tcPr>
            <w:tcW w:type="dxa" w:w="9792"/>
            <w:vAlign w:val="top"/>
          </w:tcPr>
          <w:p>
            <w:pPr>
              <w:spacing w:after="0" w:line="240" w:lineRule="auto"/>
            </w:pPr>
            <w:r/>
            <w:r>
              <w:rPr>
                <w:rFonts w:ascii="Times New Roman" w:hAnsi="Times New Roman" w:eastAsia="Times New Roman"/>
                <w:b w:val="0"/>
                <w:sz w:val="15"/>
              </w:rPr>
              <w:t>Fees imposed for late or non-filing of returns or statements, failure to keep documents, use of non-compliant electronic billing software, deposit of business receipts in personal accounts, false or misleading statements, or abetment of an offence.</w:t>
            </w:r>
          </w:p>
        </w:tc>
      </w:tr>
      <w:tr>
        <w:tc>
          <w:tcPr>
            <w:tcW w:type="dxa" w:w="720"/>
            <w:vAlign w:val="top"/>
          </w:tcPr>
          <w:p>
            <w:pPr>
              <w:spacing w:after="0" w:line="240" w:lineRule="auto"/>
            </w:pPr>
            <w:r/>
            <w:r>
              <w:rPr>
                <w:rFonts w:ascii="Times New Roman" w:hAnsi="Times New Roman" w:eastAsia="Times New Roman"/>
                <w:b w:val="0"/>
                <w:sz w:val="15"/>
              </w:rPr>
              <w:t>7</w:t>
            </w:r>
          </w:p>
        </w:tc>
        <w:tc>
          <w:tcPr>
            <w:tcW w:type="dxa" w:w="9792"/>
            <w:vAlign w:val="top"/>
          </w:tcPr>
          <w:p>
            <w:pPr>
              <w:spacing w:after="0" w:line="240" w:lineRule="auto"/>
            </w:pPr>
            <w:r/>
            <w:r>
              <w:rPr>
                <w:rFonts w:ascii="Times New Roman" w:hAnsi="Times New Roman" w:eastAsia="Times New Roman"/>
                <w:b w:val="0"/>
                <w:sz w:val="15"/>
              </w:rPr>
              <w:t>Interest under section 119, normally at fifteen per cent per annum for the period of delay, and additional interest where instalment recovery of arrears has been permitted but not complied with.</w:t>
            </w:r>
          </w:p>
        </w:tc>
      </w:tr>
      <w:tr>
        <w:tc>
          <w:tcPr>
            <w:tcW w:type="dxa" w:w="720"/>
            <w:vAlign w:val="top"/>
          </w:tcPr>
          <w:p>
            <w:pPr>
              <w:spacing w:after="0" w:line="240" w:lineRule="auto"/>
            </w:pPr>
            <w:r/>
            <w:r>
              <w:rPr>
                <w:rFonts w:ascii="Times New Roman" w:hAnsi="Times New Roman" w:eastAsia="Times New Roman"/>
                <w:b w:val="0"/>
                <w:sz w:val="15"/>
              </w:rPr>
              <w:t>8</w:t>
            </w:r>
          </w:p>
        </w:tc>
        <w:tc>
          <w:tcPr>
            <w:tcW w:type="dxa" w:w="9792"/>
            <w:vAlign w:val="top"/>
          </w:tcPr>
          <w:p>
            <w:pPr>
              <w:spacing w:after="0" w:line="240" w:lineRule="auto"/>
            </w:pPr>
            <w:r/>
            <w:r>
              <w:rPr>
                <w:rFonts w:ascii="Times New Roman" w:hAnsi="Times New Roman" w:eastAsia="Times New Roman"/>
                <w:b w:val="0"/>
                <w:sz w:val="15"/>
              </w:rPr>
              <w:t>Expenses incurred by the Department or office in making a claim over property or auctioning property for recovery of arrears.</w:t>
            </w:r>
          </w:p>
        </w:tc>
      </w:tr>
      <w:tr>
        <w:tc>
          <w:tcPr>
            <w:tcW w:type="dxa" w:w="720"/>
            <w:vAlign w:val="top"/>
          </w:tcPr>
          <w:p>
            <w:pPr>
              <w:spacing w:after="0" w:line="240" w:lineRule="auto"/>
            </w:pPr>
            <w:r/>
            <w:r>
              <w:rPr>
                <w:rFonts w:ascii="Times New Roman" w:hAnsi="Times New Roman" w:eastAsia="Times New Roman"/>
                <w:b w:val="0"/>
                <w:sz w:val="15"/>
              </w:rPr>
              <w:t>9</w:t>
            </w:r>
          </w:p>
        </w:tc>
        <w:tc>
          <w:tcPr>
            <w:tcW w:type="dxa" w:w="9792"/>
            <w:vAlign w:val="top"/>
          </w:tcPr>
          <w:p>
            <w:pPr>
              <w:spacing w:after="0" w:line="240" w:lineRule="auto"/>
            </w:pPr>
            <w:r/>
            <w:r>
              <w:rPr>
                <w:rFonts w:ascii="Times New Roman" w:hAnsi="Times New Roman" w:eastAsia="Times New Roman"/>
                <w:b w:val="0"/>
                <w:sz w:val="15"/>
              </w:rPr>
              <w:t>Penalty amount ordered to be paid under section 129 where an offence is admitted before court proceedings begin.</w:t>
            </w:r>
          </w:p>
        </w:tc>
      </w:tr>
      <w:tr>
        <w:tc>
          <w:tcPr>
            <w:tcW w:type="dxa" w:w="720"/>
            <w:vAlign w:val="top"/>
          </w:tcPr>
          <w:p>
            <w:pPr>
              <w:spacing w:after="0" w:line="240" w:lineRule="auto"/>
            </w:pPr>
            <w:r/>
            <w:r>
              <w:rPr>
                <w:rFonts w:ascii="Times New Roman" w:hAnsi="Times New Roman" w:eastAsia="Times New Roman"/>
                <w:b w:val="0"/>
                <w:sz w:val="15"/>
              </w:rPr>
              <w:t>10</w:t>
            </w:r>
          </w:p>
        </w:tc>
        <w:tc>
          <w:tcPr>
            <w:tcW w:type="dxa" w:w="9792"/>
            <w:vAlign w:val="top"/>
          </w:tcPr>
          <w:p>
            <w:pPr>
              <w:spacing w:after="0" w:line="240" w:lineRule="auto"/>
            </w:pPr>
            <w:r/>
            <w:r>
              <w:rPr>
                <w:rFonts w:ascii="Times New Roman" w:hAnsi="Times New Roman" w:eastAsia="Times New Roman"/>
                <w:b w:val="0"/>
                <w:sz w:val="15"/>
              </w:rPr>
              <w:t>Amounts payable by officers, receivers, persons owing money to a tax debtor, agents of non-residents or other third parties under departmental orders.</w:t>
            </w:r>
          </w:p>
        </w:tc>
      </w:tr>
    </w:tbl>
    <w:p/>
    <w:p>
      <w:pPr>
        <w:pStyle w:val="Heading2"/>
        <w:spacing w:after="80" w:line="252" w:lineRule="auto"/>
      </w:pPr>
      <w:r>
        <w:rPr>
          <w:rFonts w:ascii="Times New Roman" w:hAnsi="Times New Roman" w:eastAsia="Times New Roman"/>
          <w:b w:val="0"/>
          <w:i w:val="0"/>
        </w:rPr>
        <w:t>27.4 Place and method of payment of tax</w:t>
      </w:r>
    </w:p>
    <w:p>
      <w:pPr>
        <w:spacing w:after="80" w:line="252" w:lineRule="auto"/>
      </w:pPr>
      <w:r>
        <w:rPr>
          <w:rFonts w:ascii="Times New Roman" w:hAnsi="Times New Roman" w:eastAsia="Times New Roman"/>
          <w:b w:val="0"/>
          <w:i w:val="0"/>
          <w:sz w:val="21"/>
        </w:rPr>
        <w:t>Section 85(1) requires tax to be paid at the place and in the manner prescribed, and permits the Department to prescribe payment through electronic means. Rule 29 provides that if the Department notifies a person of the place of payment, tax must be paid at that place. In other cases, payment may be made to the Department or to a bank authorised to conduct government transactions. Where tax is paid at an authorised bank, information of payment must be given to the Department.</w:t>
      </w:r>
    </w:p>
    <w:p>
      <w:pPr>
        <w:spacing w:after="80" w:line="252" w:lineRule="auto"/>
      </w:pPr>
      <w:r>
        <w:rPr>
          <w:rFonts w:ascii="Times New Roman" w:hAnsi="Times New Roman" w:eastAsia="Times New Roman"/>
          <w:b w:val="0"/>
          <w:i w:val="0"/>
          <w:sz w:val="21"/>
        </w:rPr>
        <w:t>Payment may be made in cash up to the limit prescribed by the Department when paid to the Department, and by cheque or draft for amounts above that limit. When payment is made through an authorised bank, it may be made in cash, cheque, draft or electronic means. If a cheque tendered for tax payment is not honoured, the person who tendered it must pay the expenses determined by the Department, including applicable interest, fees and penalties up to the date of payment.</w:t>
      </w:r>
    </w:p>
    <w:p>
      <w:pPr>
        <w:pStyle w:val="Heading2"/>
        <w:spacing w:after="80" w:line="252" w:lineRule="auto"/>
      </w:pPr>
      <w:r>
        <w:rPr>
          <w:rFonts w:ascii="Times New Roman" w:hAnsi="Times New Roman" w:eastAsia="Times New Roman"/>
          <w:b w:val="0"/>
          <w:i w:val="0"/>
        </w:rPr>
        <w:t>27.5 Time for payment of tax</w:t>
      </w:r>
    </w:p>
    <w:p>
      <w:pPr>
        <w:spacing w:after="80" w:line="252" w:lineRule="auto"/>
      </w:pPr>
      <w:r>
        <w:rPr>
          <w:rFonts w:ascii="Times New Roman" w:hAnsi="Times New Roman" w:eastAsia="Times New Roman"/>
          <w:b w:val="0"/>
          <w:i w:val="0"/>
          <w:sz w:val="21"/>
        </w:rPr>
        <w:t>Section 85(2) fixes the time for payment for different kinds of tax. The Directive presents the following payment schedule:</w:t>
      </w:r>
    </w:p>
    <w:tbl>
      <w:tblPr>
        <w:tblStyle w:val="TableGrid"/>
        <w:tblW w:type="auto" w:w="0"/>
        <w:jc w:val="center"/>
        <w:tblLook w:firstColumn="1" w:firstRow="1" w:lastColumn="0" w:lastRow="0" w:noHBand="0" w:noVBand="1" w:val="04A0"/>
      </w:tblPr>
      <w:tblGrid>
        <w:gridCol w:w="3298"/>
        <w:gridCol w:w="3298"/>
        <w:gridCol w:w="3298"/>
      </w:tblGrid>
      <w:tr>
        <w:trPr>
          <w:tblHeader w:val="true"/>
        </w:trPr>
        <w:tc>
          <w:tcPr>
            <w:tcW w:type="dxa" w:w="792"/>
            <w:vAlign w:val="top"/>
            <w:shd w:fill="D9EAF7"/>
          </w:tcPr>
          <w:p>
            <w:pPr>
              <w:spacing w:after="0" w:line="240" w:lineRule="auto"/>
            </w:pPr>
            <w:r/>
            <w:r>
              <w:rPr>
                <w:rFonts w:ascii="Times New Roman" w:hAnsi="Times New Roman" w:eastAsia="Times New Roman"/>
                <w:b/>
                <w:sz w:val="14"/>
              </w:rPr>
              <w:t>No.</w:t>
            </w:r>
          </w:p>
        </w:tc>
        <w:tc>
          <w:tcPr>
            <w:tcW w:type="dxa" w:w="5760"/>
            <w:vAlign w:val="top"/>
            <w:shd w:fill="D9EAF7"/>
          </w:tcPr>
          <w:p>
            <w:pPr>
              <w:spacing w:after="0" w:line="240" w:lineRule="auto"/>
            </w:pPr>
            <w:r/>
            <w:r>
              <w:rPr>
                <w:rFonts w:ascii="Times New Roman" w:hAnsi="Times New Roman" w:eastAsia="Times New Roman"/>
                <w:b/>
                <w:sz w:val="14"/>
              </w:rPr>
              <w:t>Tax / amount</w:t>
            </w:r>
          </w:p>
        </w:tc>
        <w:tc>
          <w:tcPr>
            <w:tcW w:type="dxa" w:w="3960"/>
            <w:vAlign w:val="top"/>
            <w:shd w:fill="D9EAF7"/>
          </w:tcPr>
          <w:p>
            <w:pPr>
              <w:spacing w:after="0" w:line="240" w:lineRule="auto"/>
            </w:pPr>
            <w:r/>
            <w:r>
              <w:rPr>
                <w:rFonts w:ascii="Times New Roman" w:hAnsi="Times New Roman" w:eastAsia="Times New Roman"/>
                <w:b/>
                <w:sz w:val="14"/>
              </w:rPr>
              <w:t>Payment deadline</w:t>
            </w:r>
          </w:p>
        </w:tc>
      </w:tr>
      <w:tr>
        <w:tc>
          <w:tcPr>
            <w:tcW w:type="dxa" w:w="792"/>
            <w:vAlign w:val="top"/>
          </w:tcPr>
          <w:p>
            <w:pPr>
              <w:spacing w:after="0" w:line="240" w:lineRule="auto"/>
            </w:pPr>
            <w:r/>
            <w:r>
              <w:rPr>
                <w:rFonts w:ascii="Times New Roman" w:hAnsi="Times New Roman" w:eastAsia="Times New Roman"/>
                <w:b w:val="0"/>
                <w:sz w:val="14"/>
              </w:rPr>
              <w:t>1</w:t>
            </w:r>
          </w:p>
        </w:tc>
        <w:tc>
          <w:tcPr>
            <w:tcW w:type="dxa" w:w="5760"/>
            <w:vAlign w:val="top"/>
          </w:tcPr>
          <w:p>
            <w:pPr>
              <w:spacing w:after="0" w:line="240" w:lineRule="auto"/>
            </w:pPr>
            <w:r>
              <w:t>Tax withheld by a person withholding advance tax, or tax collected/treated as collected as advance tax</w:t>
            </w:r>
            <w:r>
              <w:rPr>
                <w:rFonts w:ascii="Times New Roman" w:hAnsi="Times New Roman" w:eastAsia="Times New Roman"/>
                <w:b w:val="0"/>
                <w:sz w:val="14"/>
              </w:rPr>
            </w:r>
          </w:p>
        </w:tc>
        <w:tc>
          <w:tcPr>
            <w:tcW w:type="dxa" w:w="3960"/>
            <w:vAlign w:val="top"/>
          </w:tcPr>
          <w:p>
            <w:pPr>
              <w:spacing w:after="0" w:line="240" w:lineRule="auto"/>
            </w:pPr>
            <w:r/>
            <w:r>
              <w:rPr>
                <w:rFonts w:ascii="Times New Roman" w:hAnsi="Times New Roman" w:eastAsia="Times New Roman"/>
                <w:b w:val="0"/>
                <w:sz w:val="14"/>
              </w:rPr>
              <w:t>Within twenty-five days after the end of the month in which withholding or collection is required.</w:t>
            </w:r>
          </w:p>
        </w:tc>
      </w:tr>
      <w:tr>
        <w:tc>
          <w:tcPr>
            <w:tcW w:type="dxa" w:w="792"/>
            <w:vAlign w:val="top"/>
          </w:tcPr>
          <w:p>
            <w:pPr>
              <w:spacing w:after="0" w:line="240" w:lineRule="auto"/>
            </w:pPr>
            <w:r/>
            <w:r>
              <w:rPr>
                <w:rFonts w:ascii="Times New Roman" w:hAnsi="Times New Roman" w:eastAsia="Times New Roman"/>
                <w:b w:val="0"/>
                <w:sz w:val="14"/>
              </w:rPr>
              <w:t>2(a)</w:t>
            </w:r>
          </w:p>
        </w:tc>
        <w:tc>
          <w:tcPr>
            <w:tcW w:type="dxa" w:w="5760"/>
            <w:vAlign w:val="top"/>
          </w:tcPr>
          <w:p>
            <w:pPr>
              <w:spacing w:after="0" w:line="240" w:lineRule="auto"/>
            </w:pPr>
            <w:r/>
            <w:r>
              <w:rPr>
                <w:rFonts w:ascii="Times New Roman" w:hAnsi="Times New Roman" w:eastAsia="Times New Roman"/>
                <w:b w:val="0"/>
                <w:sz w:val="14"/>
              </w:rPr>
              <w:t>Instalment tax computed by the taxpayer or estimated by the Department</w:t>
            </w:r>
          </w:p>
        </w:tc>
        <w:tc>
          <w:tcPr>
            <w:tcW w:type="dxa" w:w="3960"/>
            <w:vAlign w:val="top"/>
          </w:tcPr>
          <w:p>
            <w:pPr>
              <w:spacing w:after="0" w:line="240" w:lineRule="auto"/>
            </w:pPr>
            <w:r/>
            <w:r>
              <w:rPr>
                <w:rFonts w:ascii="Times New Roman" w:hAnsi="Times New Roman" w:eastAsia="Times New Roman"/>
                <w:b w:val="0"/>
                <w:sz w:val="14"/>
              </w:rPr>
              <w:t>First instalment by the end of Poush; second instalment by the end of Chaitra; third/final instalment by the end of Ashadh of the relevant income year.</w:t>
            </w:r>
          </w:p>
        </w:tc>
      </w:tr>
      <w:tr>
        <w:tc>
          <w:tcPr>
            <w:tcW w:type="dxa" w:w="792"/>
            <w:vAlign w:val="top"/>
          </w:tcPr>
          <w:p>
            <w:pPr>
              <w:spacing w:after="0" w:line="240" w:lineRule="auto"/>
            </w:pPr>
            <w:r/>
            <w:r>
              <w:rPr>
                <w:rFonts w:ascii="Times New Roman" w:hAnsi="Times New Roman" w:eastAsia="Times New Roman"/>
                <w:b w:val="0"/>
                <w:sz w:val="14"/>
              </w:rPr>
              <w:t>2(b)</w:t>
            </w:r>
          </w:p>
        </w:tc>
        <w:tc>
          <w:tcPr>
            <w:tcW w:type="dxa" w:w="5760"/>
            <w:vAlign w:val="top"/>
          </w:tcPr>
          <w:p>
            <w:pPr>
              <w:spacing w:after="0" w:line="240" w:lineRule="auto"/>
            </w:pPr>
            <w:r/>
            <w:r>
              <w:rPr>
                <w:rFonts w:ascii="Times New Roman" w:hAnsi="Times New Roman" w:eastAsia="Times New Roman"/>
                <w:b w:val="0"/>
                <w:sz w:val="14"/>
              </w:rPr>
              <w:t>Instalment tax for taxpayers paying on the basis of turnover</w:t>
            </w:r>
          </w:p>
        </w:tc>
        <w:tc>
          <w:tcPr>
            <w:tcW w:type="dxa" w:w="3960"/>
            <w:vAlign w:val="top"/>
          </w:tcPr>
          <w:p>
            <w:pPr>
              <w:spacing w:after="0" w:line="240" w:lineRule="auto"/>
            </w:pPr>
            <w:r/>
            <w:r>
              <w:rPr>
                <w:rFonts w:ascii="Times New Roman" w:hAnsi="Times New Roman" w:eastAsia="Times New Roman"/>
                <w:b w:val="0"/>
                <w:sz w:val="14"/>
              </w:rPr>
              <w:t>First instalment by the end of Poush and second instalment by the end of Ashadh of the relevant income year.</w:t>
            </w:r>
          </w:p>
        </w:tc>
      </w:tr>
      <w:tr>
        <w:tc>
          <w:tcPr>
            <w:tcW w:type="dxa" w:w="792"/>
            <w:vAlign w:val="top"/>
          </w:tcPr>
          <w:p>
            <w:pPr>
              <w:spacing w:after="0" w:line="240" w:lineRule="auto"/>
            </w:pPr>
            <w:r/>
            <w:r>
              <w:rPr>
                <w:rFonts w:ascii="Times New Roman" w:hAnsi="Times New Roman" w:eastAsia="Times New Roman"/>
                <w:b w:val="0"/>
                <w:sz w:val="14"/>
              </w:rPr>
              <w:t>3</w:t>
            </w:r>
          </w:p>
        </w:tc>
        <w:tc>
          <w:tcPr>
            <w:tcW w:type="dxa" w:w="5760"/>
            <w:vAlign w:val="top"/>
          </w:tcPr>
          <w:p>
            <w:pPr>
              <w:spacing w:after="0" w:line="240" w:lineRule="auto"/>
            </w:pPr>
            <w:r/>
            <w:r>
              <w:rPr>
                <w:rFonts w:ascii="Times New Roman" w:hAnsi="Times New Roman" w:eastAsia="Times New Roman"/>
                <w:b w:val="0"/>
                <w:sz w:val="14"/>
              </w:rPr>
              <w:t>Balance tax payable with the income return under sections 96 and 99</w:t>
            </w:r>
          </w:p>
        </w:tc>
        <w:tc>
          <w:tcPr>
            <w:tcW w:type="dxa" w:w="3960"/>
            <w:vAlign w:val="top"/>
          </w:tcPr>
          <w:p>
            <w:pPr>
              <w:spacing w:after="0" w:line="240" w:lineRule="auto"/>
            </w:pPr>
            <w:r/>
            <w:r>
              <w:rPr>
                <w:rFonts w:ascii="Times New Roman" w:hAnsi="Times New Roman" w:eastAsia="Times New Roman"/>
                <w:b w:val="0"/>
                <w:sz w:val="14"/>
              </w:rPr>
              <w:t>Within the income-return filing deadline, normally within three months after the end of the income year.</w:t>
            </w:r>
          </w:p>
        </w:tc>
      </w:tr>
      <w:tr>
        <w:tc>
          <w:tcPr>
            <w:tcW w:type="dxa" w:w="792"/>
            <w:vAlign w:val="top"/>
          </w:tcPr>
          <w:p>
            <w:pPr>
              <w:spacing w:after="0" w:line="240" w:lineRule="auto"/>
            </w:pPr>
            <w:r/>
            <w:r>
              <w:rPr>
                <w:rFonts w:ascii="Times New Roman" w:hAnsi="Times New Roman" w:eastAsia="Times New Roman"/>
                <w:b w:val="0"/>
                <w:sz w:val="14"/>
              </w:rPr>
              <w:t>4</w:t>
            </w:r>
          </w:p>
        </w:tc>
        <w:tc>
          <w:tcPr>
            <w:tcW w:type="dxa" w:w="5760"/>
            <w:vAlign w:val="top"/>
          </w:tcPr>
          <w:p>
            <w:pPr>
              <w:spacing w:after="0" w:line="240" w:lineRule="auto"/>
            </w:pPr>
            <w:r/>
            <w:r>
              <w:rPr>
                <w:rFonts w:ascii="Times New Roman" w:hAnsi="Times New Roman" w:eastAsia="Times New Roman"/>
                <w:b w:val="0"/>
                <w:sz w:val="14"/>
              </w:rPr>
              <w:t>Tax payable under jeopardy assessment under section 100(2)</w:t>
            </w:r>
          </w:p>
        </w:tc>
        <w:tc>
          <w:tcPr>
            <w:tcW w:type="dxa" w:w="3960"/>
            <w:vAlign w:val="top"/>
          </w:tcPr>
          <w:p>
            <w:pPr>
              <w:spacing w:after="0" w:line="240" w:lineRule="auto"/>
            </w:pPr>
            <w:r/>
            <w:r>
              <w:rPr>
                <w:rFonts w:ascii="Times New Roman" w:hAnsi="Times New Roman" w:eastAsia="Times New Roman"/>
                <w:b w:val="0"/>
                <w:sz w:val="14"/>
              </w:rPr>
              <w:t>Within the period specified in the assessment notice served under section 102.</w:t>
            </w:r>
          </w:p>
        </w:tc>
      </w:tr>
      <w:tr>
        <w:tc>
          <w:tcPr>
            <w:tcW w:type="dxa" w:w="792"/>
            <w:vAlign w:val="top"/>
          </w:tcPr>
          <w:p>
            <w:pPr>
              <w:spacing w:after="0" w:line="240" w:lineRule="auto"/>
            </w:pPr>
            <w:r/>
            <w:r>
              <w:rPr>
                <w:rFonts w:ascii="Times New Roman" w:hAnsi="Times New Roman" w:eastAsia="Times New Roman"/>
                <w:b w:val="0"/>
                <w:sz w:val="14"/>
              </w:rPr>
              <w:t>5</w:t>
            </w:r>
          </w:p>
        </w:tc>
        <w:tc>
          <w:tcPr>
            <w:tcW w:type="dxa" w:w="5760"/>
            <w:vAlign w:val="top"/>
          </w:tcPr>
          <w:p>
            <w:pPr>
              <w:spacing w:after="0" w:line="240" w:lineRule="auto"/>
            </w:pPr>
            <w:r/>
            <w:r>
              <w:rPr>
                <w:rFonts w:ascii="Times New Roman" w:hAnsi="Times New Roman" w:eastAsia="Times New Roman"/>
                <w:b w:val="0"/>
                <w:sz w:val="14"/>
              </w:rPr>
              <w:t>Tax payable under amended assessment under section 101</w:t>
            </w:r>
          </w:p>
        </w:tc>
        <w:tc>
          <w:tcPr>
            <w:tcW w:type="dxa" w:w="3960"/>
            <w:vAlign w:val="top"/>
          </w:tcPr>
          <w:p>
            <w:pPr>
              <w:spacing w:after="0" w:line="240" w:lineRule="auto"/>
            </w:pPr>
            <w:r/>
            <w:r>
              <w:rPr>
                <w:rFonts w:ascii="Times New Roman" w:hAnsi="Times New Roman" w:eastAsia="Times New Roman"/>
                <w:b w:val="0"/>
                <w:sz w:val="14"/>
              </w:rPr>
              <w:t>Within the period specified in the assessment notice served under section 102.</w:t>
            </w:r>
          </w:p>
        </w:tc>
      </w:tr>
      <w:tr>
        <w:tc>
          <w:tcPr>
            <w:tcW w:type="dxa" w:w="792"/>
            <w:vAlign w:val="top"/>
          </w:tcPr>
          <w:p>
            <w:pPr>
              <w:spacing w:after="0" w:line="240" w:lineRule="auto"/>
            </w:pPr>
            <w:r/>
            <w:r>
              <w:rPr>
                <w:rFonts w:ascii="Times New Roman" w:hAnsi="Times New Roman" w:eastAsia="Times New Roman"/>
                <w:b w:val="0"/>
                <w:sz w:val="14"/>
              </w:rPr>
              <w:t>6</w:t>
            </w:r>
          </w:p>
        </w:tc>
        <w:tc>
          <w:tcPr>
            <w:tcW w:type="dxa" w:w="5760"/>
            <w:vAlign w:val="top"/>
          </w:tcPr>
          <w:p>
            <w:pPr>
              <w:spacing w:after="0" w:line="240" w:lineRule="auto"/>
            </w:pPr>
            <w:r/>
            <w:r>
              <w:rPr>
                <w:rFonts w:ascii="Times New Roman" w:hAnsi="Times New Roman" w:eastAsia="Times New Roman"/>
                <w:b w:val="0"/>
                <w:sz w:val="14"/>
              </w:rPr>
              <w:t>Expenses incurred by the Department in claiming or auctioning property for recovery of arrears</w:t>
            </w:r>
          </w:p>
        </w:tc>
        <w:tc>
          <w:tcPr>
            <w:tcW w:type="dxa" w:w="3960"/>
            <w:vAlign w:val="top"/>
          </w:tcPr>
          <w:p>
            <w:pPr>
              <w:spacing w:after="0" w:line="240" w:lineRule="auto"/>
            </w:pPr>
            <w:r/>
            <w:r>
              <w:rPr>
                <w:rFonts w:ascii="Times New Roman" w:hAnsi="Times New Roman" w:eastAsia="Times New Roman"/>
                <w:b w:val="0"/>
                <w:sz w:val="14"/>
              </w:rPr>
              <w:t>On the date specified in the notice issued to the person having tax arrears.</w:t>
            </w:r>
          </w:p>
        </w:tc>
      </w:tr>
      <w:tr>
        <w:tc>
          <w:tcPr>
            <w:tcW w:type="dxa" w:w="792"/>
            <w:vAlign w:val="top"/>
          </w:tcPr>
          <w:p>
            <w:pPr>
              <w:spacing w:after="0" w:line="240" w:lineRule="auto"/>
            </w:pPr>
            <w:r/>
            <w:r>
              <w:rPr>
                <w:rFonts w:ascii="Times New Roman" w:hAnsi="Times New Roman" w:eastAsia="Times New Roman"/>
                <w:b w:val="0"/>
                <w:sz w:val="14"/>
              </w:rPr>
              <w:t>7</w:t>
            </w:r>
          </w:p>
        </w:tc>
        <w:tc>
          <w:tcPr>
            <w:tcW w:type="dxa" w:w="5760"/>
            <w:vAlign w:val="top"/>
          </w:tcPr>
          <w:p>
            <w:pPr>
              <w:spacing w:after="0" w:line="240" w:lineRule="auto"/>
            </w:pPr>
            <w:r/>
            <w:r>
              <w:rPr>
                <w:rFonts w:ascii="Times New Roman" w:hAnsi="Times New Roman" w:eastAsia="Times New Roman"/>
                <w:b w:val="0"/>
                <w:sz w:val="14"/>
              </w:rPr>
              <w:t>Amount payable by a person owing money to the tax debtor or by an agent of a non-resident under sections 109(1) or 110(1)</w:t>
            </w:r>
          </w:p>
        </w:tc>
        <w:tc>
          <w:tcPr>
            <w:tcW w:type="dxa" w:w="3960"/>
            <w:vAlign w:val="top"/>
          </w:tcPr>
          <w:p>
            <w:pPr>
              <w:spacing w:after="0" w:line="240" w:lineRule="auto"/>
            </w:pPr>
            <w:r/>
            <w:r>
              <w:rPr>
                <w:rFonts w:ascii="Times New Roman" w:hAnsi="Times New Roman" w:eastAsia="Times New Roman"/>
                <w:b w:val="0"/>
                <w:sz w:val="14"/>
              </w:rPr>
              <w:t>By the date specified in the departmental notice.</w:t>
            </w:r>
          </w:p>
        </w:tc>
      </w:tr>
      <w:tr>
        <w:tc>
          <w:tcPr>
            <w:tcW w:type="dxa" w:w="792"/>
            <w:vAlign w:val="top"/>
          </w:tcPr>
          <w:p>
            <w:pPr>
              <w:spacing w:after="0" w:line="240" w:lineRule="auto"/>
            </w:pPr>
            <w:r/>
            <w:r>
              <w:rPr>
                <w:rFonts w:ascii="Times New Roman" w:hAnsi="Times New Roman" w:eastAsia="Times New Roman"/>
                <w:b w:val="0"/>
                <w:sz w:val="14"/>
              </w:rPr>
              <w:t>8</w:t>
            </w:r>
          </w:p>
        </w:tc>
        <w:tc>
          <w:tcPr>
            <w:tcW w:type="dxa" w:w="5760"/>
            <w:vAlign w:val="top"/>
          </w:tcPr>
          <w:p>
            <w:pPr>
              <w:spacing w:after="0" w:line="240" w:lineRule="auto"/>
            </w:pPr>
            <w:r/>
            <w:r>
              <w:rPr>
                <w:rFonts w:ascii="Times New Roman" w:hAnsi="Times New Roman" w:eastAsia="Times New Roman"/>
                <w:b w:val="0"/>
                <w:sz w:val="14"/>
              </w:rPr>
              <w:t>Amount payable by officers or managers of an entity under section 107(2)</w:t>
            </w:r>
          </w:p>
        </w:tc>
        <w:tc>
          <w:tcPr>
            <w:tcW w:type="dxa" w:w="3960"/>
            <w:vAlign w:val="top"/>
          </w:tcPr>
          <w:p>
            <w:pPr>
              <w:spacing w:after="0" w:line="240" w:lineRule="auto"/>
            </w:pPr>
            <w:r/>
            <w:r>
              <w:rPr>
                <w:rFonts w:ascii="Times New Roman" w:hAnsi="Times New Roman" w:eastAsia="Times New Roman"/>
                <w:b w:val="0"/>
                <w:sz w:val="14"/>
              </w:rPr>
              <w:t>At the time at which the tax should have been paid by the entity.</w:t>
            </w:r>
          </w:p>
        </w:tc>
      </w:tr>
      <w:tr>
        <w:tc>
          <w:tcPr>
            <w:tcW w:type="dxa" w:w="792"/>
            <w:vAlign w:val="top"/>
          </w:tcPr>
          <w:p>
            <w:pPr>
              <w:spacing w:after="0" w:line="240" w:lineRule="auto"/>
            </w:pPr>
            <w:r/>
            <w:r>
              <w:rPr>
                <w:rFonts w:ascii="Times New Roman" w:hAnsi="Times New Roman" w:eastAsia="Times New Roman"/>
                <w:b w:val="0"/>
                <w:sz w:val="14"/>
              </w:rPr>
              <w:t>9</w:t>
            </w:r>
          </w:p>
        </w:tc>
        <w:tc>
          <w:tcPr>
            <w:tcW w:type="dxa" w:w="5760"/>
            <w:vAlign w:val="top"/>
          </w:tcPr>
          <w:p>
            <w:pPr>
              <w:spacing w:after="0" w:line="240" w:lineRule="auto"/>
            </w:pPr>
            <w:r/>
            <w:r>
              <w:rPr>
                <w:rFonts w:ascii="Times New Roman" w:hAnsi="Times New Roman" w:eastAsia="Times New Roman"/>
                <w:b w:val="0"/>
                <w:sz w:val="14"/>
              </w:rPr>
              <w:t>Amount set aside by a receiver from proceeds of sale of the taxpayer's property under section 108(3)</w:t>
            </w:r>
          </w:p>
        </w:tc>
        <w:tc>
          <w:tcPr>
            <w:tcW w:type="dxa" w:w="3960"/>
            <w:vAlign w:val="top"/>
          </w:tcPr>
          <w:p>
            <w:pPr>
              <w:spacing w:after="0" w:line="240" w:lineRule="auto"/>
            </w:pPr>
            <w:r/>
            <w:r>
              <w:rPr>
                <w:rFonts w:ascii="Times New Roman" w:hAnsi="Times New Roman" w:eastAsia="Times New Roman"/>
                <w:b w:val="0"/>
                <w:sz w:val="14"/>
              </w:rPr>
              <w:t>Within seven days after the amount is set aside from the sale proceeds.</w:t>
            </w:r>
          </w:p>
        </w:tc>
      </w:tr>
      <w:tr>
        <w:tc>
          <w:tcPr>
            <w:tcW w:type="dxa" w:w="792"/>
            <w:vAlign w:val="top"/>
          </w:tcPr>
          <w:p>
            <w:pPr>
              <w:spacing w:after="0" w:line="240" w:lineRule="auto"/>
            </w:pPr>
            <w:r/>
            <w:r>
              <w:rPr>
                <w:rFonts w:ascii="Times New Roman" w:hAnsi="Times New Roman" w:eastAsia="Times New Roman"/>
                <w:b w:val="0"/>
                <w:sz w:val="14"/>
              </w:rPr>
              <w:t>10</w:t>
            </w:r>
          </w:p>
        </w:tc>
        <w:tc>
          <w:tcPr>
            <w:tcW w:type="dxa" w:w="5760"/>
            <w:vAlign w:val="top"/>
          </w:tcPr>
          <w:p>
            <w:pPr>
              <w:spacing w:after="0" w:line="240" w:lineRule="auto"/>
            </w:pPr>
            <w:r/>
            <w:r>
              <w:rPr>
                <w:rFonts w:ascii="Times New Roman" w:hAnsi="Times New Roman" w:eastAsia="Times New Roman"/>
                <w:b w:val="0"/>
                <w:sz w:val="14"/>
              </w:rPr>
              <w:t>Amount personally payable by a receiver where the required amount was not set aside under section 108(4)</w:t>
            </w:r>
          </w:p>
        </w:tc>
        <w:tc>
          <w:tcPr>
            <w:tcW w:type="dxa" w:w="3960"/>
            <w:vAlign w:val="top"/>
          </w:tcPr>
          <w:p>
            <w:pPr>
              <w:spacing w:after="0" w:line="240" w:lineRule="auto"/>
            </w:pPr>
            <w:r/>
            <w:r>
              <w:rPr>
                <w:rFonts w:ascii="Times New Roman" w:hAnsi="Times New Roman" w:eastAsia="Times New Roman"/>
                <w:b w:val="0"/>
                <w:sz w:val="14"/>
              </w:rPr>
              <w:t>Within seven days after the date on which the amount should have been set aside.</w:t>
            </w:r>
          </w:p>
        </w:tc>
      </w:tr>
      <w:tr>
        <w:tc>
          <w:tcPr>
            <w:tcW w:type="dxa" w:w="792"/>
            <w:vAlign w:val="top"/>
          </w:tcPr>
          <w:p>
            <w:pPr>
              <w:spacing w:after="0" w:line="240" w:lineRule="auto"/>
            </w:pPr>
            <w:r/>
            <w:r>
              <w:rPr>
                <w:rFonts w:ascii="Times New Roman" w:hAnsi="Times New Roman" w:eastAsia="Times New Roman"/>
                <w:b w:val="0"/>
                <w:sz w:val="14"/>
              </w:rPr>
              <w:t>11</w:t>
            </w:r>
          </w:p>
        </w:tc>
        <w:tc>
          <w:tcPr>
            <w:tcW w:type="dxa" w:w="5760"/>
            <w:vAlign w:val="top"/>
          </w:tcPr>
          <w:p>
            <w:pPr>
              <w:spacing w:after="0" w:line="240" w:lineRule="auto"/>
            </w:pPr>
            <w:r/>
            <w:r>
              <w:rPr>
                <w:rFonts w:ascii="Times New Roman" w:hAnsi="Times New Roman" w:eastAsia="Times New Roman"/>
                <w:b w:val="0"/>
                <w:sz w:val="14"/>
              </w:rPr>
              <w:t>Fees and interest determined by the Department under section 122</w:t>
            </w:r>
          </w:p>
        </w:tc>
        <w:tc>
          <w:tcPr>
            <w:tcW w:type="dxa" w:w="3960"/>
            <w:vAlign w:val="top"/>
          </w:tcPr>
          <w:p>
            <w:pPr>
              <w:spacing w:after="0" w:line="240" w:lineRule="auto"/>
            </w:pPr>
            <w:r/>
            <w:r>
              <w:rPr>
                <w:rFonts w:ascii="Times New Roman" w:hAnsi="Times New Roman" w:eastAsia="Times New Roman"/>
                <w:b w:val="0"/>
                <w:sz w:val="14"/>
              </w:rPr>
              <w:t>Within the period specified in the notice of assessment or other notice served under section 102.</w:t>
            </w:r>
          </w:p>
        </w:tc>
      </w:tr>
      <w:tr>
        <w:tc>
          <w:tcPr>
            <w:tcW w:type="dxa" w:w="792"/>
            <w:vAlign w:val="top"/>
          </w:tcPr>
          <w:p>
            <w:pPr>
              <w:spacing w:after="0" w:line="240" w:lineRule="auto"/>
            </w:pPr>
            <w:r/>
            <w:r>
              <w:rPr>
                <w:rFonts w:ascii="Times New Roman" w:hAnsi="Times New Roman" w:eastAsia="Times New Roman"/>
                <w:b w:val="0"/>
                <w:sz w:val="14"/>
              </w:rPr>
              <w:t>12</w:t>
            </w:r>
          </w:p>
        </w:tc>
        <w:tc>
          <w:tcPr>
            <w:tcW w:type="dxa" w:w="5760"/>
            <w:vAlign w:val="top"/>
          </w:tcPr>
          <w:p>
            <w:pPr>
              <w:spacing w:after="0" w:line="240" w:lineRule="auto"/>
            </w:pPr>
            <w:r/>
            <w:r>
              <w:rPr>
                <w:rFonts w:ascii="Times New Roman" w:hAnsi="Times New Roman" w:eastAsia="Times New Roman"/>
                <w:b w:val="0"/>
                <w:sz w:val="14"/>
              </w:rPr>
              <w:t>Penalty payable under an order of the Department</w:t>
            </w:r>
          </w:p>
        </w:tc>
        <w:tc>
          <w:tcPr>
            <w:tcW w:type="dxa" w:w="3960"/>
            <w:vAlign w:val="top"/>
          </w:tcPr>
          <w:p>
            <w:pPr>
              <w:spacing w:after="0" w:line="240" w:lineRule="auto"/>
            </w:pPr>
            <w:r/>
            <w:r>
              <w:rPr>
                <w:rFonts w:ascii="Times New Roman" w:hAnsi="Times New Roman" w:eastAsia="Times New Roman"/>
                <w:b w:val="0"/>
                <w:sz w:val="14"/>
              </w:rPr>
              <w:t>On the date stated in the order.</w:t>
            </w:r>
          </w:p>
        </w:tc>
      </w:tr>
    </w:tbl>
    <w:p/>
    <w:p>
      <w:pPr>
        <w:spacing w:after="80" w:line="252" w:lineRule="auto"/>
      </w:pPr>
      <w:r>
        <w:rPr>
          <w:rFonts w:ascii="Times New Roman" w:hAnsi="Times New Roman" w:eastAsia="Times New Roman"/>
          <w:b w:val="0"/>
          <w:i w:val="0"/>
          <w:sz w:val="21"/>
        </w:rPr>
        <w:t>The payment date is not affected merely because the Department has started recovery action under Chapter 20 or any other proceedings under the Act. If tax is paid after the legal due date, interest is payable at the normal rate, in addition to applicable fees and penalties. For unpaid tax and interest, the Department may take steps such as claim over property, auction sale, or recovery from amounts receivable from another person.</w:t>
      </w:r>
    </w:p>
    <w:p>
      <w:pPr>
        <w:pStyle w:val="Heading2"/>
        <w:spacing w:after="80" w:line="252" w:lineRule="auto"/>
      </w:pPr>
      <w:r>
        <w:rPr>
          <w:rFonts w:ascii="Times New Roman" w:hAnsi="Times New Roman" w:eastAsia="Times New Roman"/>
          <w:b w:val="0"/>
          <w:i w:val="0"/>
        </w:rPr>
        <w:t>27.6 Evidence of tax payable</w:t>
      </w:r>
    </w:p>
    <w:p>
      <w:pPr>
        <w:spacing w:after="80" w:line="252" w:lineRule="auto"/>
      </w:pPr>
      <w:r>
        <w:rPr>
          <w:rFonts w:ascii="Times New Roman" w:hAnsi="Times New Roman" w:eastAsia="Times New Roman"/>
          <w:b w:val="0"/>
          <w:i w:val="0"/>
          <w:sz w:val="21"/>
        </w:rPr>
        <w:t>Where proceedings are taken to recover arrears or to prosecute an offence, a certificate signed by an officer of the Department stating the name and address of the person and the amount of tax payable by that person is sufficient evidence of the tax payable. This evidence applies both to recovery proceedings under Chapter 20 and offence proceedings under Chapter 23.</w:t>
      </w:r>
    </w:p>
    <w:p>
      <w:pPr>
        <w:spacing w:after="80" w:line="252" w:lineRule="auto"/>
        <w:jc w:val="center"/>
      </w:pPr>
      <w:r>
        <w:rPr>
          <w:rFonts w:ascii="Times New Roman" w:hAnsi="Times New Roman" w:eastAsia="Times New Roman"/>
          <w:b w:val="0"/>
          <w:i/>
          <w:sz w:val="21"/>
        </w:rPr>
        <w:t>End of Chapter 27</w:t>
      </w:r>
    </w:p>
    <w:p>
      <w:r>
        <w:br w:type="page"/>
      </w:r>
    </w:p>
    <w:p>
      <w:pPr>
        <w:pStyle w:val="Title"/>
        <w:spacing w:after="80" w:line="252" w:lineRule="auto"/>
        <w:jc w:val="center"/>
      </w:pPr>
      <w:r>
        <w:rPr>
          <w:rFonts w:ascii="Times New Roman" w:hAnsi="Times New Roman" w:eastAsia="Times New Roman"/>
          <w:b w:val="0"/>
          <w:i w:val="0"/>
        </w:rPr>
        <w:t>Income Tax Directive, 2066 (with Fifth Amendment, 2081)</w:t>
      </w:r>
    </w:p>
    <w:p>
      <w:pPr>
        <w:pStyle w:val="Title"/>
        <w:spacing w:after="80" w:line="252" w:lineRule="auto"/>
        <w:jc w:val="center"/>
      </w:pPr>
      <w:r>
        <w:rPr>
          <w:rFonts w:ascii="Times New Roman" w:hAnsi="Times New Roman" w:eastAsia="Times New Roman"/>
          <w:b w:val="0"/>
          <w:i w:val="0"/>
        </w:rPr>
        <w:t>English Translation - Part 28</w:t>
      </w:r>
    </w:p>
    <w:p>
      <w:pPr>
        <w:pStyle w:val="Heading1"/>
        <w:spacing w:after="80" w:line="252" w:lineRule="auto"/>
        <w:jc w:val="center"/>
      </w:pPr>
      <w:r>
        <w:rPr>
          <w:rFonts w:ascii="Times New Roman" w:hAnsi="Times New Roman" w:eastAsia="Times New Roman"/>
          <w:b w:val="0"/>
          <w:i w:val="0"/>
        </w:rPr>
        <w:t>Chapter 28: Tax Collection, Remission and Refund</w:t>
      </w:r>
    </w:p>
    <w:p>
      <w:pPr>
        <w:spacing w:after="80" w:line="252" w:lineRule="auto"/>
        <w:jc w:val="center"/>
      </w:pPr>
      <w:r>
        <w:rPr>
          <w:rFonts w:ascii="Times New Roman" w:hAnsi="Times New Roman" w:eastAsia="Times New Roman"/>
          <w:b w:val="0"/>
          <w:i/>
          <w:sz w:val="21"/>
        </w:rPr>
        <w:t>Source pages: Directive pages 573-606</w:t>
      </w:r>
    </w:p>
    <w:p>
      <w:pPr>
        <w:spacing w:after="80" w:line="252" w:lineRule="auto"/>
      </w:pPr>
      <w:r>
        <w:rPr>
          <w:rFonts w:ascii="Times New Roman" w:hAnsi="Times New Roman" w:eastAsia="Times New Roman"/>
          <w:b w:val="0"/>
          <w:i/>
          <w:sz w:val="21"/>
        </w:rPr>
        <w:t>Note: This working translation follows the sequence, headings, examples and tabular presentation of the Nepali directive as far as practicable in Word format. Statutory expressions have been aligned with the official English terminology of the Income Tax Act, 2002 (2058) where applicable.</w:t>
      </w:r>
    </w:p>
    <w:p>
      <w:r>
        <w:br w:type="page"/>
      </w:r>
    </w:p>
    <w:p>
      <w:pPr>
        <w:pStyle w:val="Heading1"/>
        <w:spacing w:after="80" w:line="252" w:lineRule="auto"/>
        <w:jc w:val="center"/>
      </w:pPr>
      <w:r>
        <w:rPr>
          <w:rFonts w:ascii="Times New Roman" w:hAnsi="Times New Roman" w:eastAsia="Times New Roman"/>
          <w:b w:val="0"/>
          <w:i w:val="0"/>
        </w:rPr>
        <w:t>Chapter 28</w:t>
      </w:r>
    </w:p>
    <w:p>
      <w:pPr>
        <w:pStyle w:val="Heading1"/>
        <w:spacing w:after="80" w:line="252" w:lineRule="auto"/>
        <w:jc w:val="center"/>
      </w:pPr>
      <w:r>
        <w:rPr>
          <w:rFonts w:ascii="Times New Roman" w:hAnsi="Times New Roman" w:eastAsia="Times New Roman"/>
          <w:b w:val="0"/>
          <w:i w:val="0"/>
        </w:rPr>
        <w:t>Tax Collection, Remission and Refund</w:t>
      </w:r>
    </w:p>
    <w:p>
      <w:pPr>
        <w:pStyle w:val="Heading2"/>
        <w:spacing w:after="80" w:line="252" w:lineRule="auto"/>
      </w:pPr>
      <w:r>
        <w:rPr>
          <w:rFonts w:ascii="Times New Roman" w:hAnsi="Times New Roman" w:eastAsia="Times New Roman"/>
          <w:b w:val="0"/>
          <w:i w:val="0"/>
        </w:rPr>
        <w:t>28.1 Introduction</w:t>
      </w:r>
    </w:p>
    <w:p>
      <w:pPr>
        <w:spacing w:after="80" w:line="252" w:lineRule="auto"/>
      </w:pPr>
      <w:r>
        <w:rPr>
          <w:rFonts w:ascii="Times New Roman" w:hAnsi="Times New Roman" w:eastAsia="Times New Roman"/>
          <w:b w:val="0"/>
          <w:i w:val="0"/>
          <w:sz w:val="21"/>
        </w:rPr>
        <w:t>A person having the duty to pay tax must deposit the tax payable under the Act at the concerned office within the prescribed time. Tax payable includes tax withheld from payments made to another person, tax on income repatriated abroad, and tax payable on taxable income from employment, business and investment. If tax is not deposited within the prescribed time, tax arrears arise. Chapter 20 of the Act provides the mechanisms by which the Department may collect those arrears.</w:t>
      </w:r>
    </w:p>
    <w:p>
      <w:pPr>
        <w:spacing w:after="80" w:line="252" w:lineRule="auto"/>
      </w:pPr>
      <w:r>
        <w:rPr>
          <w:rFonts w:ascii="Times New Roman" w:hAnsi="Times New Roman" w:eastAsia="Times New Roman"/>
          <w:b w:val="0"/>
          <w:i w:val="0"/>
          <w:sz w:val="21"/>
        </w:rPr>
        <w:t>Because instalment tax and withholding may sometimes result in a person depositing tax in excess of the actual liability, the Act also provides for set-off and refund of excess tax, and for remission of arrears where the legal conditions are satisfied. This chapter explains the rules relating to tax collection, remission and refund.</w:t>
      </w:r>
    </w:p>
    <w:p>
      <w:pPr>
        <w:pStyle w:val="Heading2"/>
        <w:spacing w:after="80" w:line="252" w:lineRule="auto"/>
      </w:pPr>
      <w:r>
        <w:rPr>
          <w:rFonts w:ascii="Times New Roman" w:hAnsi="Times New Roman" w:eastAsia="Times New Roman"/>
          <w:b w:val="0"/>
          <w:i w:val="0"/>
        </w:rPr>
        <w:t>28.2 Recovery from a person withholding advance tax</w:t>
      </w:r>
    </w:p>
    <w:p>
      <w:pPr>
        <w:spacing w:after="80" w:line="252" w:lineRule="auto"/>
      </w:pPr>
      <w:r>
        <w:rPr>
          <w:rFonts w:ascii="Times New Roman" w:hAnsi="Times New Roman" w:eastAsia="Times New Roman"/>
          <w:b w:val="0"/>
          <w:i w:val="0"/>
          <w:sz w:val="21"/>
        </w:rPr>
        <w:t>Under Chapter 17, employers, retirement funds, payers of investment returns, service charges, sales bonus, contract payments and insurance premiums to non-residents, and persons required to collect advance tax under section 95A, must withhold or collect tax and deposit both the tax and statement with the concerned office. Such persons are persons withholding advance tax. Because tax withheld or required to be withheld is itself treated as tax, it is recoverable from the person withholding advance tax.</w:t>
      </w:r>
    </w:p>
    <w:p>
      <w:pPr>
        <w:spacing w:after="80" w:line="252" w:lineRule="auto"/>
      </w:pPr>
      <w:r>
        <w:rPr>
          <w:rFonts w:ascii="Times New Roman" w:hAnsi="Times New Roman" w:eastAsia="Times New Roman"/>
          <w:b w:val="0"/>
          <w:i w:val="0"/>
          <w:sz w:val="21"/>
        </w:rPr>
        <w:t>Section 103 gives special protection to tax withheld or required to be withheld. The person withholding advance tax must give priority to the tax over payments required by court order, other law or any other obligation. Tax withheld is treated as held in trust for the Government of Nepal, cannot be attached to the person withholding advance tax's own debts or liabilities, and is not part of the estate of the agent in bankruptcy or liquidation. In liquidation or bankruptcy, the Department has the first claim over the withheld amount or property representing it.</w:t>
      </w:r>
    </w:p>
    <w:tbl>
      <w:tblPr>
        <w:tblStyle w:val="TableGrid"/>
        <w:tblW w:type="auto" w:w="0"/>
        <w:jc w:val="center"/>
        <w:tblLook w:firstColumn="1" w:firstRow="1" w:lastColumn="0" w:lastRow="0" w:noHBand="0" w:noVBand="1" w:val="04A0"/>
      </w:tblPr>
      <w:tblGrid>
        <w:gridCol w:w="4946"/>
        <w:gridCol w:w="4946"/>
      </w:tblGrid>
      <w:tr>
        <w:trPr>
          <w:tblHeader w:val="true"/>
        </w:trPr>
        <w:tc>
          <w:tcPr>
            <w:tcW w:type="dxa" w:w="3024"/>
            <w:vAlign w:val="top"/>
            <w:shd w:fill="D9EAF7"/>
          </w:tcPr>
          <w:p>
            <w:pPr>
              <w:spacing w:after="0" w:line="240" w:lineRule="auto"/>
            </w:pPr>
            <w:r/>
            <w:r>
              <w:rPr>
                <w:rFonts w:ascii="Times New Roman" w:hAnsi="Times New Roman" w:eastAsia="Times New Roman"/>
                <w:b/>
                <w:sz w:val="15"/>
              </w:rPr>
              <w:t>Point</w:t>
            </w:r>
          </w:p>
        </w:tc>
        <w:tc>
          <w:tcPr>
            <w:tcW w:type="dxa" w:w="7488"/>
            <w:vAlign w:val="top"/>
            <w:shd w:fill="D9EAF7"/>
          </w:tcPr>
          <w:p>
            <w:pPr>
              <w:spacing w:after="0" w:line="240" w:lineRule="auto"/>
            </w:pPr>
            <w:r/>
            <w:r>
              <w:rPr>
                <w:rFonts w:ascii="Times New Roman" w:hAnsi="Times New Roman" w:eastAsia="Times New Roman"/>
                <w:b/>
                <w:sz w:val="15"/>
              </w:rPr>
              <w:t>Directive explanation</w:t>
            </w:r>
          </w:p>
        </w:tc>
      </w:tr>
      <w:tr>
        <w:tc>
          <w:tcPr>
            <w:tcW w:type="dxa" w:w="3024"/>
            <w:vAlign w:val="top"/>
          </w:tcPr>
          <w:p>
            <w:pPr>
              <w:spacing w:after="0" w:line="240" w:lineRule="auto"/>
            </w:pPr>
            <w:r/>
            <w:r>
              <w:rPr>
                <w:rFonts w:ascii="Times New Roman" w:hAnsi="Times New Roman" w:eastAsia="Times New Roman"/>
                <w:b w:val="0"/>
                <w:sz w:val="15"/>
              </w:rPr>
              <w:t>Priority of tax payment</w:t>
            </w:r>
          </w:p>
        </w:tc>
        <w:tc>
          <w:tcPr>
            <w:tcW w:type="dxa" w:w="7488"/>
            <w:vAlign w:val="top"/>
          </w:tcPr>
          <w:p>
            <w:pPr>
              <w:spacing w:after="0" w:line="240" w:lineRule="auto"/>
            </w:pPr>
            <w:r>
              <w:t>If a person withholding advance tax has many obligations but has not deposited tax withheld or deemed withheld, tax must be paid before other liabilities. The agent cannot pay other liabilities first by keeping tax unpaid.</w:t>
            </w:r>
            <w:r>
              <w:rPr>
                <w:rFonts w:ascii="Times New Roman" w:hAnsi="Times New Roman" w:eastAsia="Times New Roman"/>
                <w:b w:val="0"/>
                <w:sz w:val="15"/>
              </w:rPr>
            </w:r>
          </w:p>
        </w:tc>
      </w:tr>
      <w:tr>
        <w:tc>
          <w:tcPr>
            <w:tcW w:type="dxa" w:w="3024"/>
            <w:vAlign w:val="top"/>
          </w:tcPr>
          <w:p>
            <w:pPr>
              <w:spacing w:after="0" w:line="240" w:lineRule="auto"/>
            </w:pPr>
            <w:r/>
            <w:r>
              <w:rPr>
                <w:rFonts w:ascii="Times New Roman" w:hAnsi="Times New Roman" w:eastAsia="Times New Roman"/>
                <w:b w:val="0"/>
                <w:sz w:val="15"/>
              </w:rPr>
              <w:t>Amount held for Government</w:t>
            </w:r>
          </w:p>
        </w:tc>
        <w:tc>
          <w:tcPr>
            <w:tcW w:type="dxa" w:w="7488"/>
            <w:vAlign w:val="top"/>
          </w:tcPr>
          <w:p>
            <w:pPr>
              <w:spacing w:after="0" w:line="240" w:lineRule="auto"/>
            </w:pPr>
            <w:r>
              <w:t>The amount deducted from another person's payment is not the income or expense of the person withholding advance tax. It is a collection made on behalf of Government and must be deposited.</w:t>
            </w:r>
            <w:r>
              <w:rPr>
                <w:rFonts w:ascii="Times New Roman" w:hAnsi="Times New Roman" w:eastAsia="Times New Roman"/>
                <w:b w:val="0"/>
                <w:sz w:val="15"/>
              </w:rPr>
            </w:r>
          </w:p>
        </w:tc>
      </w:tr>
      <w:tr>
        <w:tc>
          <w:tcPr>
            <w:tcW w:type="dxa" w:w="3024"/>
            <w:vAlign w:val="top"/>
          </w:tcPr>
          <w:p>
            <w:pPr>
              <w:spacing w:after="0" w:line="240" w:lineRule="auto"/>
            </w:pPr>
            <w:r/>
            <w:r>
              <w:rPr>
                <w:rFonts w:ascii="Times New Roman" w:hAnsi="Times New Roman" w:eastAsia="Times New Roman"/>
                <w:b w:val="0"/>
                <w:sz w:val="15"/>
              </w:rPr>
              <w:t>No attachment to agent's debts</w:t>
            </w:r>
          </w:p>
        </w:tc>
        <w:tc>
          <w:tcPr>
            <w:tcW w:type="dxa" w:w="7488"/>
            <w:vAlign w:val="top"/>
          </w:tcPr>
          <w:p>
            <w:pPr>
              <w:spacing w:after="0" w:line="240" w:lineRule="auto"/>
            </w:pPr>
            <w:r>
              <w:t>Withheld tax cannot be used to satisfy the person withholding advance tax's own creditors or liabilities.</w:t>
            </w:r>
            <w:r>
              <w:rPr>
                <w:rFonts w:ascii="Times New Roman" w:hAnsi="Times New Roman" w:eastAsia="Times New Roman"/>
                <w:b w:val="0"/>
                <w:sz w:val="15"/>
              </w:rPr>
            </w:r>
          </w:p>
        </w:tc>
      </w:tr>
      <w:tr>
        <w:tc>
          <w:tcPr>
            <w:tcW w:type="dxa" w:w="3024"/>
            <w:vAlign w:val="top"/>
          </w:tcPr>
          <w:p>
            <w:pPr>
              <w:spacing w:after="0" w:line="240" w:lineRule="auto"/>
            </w:pPr>
            <w:r/>
            <w:r>
              <w:rPr>
                <w:rFonts w:ascii="Times New Roman" w:hAnsi="Times New Roman" w:eastAsia="Times New Roman"/>
                <w:b w:val="0"/>
                <w:sz w:val="15"/>
              </w:rPr>
              <w:t>Bankruptcy or liquidation</w:t>
            </w:r>
          </w:p>
        </w:tc>
        <w:tc>
          <w:tcPr>
            <w:tcW w:type="dxa" w:w="7488"/>
            <w:vAlign w:val="top"/>
          </w:tcPr>
          <w:p>
            <w:pPr>
              <w:spacing w:after="0" w:line="240" w:lineRule="auto"/>
            </w:pPr>
            <w:r/>
            <w:r>
              <w:rPr>
                <w:rFonts w:ascii="Times New Roman" w:hAnsi="Times New Roman" w:eastAsia="Times New Roman"/>
                <w:b w:val="0"/>
                <w:sz w:val="15"/>
              </w:rPr>
              <w:t>Withheld tax is not distributed as part of the bankrupt or liquidated estate; the Department has first claim over it.</w:t>
            </w:r>
          </w:p>
        </w:tc>
      </w:tr>
    </w:tbl>
    <w:p/>
    <w:tbl>
      <w:tblPr>
        <w:tblStyle w:val="TableGrid"/>
        <w:tblW w:type="auto" w:w="0"/>
        <w:jc w:val="center"/>
        <w:tblLook w:firstColumn="1" w:firstRow="1" w:lastColumn="0" w:lastRow="0" w:noHBand="0" w:noVBand="1" w:val="04A0"/>
      </w:tblPr>
      <w:tblGrid>
        <w:gridCol w:w="3298"/>
        <w:gridCol w:w="3298"/>
        <w:gridCol w:w="3298"/>
      </w:tblGrid>
      <w:tr>
        <w:trPr>
          <w:tblHeader w:val="true"/>
        </w:trPr>
        <w:tc>
          <w:tcPr>
            <w:tcW w:type="dxa" w:w="1224"/>
            <w:vAlign w:val="top"/>
            <w:shd w:fill="D9EAF7"/>
          </w:tcPr>
          <w:p>
            <w:pPr>
              <w:spacing w:after="0" w:line="240" w:lineRule="auto"/>
            </w:pPr>
            <w:r/>
            <w:r>
              <w:rPr>
                <w:rFonts w:ascii="Times New Roman" w:hAnsi="Times New Roman" w:eastAsia="Times New Roman"/>
                <w:b/>
                <w:sz w:val="14"/>
              </w:rPr>
              <w:t>Example</w:t>
            </w:r>
          </w:p>
        </w:tc>
        <w:tc>
          <w:tcPr>
            <w:tcW w:type="dxa" w:w="4896"/>
            <w:vAlign w:val="top"/>
            <w:shd w:fill="D9EAF7"/>
          </w:tcPr>
          <w:p>
            <w:pPr>
              <w:spacing w:after="0" w:line="240" w:lineRule="auto"/>
            </w:pPr>
            <w:r/>
            <w:r>
              <w:rPr>
                <w:rFonts w:ascii="Times New Roman" w:hAnsi="Times New Roman" w:eastAsia="Times New Roman"/>
                <w:b/>
                <w:sz w:val="14"/>
              </w:rPr>
              <w:t>Facts</w:t>
            </w:r>
          </w:p>
        </w:tc>
        <w:tc>
          <w:tcPr>
            <w:tcW w:type="dxa" w:w="4392"/>
            <w:vAlign w:val="top"/>
            <w:shd w:fill="D9EAF7"/>
          </w:tcPr>
          <w:p>
            <w:pPr>
              <w:spacing w:after="0" w:line="240" w:lineRule="auto"/>
            </w:pPr>
            <w:r/>
            <w:r>
              <w:rPr>
                <w:rFonts w:ascii="Times New Roman" w:hAnsi="Times New Roman" w:eastAsia="Times New Roman"/>
                <w:b/>
                <w:sz w:val="14"/>
              </w:rPr>
              <w:t>Result under the Directive</w:t>
            </w:r>
          </w:p>
        </w:tc>
      </w:tr>
      <w:tr>
        <w:tc>
          <w:tcPr>
            <w:tcW w:type="dxa" w:w="1224"/>
            <w:vAlign w:val="top"/>
          </w:tcPr>
          <w:p>
            <w:pPr>
              <w:spacing w:after="0" w:line="240" w:lineRule="auto"/>
            </w:pPr>
            <w:r/>
            <w:r>
              <w:rPr>
                <w:rFonts w:ascii="Times New Roman" w:hAnsi="Times New Roman" w:eastAsia="Times New Roman"/>
                <w:b w:val="0"/>
                <w:sz w:val="14"/>
              </w:rPr>
              <w:t>28.2.1</w:t>
            </w:r>
          </w:p>
        </w:tc>
        <w:tc>
          <w:tcPr>
            <w:tcW w:type="dxa" w:w="4896"/>
            <w:vAlign w:val="top"/>
          </w:tcPr>
          <w:p>
            <w:pPr>
              <w:spacing w:after="0" w:line="240" w:lineRule="auto"/>
            </w:pPr>
            <w:r/>
            <w:r>
              <w:rPr>
                <w:rFonts w:ascii="Times New Roman" w:hAnsi="Times New Roman" w:eastAsia="Times New Roman"/>
                <w:b w:val="0"/>
                <w:sz w:val="14"/>
              </w:rPr>
              <w:t>Annapurna Company has only Rs. 100,000 available on 15 Mangsir 2080, but must pay purchases of Rs. 100,000, bank interest of Rs. 50,000 and tax withheld in Kartik of Rs. 10,000.</w:t>
            </w:r>
          </w:p>
        </w:tc>
        <w:tc>
          <w:tcPr>
            <w:tcW w:type="dxa" w:w="4392"/>
            <w:vAlign w:val="top"/>
          </w:tcPr>
          <w:p>
            <w:pPr>
              <w:spacing w:after="0" w:line="240" w:lineRule="auto"/>
            </w:pPr>
            <w:r/>
            <w:r>
              <w:rPr>
                <w:rFonts w:ascii="Times New Roman" w:hAnsi="Times New Roman" w:eastAsia="Times New Roman"/>
                <w:b w:val="0"/>
                <w:sz w:val="14"/>
              </w:rPr>
              <w:t>The tax withheld in Kartik must be paid first because it is treated as held for Government. Other liabilities may be paid only after that priority.</w:t>
            </w:r>
          </w:p>
        </w:tc>
      </w:tr>
      <w:tr>
        <w:tc>
          <w:tcPr>
            <w:tcW w:type="dxa" w:w="1224"/>
            <w:vAlign w:val="top"/>
          </w:tcPr>
          <w:p>
            <w:pPr>
              <w:spacing w:after="0" w:line="240" w:lineRule="auto"/>
            </w:pPr>
            <w:r/>
            <w:r>
              <w:rPr>
                <w:rFonts w:ascii="Times New Roman" w:hAnsi="Times New Roman" w:eastAsia="Times New Roman"/>
                <w:b w:val="0"/>
                <w:sz w:val="14"/>
              </w:rPr>
              <w:t>28.2.2</w:t>
            </w:r>
          </w:p>
        </w:tc>
        <w:tc>
          <w:tcPr>
            <w:tcW w:type="dxa" w:w="4896"/>
            <w:vAlign w:val="top"/>
          </w:tcPr>
          <w:p>
            <w:pPr>
              <w:spacing w:after="0" w:line="240" w:lineRule="auto"/>
            </w:pPr>
            <w:r/>
            <w:r>
              <w:rPr>
                <w:rFonts w:ascii="Times New Roman" w:hAnsi="Times New Roman" w:eastAsia="Times New Roman"/>
                <w:b w:val="0"/>
                <w:sz w:val="14"/>
              </w:rPr>
              <w:t>The company has Rs. 700,000 available on 15 Poush 2080, but must pay purchases, bank principal and interest, court-ordered compensation and Rs. 200,000 withheld tax.</w:t>
            </w:r>
          </w:p>
        </w:tc>
        <w:tc>
          <w:tcPr>
            <w:tcW w:type="dxa" w:w="4392"/>
            <w:vAlign w:val="top"/>
          </w:tcPr>
          <w:p>
            <w:pPr>
              <w:spacing w:after="0" w:line="240" w:lineRule="auto"/>
            </w:pPr>
            <w:r/>
            <w:r>
              <w:rPr>
                <w:rFonts w:ascii="Times New Roman" w:hAnsi="Times New Roman" w:eastAsia="Times New Roman"/>
                <w:b w:val="0"/>
                <w:sz w:val="14"/>
              </w:rPr>
              <w:t>Even where delay in other payments may cause penalty or breach of court/payment obligations, the withheld tax must be deposited first.</w:t>
            </w:r>
          </w:p>
        </w:tc>
      </w:tr>
      <w:tr>
        <w:tc>
          <w:tcPr>
            <w:tcW w:type="dxa" w:w="1224"/>
            <w:vAlign w:val="top"/>
          </w:tcPr>
          <w:p>
            <w:pPr>
              <w:spacing w:after="0" w:line="240" w:lineRule="auto"/>
            </w:pPr>
            <w:r/>
            <w:r>
              <w:rPr>
                <w:rFonts w:ascii="Times New Roman" w:hAnsi="Times New Roman" w:eastAsia="Times New Roman"/>
                <w:b w:val="0"/>
                <w:sz w:val="14"/>
              </w:rPr>
              <w:t>28.2.3</w:t>
            </w:r>
          </w:p>
        </w:tc>
        <w:tc>
          <w:tcPr>
            <w:tcW w:type="dxa" w:w="4896"/>
            <w:vAlign w:val="top"/>
          </w:tcPr>
          <w:p>
            <w:pPr>
              <w:spacing w:after="0" w:line="240" w:lineRule="auto"/>
            </w:pPr>
            <w:r/>
            <w:r>
              <w:rPr>
                <w:rFonts w:ascii="Times New Roman" w:hAnsi="Times New Roman" w:eastAsia="Times New Roman"/>
                <w:b w:val="0"/>
                <w:sz w:val="14"/>
              </w:rPr>
              <w:t>The company withholds tax from a payment to Chandan &amp; Company but attempts to pay other creditors before depositing the withheld amount.</w:t>
            </w:r>
          </w:p>
        </w:tc>
        <w:tc>
          <w:tcPr>
            <w:tcW w:type="dxa" w:w="4392"/>
            <w:vAlign w:val="top"/>
          </w:tcPr>
          <w:p>
            <w:pPr>
              <w:spacing w:after="0" w:line="240" w:lineRule="auto"/>
            </w:pPr>
            <w:r/>
            <w:r>
              <w:rPr>
                <w:rFonts w:ascii="Times New Roman" w:hAnsi="Times New Roman" w:eastAsia="Times New Roman"/>
                <w:b w:val="0"/>
                <w:sz w:val="14"/>
              </w:rPr>
              <w:t>The withheld amount is not available for other creditors and must be deposited to revenue.</w:t>
            </w:r>
          </w:p>
        </w:tc>
      </w:tr>
      <w:tr>
        <w:tc>
          <w:tcPr>
            <w:tcW w:type="dxa" w:w="1224"/>
            <w:vAlign w:val="top"/>
          </w:tcPr>
          <w:p>
            <w:pPr>
              <w:spacing w:after="0" w:line="240" w:lineRule="auto"/>
            </w:pPr>
            <w:r/>
            <w:r>
              <w:rPr>
                <w:rFonts w:ascii="Times New Roman" w:hAnsi="Times New Roman" w:eastAsia="Times New Roman"/>
                <w:b w:val="0"/>
                <w:sz w:val="14"/>
              </w:rPr>
              <w:t>28.2.4</w:t>
            </w:r>
          </w:p>
        </w:tc>
        <w:tc>
          <w:tcPr>
            <w:tcW w:type="dxa" w:w="4896"/>
            <w:vAlign w:val="top"/>
          </w:tcPr>
          <w:p>
            <w:pPr>
              <w:spacing w:after="0" w:line="240" w:lineRule="auto"/>
            </w:pPr>
            <w:r>
              <w:t>The company withholds tax from service-charge payment to N. Company but becomes unable to pay its debts or enters liquidation.</w:t>
            </w:r>
            <w:r>
              <w:rPr>
                <w:rFonts w:ascii="Times New Roman" w:hAnsi="Times New Roman" w:eastAsia="Times New Roman"/>
                <w:b w:val="0"/>
                <w:sz w:val="14"/>
              </w:rPr>
            </w:r>
          </w:p>
        </w:tc>
        <w:tc>
          <w:tcPr>
            <w:tcW w:type="dxa" w:w="4392"/>
            <w:vAlign w:val="top"/>
          </w:tcPr>
          <w:p>
            <w:pPr>
              <w:spacing w:after="0" w:line="240" w:lineRule="auto"/>
            </w:pPr>
            <w:r/>
            <w:r>
              <w:rPr>
                <w:rFonts w:ascii="Times New Roman" w:hAnsi="Times New Roman" w:eastAsia="Times New Roman"/>
                <w:b w:val="0"/>
                <w:sz w:val="14"/>
              </w:rPr>
              <w:t>The tax withheld is not part of the company's estate and the Department has first claim over it.</w:t>
            </w:r>
          </w:p>
        </w:tc>
      </w:tr>
    </w:tbl>
    <w:p/>
    <w:p>
      <w:pPr>
        <w:pStyle w:val="Heading2"/>
        <w:spacing w:after="80" w:line="252" w:lineRule="auto"/>
      </w:pPr>
      <w:r>
        <w:rPr>
          <w:rFonts w:ascii="Times New Roman" w:hAnsi="Times New Roman" w:eastAsia="Times New Roman"/>
          <w:b w:val="0"/>
          <w:i w:val="0"/>
        </w:rPr>
        <w:t>28.3 Recovery of tax arrears from a person in arrears</w:t>
      </w:r>
    </w:p>
    <w:p>
      <w:pPr>
        <w:spacing w:after="80" w:line="252" w:lineRule="auto"/>
      </w:pPr>
      <w:r>
        <w:rPr>
          <w:rFonts w:ascii="Times New Roman" w:hAnsi="Times New Roman" w:eastAsia="Times New Roman"/>
          <w:b w:val="0"/>
          <w:i w:val="0"/>
          <w:sz w:val="21"/>
        </w:rPr>
        <w:t>Where a person fails to pay tax by the due date, the Department may create a Government claim over the property of that person. The claim is made for the tax arrears and related amounts recoverable under the Act. The taxpayer must be given notice of the claim, and the claim must specify the amount and the property affected. The scope of the claim is limited to what is necessary for collection of the arrears.</w:t>
      </w:r>
    </w:p>
    <w:tbl>
      <w:tblPr>
        <w:tblStyle w:val="TableGrid"/>
        <w:tblW w:type="auto" w:w="0"/>
        <w:jc w:val="center"/>
        <w:tblLook w:firstColumn="1" w:firstRow="1" w:lastColumn="0" w:lastRow="0" w:noHBand="0" w:noVBand="1" w:val="04A0"/>
      </w:tblPr>
      <w:tblGrid>
        <w:gridCol w:w="3298"/>
        <w:gridCol w:w="3298"/>
        <w:gridCol w:w="3298"/>
      </w:tblGrid>
      <w:tr>
        <w:trPr>
          <w:tblHeader w:val="true"/>
        </w:trPr>
        <w:tc>
          <w:tcPr>
            <w:tcW w:type="dxa" w:w="1296"/>
            <w:vAlign w:val="top"/>
            <w:shd w:fill="D9EAF7"/>
          </w:tcPr>
          <w:p>
            <w:pPr>
              <w:spacing w:after="0" w:line="240" w:lineRule="auto"/>
            </w:pPr>
            <w:r/>
            <w:r>
              <w:rPr>
                <w:rFonts w:ascii="Times New Roman" w:hAnsi="Times New Roman" w:eastAsia="Times New Roman"/>
                <w:b/>
                <w:sz w:val="15"/>
              </w:rPr>
              <w:t>Sub-section</w:t>
            </w:r>
          </w:p>
        </w:tc>
        <w:tc>
          <w:tcPr>
            <w:tcW w:type="dxa" w:w="3312"/>
            <w:vAlign w:val="top"/>
            <w:shd w:fill="D9EAF7"/>
          </w:tcPr>
          <w:p>
            <w:pPr>
              <w:spacing w:after="0" w:line="240" w:lineRule="auto"/>
            </w:pPr>
            <w:r/>
            <w:r>
              <w:rPr>
                <w:rFonts w:ascii="Times New Roman" w:hAnsi="Times New Roman" w:eastAsia="Times New Roman"/>
                <w:b/>
                <w:sz w:val="15"/>
              </w:rPr>
              <w:t>Matter</w:t>
            </w:r>
          </w:p>
        </w:tc>
        <w:tc>
          <w:tcPr>
            <w:tcW w:type="dxa" w:w="5904"/>
            <w:vAlign w:val="top"/>
            <w:shd w:fill="D9EAF7"/>
          </w:tcPr>
          <w:p>
            <w:pPr>
              <w:spacing w:after="0" w:line="240" w:lineRule="auto"/>
            </w:pPr>
            <w:r/>
            <w:r>
              <w:rPr>
                <w:rFonts w:ascii="Times New Roman" w:hAnsi="Times New Roman" w:eastAsia="Times New Roman"/>
                <w:b/>
                <w:sz w:val="15"/>
              </w:rPr>
              <w:t>Main rule</w:t>
            </w:r>
          </w:p>
        </w:tc>
      </w:tr>
      <w:tr>
        <w:tc>
          <w:tcPr>
            <w:tcW w:type="dxa" w:w="1296"/>
            <w:vAlign w:val="top"/>
          </w:tcPr>
          <w:p>
            <w:pPr>
              <w:spacing w:after="0" w:line="240" w:lineRule="auto"/>
            </w:pPr>
            <w:r/>
            <w:r>
              <w:rPr>
                <w:rFonts w:ascii="Times New Roman" w:hAnsi="Times New Roman" w:eastAsia="Times New Roman"/>
                <w:b w:val="0"/>
                <w:sz w:val="15"/>
              </w:rPr>
              <w:t>28.3.1</w:t>
            </w:r>
          </w:p>
        </w:tc>
        <w:tc>
          <w:tcPr>
            <w:tcW w:type="dxa" w:w="3312"/>
            <w:vAlign w:val="top"/>
          </w:tcPr>
          <w:p>
            <w:pPr>
              <w:spacing w:after="0" w:line="240" w:lineRule="auto"/>
            </w:pPr>
            <w:r/>
            <w:r>
              <w:rPr>
                <w:rFonts w:ascii="Times New Roman" w:hAnsi="Times New Roman" w:eastAsia="Times New Roman"/>
                <w:b w:val="0"/>
                <w:sz w:val="15"/>
              </w:rPr>
              <w:t>Creation of Government claim over property</w:t>
            </w:r>
          </w:p>
        </w:tc>
        <w:tc>
          <w:tcPr>
            <w:tcW w:type="dxa" w:w="5904"/>
            <w:vAlign w:val="top"/>
          </w:tcPr>
          <w:p>
            <w:pPr>
              <w:spacing w:after="0" w:line="240" w:lineRule="auto"/>
            </w:pPr>
            <w:r/>
            <w:r>
              <w:rPr>
                <w:rFonts w:ascii="Times New Roman" w:hAnsi="Times New Roman" w:eastAsia="Times New Roman"/>
                <w:b w:val="0"/>
                <w:sz w:val="15"/>
              </w:rPr>
              <w:t>A claim may be created over property of the person in arrears so that unpaid tax can be recovered.</w:t>
            </w:r>
          </w:p>
        </w:tc>
      </w:tr>
      <w:tr>
        <w:tc>
          <w:tcPr>
            <w:tcW w:type="dxa" w:w="1296"/>
            <w:vAlign w:val="top"/>
          </w:tcPr>
          <w:p>
            <w:pPr>
              <w:spacing w:after="0" w:line="240" w:lineRule="auto"/>
            </w:pPr>
            <w:r/>
            <w:r>
              <w:rPr>
                <w:rFonts w:ascii="Times New Roman" w:hAnsi="Times New Roman" w:eastAsia="Times New Roman"/>
                <w:b w:val="0"/>
                <w:sz w:val="15"/>
              </w:rPr>
              <w:t>28.3.2</w:t>
            </w:r>
          </w:p>
        </w:tc>
        <w:tc>
          <w:tcPr>
            <w:tcW w:type="dxa" w:w="3312"/>
            <w:vAlign w:val="top"/>
          </w:tcPr>
          <w:p>
            <w:pPr>
              <w:spacing w:after="0" w:line="240" w:lineRule="auto"/>
            </w:pPr>
            <w:r/>
            <w:r>
              <w:rPr>
                <w:rFonts w:ascii="Times New Roman" w:hAnsi="Times New Roman" w:eastAsia="Times New Roman"/>
                <w:b w:val="0"/>
                <w:sz w:val="15"/>
              </w:rPr>
              <w:t>Notice of claim</w:t>
            </w:r>
          </w:p>
        </w:tc>
        <w:tc>
          <w:tcPr>
            <w:tcW w:type="dxa" w:w="5904"/>
            <w:vAlign w:val="top"/>
          </w:tcPr>
          <w:p>
            <w:pPr>
              <w:spacing w:after="0" w:line="240" w:lineRule="auto"/>
            </w:pPr>
            <w:r/>
            <w:r>
              <w:rPr>
                <w:rFonts w:ascii="Times New Roman" w:hAnsi="Times New Roman" w:eastAsia="Times New Roman"/>
                <w:b w:val="0"/>
                <w:sz w:val="15"/>
              </w:rPr>
              <w:t>The person must be notified, and where required the claim must be registered with the relevant authority so that the claim is effective against the property.</w:t>
            </w:r>
          </w:p>
        </w:tc>
      </w:tr>
      <w:tr>
        <w:tc>
          <w:tcPr>
            <w:tcW w:type="dxa" w:w="1296"/>
            <w:vAlign w:val="top"/>
          </w:tcPr>
          <w:p>
            <w:pPr>
              <w:spacing w:after="0" w:line="240" w:lineRule="auto"/>
            </w:pPr>
            <w:r/>
            <w:r>
              <w:rPr>
                <w:rFonts w:ascii="Times New Roman" w:hAnsi="Times New Roman" w:eastAsia="Times New Roman"/>
                <w:b w:val="0"/>
                <w:sz w:val="15"/>
              </w:rPr>
              <w:t>28.3.3</w:t>
            </w:r>
          </w:p>
        </w:tc>
        <w:tc>
          <w:tcPr>
            <w:tcW w:type="dxa" w:w="3312"/>
            <w:vAlign w:val="top"/>
          </w:tcPr>
          <w:p>
            <w:pPr>
              <w:spacing w:after="0" w:line="240" w:lineRule="auto"/>
            </w:pPr>
            <w:r/>
            <w:r>
              <w:rPr>
                <w:rFonts w:ascii="Times New Roman" w:hAnsi="Times New Roman" w:eastAsia="Times New Roman"/>
                <w:b w:val="0"/>
                <w:sz w:val="15"/>
              </w:rPr>
              <w:t>Limitation of claim</w:t>
            </w:r>
          </w:p>
        </w:tc>
        <w:tc>
          <w:tcPr>
            <w:tcW w:type="dxa" w:w="5904"/>
            <w:vAlign w:val="top"/>
          </w:tcPr>
          <w:p>
            <w:pPr>
              <w:spacing w:after="0" w:line="240" w:lineRule="auto"/>
            </w:pPr>
            <w:r/>
            <w:r>
              <w:rPr>
                <w:rFonts w:ascii="Times New Roman" w:hAnsi="Times New Roman" w:eastAsia="Times New Roman"/>
                <w:b w:val="0"/>
                <w:sz w:val="15"/>
              </w:rPr>
              <w:t>The claim should be confined to the amount and property necessary for recovery of the tax arrears and related expenses.</w:t>
            </w:r>
          </w:p>
        </w:tc>
      </w:tr>
      <w:tr>
        <w:tc>
          <w:tcPr>
            <w:tcW w:type="dxa" w:w="1296"/>
            <w:vAlign w:val="top"/>
          </w:tcPr>
          <w:p>
            <w:pPr>
              <w:spacing w:after="0" w:line="240" w:lineRule="auto"/>
            </w:pPr>
            <w:r/>
            <w:r>
              <w:rPr>
                <w:rFonts w:ascii="Times New Roman" w:hAnsi="Times New Roman" w:eastAsia="Times New Roman"/>
                <w:b w:val="0"/>
                <w:sz w:val="15"/>
              </w:rPr>
              <w:t>28.3.4</w:t>
            </w:r>
          </w:p>
        </w:tc>
        <w:tc>
          <w:tcPr>
            <w:tcW w:type="dxa" w:w="3312"/>
            <w:vAlign w:val="top"/>
          </w:tcPr>
          <w:p>
            <w:pPr>
              <w:spacing w:after="0" w:line="240" w:lineRule="auto"/>
            </w:pPr>
            <w:r/>
            <w:r>
              <w:rPr>
                <w:rFonts w:ascii="Times New Roman" w:hAnsi="Times New Roman" w:eastAsia="Times New Roman"/>
                <w:b w:val="0"/>
                <w:sz w:val="15"/>
              </w:rPr>
              <w:t>Release of property</w:t>
            </w:r>
          </w:p>
        </w:tc>
        <w:tc>
          <w:tcPr>
            <w:tcW w:type="dxa" w:w="5904"/>
            <w:vAlign w:val="top"/>
          </w:tcPr>
          <w:p>
            <w:pPr>
              <w:spacing w:after="0" w:line="240" w:lineRule="auto"/>
            </w:pPr>
            <w:r/>
            <w:r>
              <w:rPr>
                <w:rFonts w:ascii="Times New Roman" w:hAnsi="Times New Roman" w:eastAsia="Times New Roman"/>
                <w:b w:val="0"/>
                <w:sz w:val="15"/>
              </w:rPr>
              <w:t>If the arrears are paid or the claim is otherwise no longer required, the property must be released from the Government claim.</w:t>
            </w:r>
          </w:p>
        </w:tc>
      </w:tr>
      <w:tr>
        <w:tc>
          <w:tcPr>
            <w:tcW w:type="dxa" w:w="1296"/>
            <w:vAlign w:val="top"/>
          </w:tcPr>
          <w:p>
            <w:pPr>
              <w:spacing w:after="0" w:line="240" w:lineRule="auto"/>
            </w:pPr>
            <w:r/>
            <w:r>
              <w:rPr>
                <w:rFonts w:ascii="Times New Roman" w:hAnsi="Times New Roman" w:eastAsia="Times New Roman"/>
                <w:b w:val="0"/>
                <w:sz w:val="15"/>
              </w:rPr>
              <w:t>28.3.5</w:t>
            </w:r>
          </w:p>
        </w:tc>
        <w:tc>
          <w:tcPr>
            <w:tcW w:type="dxa" w:w="3312"/>
            <w:vAlign w:val="top"/>
          </w:tcPr>
          <w:p>
            <w:pPr>
              <w:spacing w:after="0" w:line="240" w:lineRule="auto"/>
            </w:pPr>
            <w:r/>
            <w:r>
              <w:rPr>
                <w:rFonts w:ascii="Times New Roman" w:hAnsi="Times New Roman" w:eastAsia="Times New Roman"/>
                <w:b w:val="0"/>
                <w:sz w:val="15"/>
              </w:rPr>
              <w:t>Recovery by auction sale</w:t>
            </w:r>
          </w:p>
        </w:tc>
        <w:tc>
          <w:tcPr>
            <w:tcW w:type="dxa" w:w="5904"/>
            <w:vAlign w:val="top"/>
          </w:tcPr>
          <w:p>
            <w:pPr>
              <w:spacing w:after="0" w:line="240" w:lineRule="auto"/>
            </w:pPr>
            <w:r/>
            <w:r>
              <w:rPr>
                <w:rFonts w:ascii="Times New Roman" w:hAnsi="Times New Roman" w:eastAsia="Times New Roman"/>
                <w:b w:val="0"/>
                <w:sz w:val="15"/>
              </w:rPr>
              <w:t>If arrears remain unpaid after claim, the claimed property may be sold by auction to recover tax, interest, fees and expenses.</w:t>
            </w:r>
          </w:p>
        </w:tc>
      </w:tr>
    </w:tbl>
    <w:p/>
    <w:p>
      <w:pPr>
        <w:pStyle w:val="Heading2"/>
        <w:spacing w:after="80" w:line="252" w:lineRule="auto"/>
      </w:pPr>
      <w:r>
        <w:rPr>
          <w:rFonts w:ascii="Times New Roman" w:hAnsi="Times New Roman" w:eastAsia="Times New Roman"/>
          <w:b w:val="0"/>
          <w:i w:val="0"/>
        </w:rPr>
        <w:t>28.4 Auction sale of claimed property</w:t>
      </w:r>
    </w:p>
    <w:p>
      <w:pPr>
        <w:spacing w:after="80" w:line="252" w:lineRule="auto"/>
      </w:pPr>
      <w:r>
        <w:rPr>
          <w:rFonts w:ascii="Times New Roman" w:hAnsi="Times New Roman" w:eastAsia="Times New Roman"/>
          <w:b w:val="0"/>
          <w:i w:val="0"/>
          <w:sz w:val="21"/>
        </w:rPr>
        <w:t>Where property claimed for arrears is to be sold, the Department or office must follow the auction-sale process. The property to be sold, the terms of sale and the place suitable to the nature of the property must be determined. For example, immovable property should be sold in a manner appropriate to its location and nature.</w:t>
      </w:r>
    </w:p>
    <w:tbl>
      <w:tblPr>
        <w:tblStyle w:val="TableGrid"/>
        <w:tblW w:type="auto" w:w="0"/>
        <w:jc w:val="center"/>
        <w:tblLook w:firstColumn="1" w:firstRow="1" w:lastColumn="0" w:lastRow="0" w:noHBand="0" w:noVBand="1" w:val="04A0"/>
      </w:tblPr>
      <w:tblGrid>
        <w:gridCol w:w="3298"/>
        <w:gridCol w:w="3298"/>
        <w:gridCol w:w="3298"/>
      </w:tblGrid>
      <w:tr>
        <w:trPr>
          <w:tblHeader w:val="true"/>
        </w:trPr>
        <w:tc>
          <w:tcPr>
            <w:tcW w:type="dxa" w:w="1296"/>
            <w:vAlign w:val="top"/>
            <w:shd w:fill="D9EAF7"/>
          </w:tcPr>
          <w:p>
            <w:pPr>
              <w:spacing w:after="0" w:line="240" w:lineRule="auto"/>
            </w:pPr>
            <w:r/>
            <w:r>
              <w:rPr>
                <w:rFonts w:ascii="Times New Roman" w:hAnsi="Times New Roman" w:eastAsia="Times New Roman"/>
                <w:b/>
                <w:sz w:val="15"/>
              </w:rPr>
              <w:t>Sub-section</w:t>
            </w:r>
          </w:p>
        </w:tc>
        <w:tc>
          <w:tcPr>
            <w:tcW w:type="dxa" w:w="3312"/>
            <w:vAlign w:val="top"/>
            <w:shd w:fill="D9EAF7"/>
          </w:tcPr>
          <w:p>
            <w:pPr>
              <w:spacing w:after="0" w:line="240" w:lineRule="auto"/>
            </w:pPr>
            <w:r/>
            <w:r>
              <w:rPr>
                <w:rFonts w:ascii="Times New Roman" w:hAnsi="Times New Roman" w:eastAsia="Times New Roman"/>
                <w:b/>
                <w:sz w:val="15"/>
              </w:rPr>
              <w:t>Auction-sale step</w:t>
            </w:r>
          </w:p>
        </w:tc>
        <w:tc>
          <w:tcPr>
            <w:tcW w:type="dxa" w:w="5904"/>
            <w:vAlign w:val="top"/>
            <w:shd w:fill="D9EAF7"/>
          </w:tcPr>
          <w:p>
            <w:pPr>
              <w:spacing w:after="0" w:line="240" w:lineRule="auto"/>
            </w:pPr>
            <w:r/>
            <w:r>
              <w:rPr>
                <w:rFonts w:ascii="Times New Roman" w:hAnsi="Times New Roman" w:eastAsia="Times New Roman"/>
                <w:b/>
                <w:sz w:val="15"/>
              </w:rPr>
              <w:t>Directive treatment</w:t>
            </w:r>
          </w:p>
        </w:tc>
      </w:tr>
      <w:tr>
        <w:tc>
          <w:tcPr>
            <w:tcW w:type="dxa" w:w="1296"/>
            <w:vAlign w:val="top"/>
          </w:tcPr>
          <w:p>
            <w:pPr>
              <w:spacing w:after="0" w:line="240" w:lineRule="auto"/>
            </w:pPr>
            <w:r/>
            <w:r>
              <w:rPr>
                <w:rFonts w:ascii="Times New Roman" w:hAnsi="Times New Roman" w:eastAsia="Times New Roman"/>
                <w:b w:val="0"/>
                <w:sz w:val="15"/>
              </w:rPr>
              <w:t>28.4.1</w:t>
            </w:r>
          </w:p>
        </w:tc>
        <w:tc>
          <w:tcPr>
            <w:tcW w:type="dxa" w:w="3312"/>
            <w:vAlign w:val="top"/>
          </w:tcPr>
          <w:p>
            <w:pPr>
              <w:spacing w:after="0" w:line="240" w:lineRule="auto"/>
            </w:pPr>
            <w:r/>
            <w:r>
              <w:rPr>
                <w:rFonts w:ascii="Times New Roman" w:hAnsi="Times New Roman" w:eastAsia="Times New Roman"/>
                <w:b w:val="0"/>
                <w:sz w:val="15"/>
              </w:rPr>
              <w:t>Notice of auction sale</w:t>
            </w:r>
          </w:p>
        </w:tc>
        <w:tc>
          <w:tcPr>
            <w:tcW w:type="dxa" w:w="5904"/>
            <w:vAlign w:val="top"/>
          </w:tcPr>
          <w:p>
            <w:pPr>
              <w:spacing w:after="0" w:line="240" w:lineRule="auto"/>
            </w:pPr>
            <w:r/>
            <w:r>
              <w:rPr>
                <w:rFonts w:ascii="Times New Roman" w:hAnsi="Times New Roman" w:eastAsia="Times New Roman"/>
                <w:b w:val="0"/>
                <w:sz w:val="15"/>
              </w:rPr>
              <w:t>A notice of auction sale must be issued, stating the property, arrears and other necessary particulars.</w:t>
            </w:r>
          </w:p>
        </w:tc>
      </w:tr>
      <w:tr>
        <w:tc>
          <w:tcPr>
            <w:tcW w:type="dxa" w:w="1296"/>
            <w:vAlign w:val="top"/>
          </w:tcPr>
          <w:p>
            <w:pPr>
              <w:spacing w:after="0" w:line="240" w:lineRule="auto"/>
            </w:pPr>
            <w:r/>
            <w:r>
              <w:rPr>
                <w:rFonts w:ascii="Times New Roman" w:hAnsi="Times New Roman" w:eastAsia="Times New Roman"/>
                <w:b w:val="0"/>
                <w:sz w:val="15"/>
              </w:rPr>
              <w:t>28.4.2</w:t>
            </w:r>
          </w:p>
        </w:tc>
        <w:tc>
          <w:tcPr>
            <w:tcW w:type="dxa" w:w="3312"/>
            <w:vAlign w:val="top"/>
          </w:tcPr>
          <w:p>
            <w:pPr>
              <w:spacing w:after="0" w:line="240" w:lineRule="auto"/>
            </w:pPr>
            <w:r/>
            <w:r>
              <w:rPr>
                <w:rFonts w:ascii="Times New Roman" w:hAnsi="Times New Roman" w:eastAsia="Times New Roman"/>
                <w:b w:val="0"/>
                <w:sz w:val="15"/>
              </w:rPr>
              <w:t>Taking possession</w:t>
            </w:r>
          </w:p>
        </w:tc>
        <w:tc>
          <w:tcPr>
            <w:tcW w:type="dxa" w:w="5904"/>
            <w:vAlign w:val="top"/>
          </w:tcPr>
          <w:p>
            <w:pPr>
              <w:spacing w:after="0" w:line="240" w:lineRule="auto"/>
            </w:pPr>
            <w:r/>
            <w:r>
              <w:rPr>
                <w:rFonts w:ascii="Times New Roman" w:hAnsi="Times New Roman" w:eastAsia="Times New Roman"/>
                <w:b w:val="0"/>
                <w:sz w:val="15"/>
              </w:rPr>
              <w:t>The property to be auctioned may be taken into possession or otherwise controlled so that the sale can be completed.</w:t>
            </w:r>
          </w:p>
        </w:tc>
      </w:tr>
      <w:tr>
        <w:tc>
          <w:tcPr>
            <w:tcW w:type="dxa" w:w="1296"/>
            <w:vAlign w:val="top"/>
          </w:tcPr>
          <w:p>
            <w:pPr>
              <w:spacing w:after="0" w:line="240" w:lineRule="auto"/>
            </w:pPr>
            <w:r/>
            <w:r>
              <w:rPr>
                <w:rFonts w:ascii="Times New Roman" w:hAnsi="Times New Roman" w:eastAsia="Times New Roman"/>
                <w:b w:val="0"/>
                <w:sz w:val="15"/>
              </w:rPr>
              <w:t>28.4.3</w:t>
            </w:r>
          </w:p>
        </w:tc>
        <w:tc>
          <w:tcPr>
            <w:tcW w:type="dxa" w:w="3312"/>
            <w:vAlign w:val="top"/>
          </w:tcPr>
          <w:p>
            <w:pPr>
              <w:spacing w:after="0" w:line="240" w:lineRule="auto"/>
            </w:pPr>
            <w:r/>
            <w:r>
              <w:rPr>
                <w:rFonts w:ascii="Times New Roman" w:hAnsi="Times New Roman" w:eastAsia="Times New Roman"/>
                <w:b w:val="0"/>
                <w:sz w:val="15"/>
              </w:rPr>
              <w:t>Auction sale</w:t>
            </w:r>
          </w:p>
        </w:tc>
        <w:tc>
          <w:tcPr>
            <w:tcW w:type="dxa" w:w="5904"/>
            <w:vAlign w:val="top"/>
          </w:tcPr>
          <w:p>
            <w:pPr>
              <w:spacing w:after="0" w:line="240" w:lineRule="auto"/>
            </w:pPr>
            <w:r/>
            <w:r>
              <w:rPr>
                <w:rFonts w:ascii="Times New Roman" w:hAnsi="Times New Roman" w:eastAsia="Times New Roman"/>
                <w:b w:val="0"/>
                <w:sz w:val="15"/>
              </w:rPr>
              <w:t>The claimed property is sold through the prescribed procedure, with attention to fair process and the nature of the property.</w:t>
            </w:r>
          </w:p>
        </w:tc>
      </w:tr>
      <w:tr>
        <w:tc>
          <w:tcPr>
            <w:tcW w:type="dxa" w:w="1296"/>
            <w:vAlign w:val="top"/>
          </w:tcPr>
          <w:p>
            <w:pPr>
              <w:spacing w:after="0" w:line="240" w:lineRule="auto"/>
            </w:pPr>
            <w:r/>
            <w:r>
              <w:rPr>
                <w:rFonts w:ascii="Times New Roman" w:hAnsi="Times New Roman" w:eastAsia="Times New Roman"/>
                <w:b w:val="0"/>
                <w:sz w:val="15"/>
              </w:rPr>
              <w:t>28.4.4</w:t>
            </w:r>
          </w:p>
        </w:tc>
        <w:tc>
          <w:tcPr>
            <w:tcW w:type="dxa" w:w="3312"/>
            <w:vAlign w:val="top"/>
          </w:tcPr>
          <w:p>
            <w:pPr>
              <w:spacing w:after="0" w:line="240" w:lineRule="auto"/>
            </w:pPr>
            <w:r/>
            <w:r>
              <w:rPr>
                <w:rFonts w:ascii="Times New Roman" w:hAnsi="Times New Roman" w:eastAsia="Times New Roman"/>
                <w:b w:val="0"/>
                <w:sz w:val="15"/>
              </w:rPr>
              <w:t>Application of proceeds</w:t>
            </w:r>
          </w:p>
        </w:tc>
        <w:tc>
          <w:tcPr>
            <w:tcW w:type="dxa" w:w="5904"/>
            <w:vAlign w:val="top"/>
          </w:tcPr>
          <w:p>
            <w:pPr>
              <w:spacing w:after="0" w:line="240" w:lineRule="auto"/>
            </w:pPr>
            <w:r/>
            <w:r>
              <w:rPr>
                <w:rFonts w:ascii="Times New Roman" w:hAnsi="Times New Roman" w:eastAsia="Times New Roman"/>
                <w:b w:val="0"/>
                <w:sz w:val="15"/>
              </w:rPr>
              <w:t>Proceeds are applied to tax arrears, interest, fees and expenses recoverable under the Act.</w:t>
            </w:r>
          </w:p>
        </w:tc>
      </w:tr>
      <w:tr>
        <w:tc>
          <w:tcPr>
            <w:tcW w:type="dxa" w:w="1296"/>
            <w:vAlign w:val="top"/>
          </w:tcPr>
          <w:p>
            <w:pPr>
              <w:spacing w:after="0" w:line="240" w:lineRule="auto"/>
            </w:pPr>
            <w:r/>
            <w:r>
              <w:rPr>
                <w:rFonts w:ascii="Times New Roman" w:hAnsi="Times New Roman" w:eastAsia="Times New Roman"/>
                <w:b w:val="0"/>
                <w:sz w:val="15"/>
              </w:rPr>
              <w:t>28.4.5</w:t>
            </w:r>
          </w:p>
        </w:tc>
        <w:tc>
          <w:tcPr>
            <w:tcW w:type="dxa" w:w="3312"/>
            <w:vAlign w:val="top"/>
          </w:tcPr>
          <w:p>
            <w:pPr>
              <w:spacing w:after="0" w:line="240" w:lineRule="auto"/>
            </w:pPr>
            <w:r/>
            <w:r>
              <w:rPr>
                <w:rFonts w:ascii="Times New Roman" w:hAnsi="Times New Roman" w:eastAsia="Times New Roman"/>
                <w:b w:val="0"/>
                <w:sz w:val="15"/>
              </w:rPr>
              <w:t>Notice of set-off</w:t>
            </w:r>
          </w:p>
        </w:tc>
        <w:tc>
          <w:tcPr>
            <w:tcW w:type="dxa" w:w="5904"/>
            <w:vAlign w:val="top"/>
          </w:tcPr>
          <w:p>
            <w:pPr>
              <w:spacing w:after="0" w:line="240" w:lineRule="auto"/>
            </w:pPr>
            <w:r/>
            <w:r>
              <w:rPr>
                <w:rFonts w:ascii="Times New Roman" w:hAnsi="Times New Roman" w:eastAsia="Times New Roman"/>
                <w:b w:val="0"/>
                <w:sz w:val="15"/>
              </w:rPr>
              <w:t>The person concerned must be informed of the amount applied against the tax arrears.</w:t>
            </w:r>
          </w:p>
        </w:tc>
      </w:tr>
      <w:tr>
        <w:tc>
          <w:tcPr>
            <w:tcW w:type="dxa" w:w="1296"/>
            <w:vAlign w:val="top"/>
          </w:tcPr>
          <w:p>
            <w:pPr>
              <w:spacing w:after="0" w:line="240" w:lineRule="auto"/>
            </w:pPr>
            <w:r/>
            <w:r>
              <w:rPr>
                <w:rFonts w:ascii="Times New Roman" w:hAnsi="Times New Roman" w:eastAsia="Times New Roman"/>
                <w:b w:val="0"/>
                <w:sz w:val="15"/>
              </w:rPr>
              <w:t>28.4.6</w:t>
            </w:r>
          </w:p>
        </w:tc>
        <w:tc>
          <w:tcPr>
            <w:tcW w:type="dxa" w:w="3312"/>
            <w:vAlign w:val="top"/>
          </w:tcPr>
          <w:p>
            <w:pPr>
              <w:spacing w:after="0" w:line="240" w:lineRule="auto"/>
            </w:pPr>
            <w:r/>
            <w:r>
              <w:rPr>
                <w:rFonts w:ascii="Times New Roman" w:hAnsi="Times New Roman" w:eastAsia="Times New Roman"/>
                <w:b w:val="0"/>
                <w:sz w:val="15"/>
              </w:rPr>
              <w:t>Further action if proceeds are insufficient</w:t>
            </w:r>
          </w:p>
        </w:tc>
        <w:tc>
          <w:tcPr>
            <w:tcW w:type="dxa" w:w="5904"/>
            <w:vAlign w:val="top"/>
          </w:tcPr>
          <w:p>
            <w:pPr>
              <w:spacing w:after="0" w:line="240" w:lineRule="auto"/>
            </w:pPr>
            <w:r/>
            <w:r>
              <w:rPr>
                <w:rFonts w:ascii="Times New Roman" w:hAnsi="Times New Roman" w:eastAsia="Times New Roman"/>
                <w:b w:val="0"/>
                <w:sz w:val="15"/>
              </w:rPr>
              <w:t>If sale proceeds are not sufficient to recover all arrears, further recovery action may be taken for the remaining amount.</w:t>
            </w:r>
          </w:p>
        </w:tc>
      </w:tr>
    </w:tbl>
    <w:p/>
    <w:p>
      <w:pPr>
        <w:pStyle w:val="Heading2"/>
        <w:spacing w:after="80" w:line="252" w:lineRule="auto"/>
      </w:pPr>
      <w:r>
        <w:rPr>
          <w:rFonts w:ascii="Times New Roman" w:hAnsi="Times New Roman" w:eastAsia="Times New Roman"/>
          <w:b w:val="0"/>
          <w:i w:val="0"/>
        </w:rPr>
        <w:t>28.5 Recovery of arrears from officers of an entity</w:t>
      </w:r>
    </w:p>
    <w:p>
      <w:pPr>
        <w:spacing w:after="80" w:line="252" w:lineRule="auto"/>
      </w:pPr>
      <w:r>
        <w:rPr>
          <w:rFonts w:ascii="Times New Roman" w:hAnsi="Times New Roman" w:eastAsia="Times New Roman"/>
          <w:b w:val="0"/>
          <w:i w:val="0"/>
          <w:sz w:val="21"/>
        </w:rPr>
        <w:t>If an entity fails to pay tax, the Act may make one or more officers or managers responsible for the unpaid tax. This applies to persons currently serving as officers, or persons who were officers within the relevant previous period, where the unpaid tax arose during the period of their responsibility. Such officers may be pursued for the entity's unpaid tax as provided by section 107.</w:t>
      </w:r>
    </w:p>
    <w:p>
      <w:pPr>
        <w:pStyle w:val="Heading2"/>
        <w:spacing w:after="80" w:line="252" w:lineRule="auto"/>
      </w:pPr>
      <w:r>
        <w:rPr>
          <w:rFonts w:ascii="Times New Roman" w:hAnsi="Times New Roman" w:eastAsia="Times New Roman"/>
          <w:b w:val="0"/>
          <w:i w:val="0"/>
        </w:rPr>
        <w:t>28.6 Recovery from a receiver</w:t>
      </w:r>
    </w:p>
    <w:p>
      <w:pPr>
        <w:spacing w:after="80" w:line="252" w:lineRule="auto"/>
      </w:pPr>
      <w:r>
        <w:rPr>
          <w:rFonts w:ascii="Times New Roman" w:hAnsi="Times New Roman" w:eastAsia="Times New Roman"/>
          <w:b w:val="0"/>
          <w:i w:val="0"/>
          <w:sz w:val="21"/>
        </w:rPr>
        <w:t>A receiver includes a liquidator or person appointed to manage the property and liabilities of a company in liquidation or bankruptcy; a receiver or manager appointed by a court or outside court; a person in possession of mortgaged property; an heir, administrator or person managing the estate of a deceased natural person; and a person managing the affairs or property of an incapacitated natural person.</w:t>
      </w:r>
    </w:p>
    <w:p>
      <w:pPr>
        <w:pStyle w:val="Heading3"/>
        <w:spacing w:after="80" w:line="252" w:lineRule="auto"/>
      </w:pPr>
      <w:r>
        <w:rPr>
          <w:rFonts w:ascii="Times New Roman" w:hAnsi="Times New Roman" w:eastAsia="Times New Roman"/>
          <w:b w:val="0"/>
          <w:i w:val="0"/>
        </w:rPr>
        <w:t>28.6.1 Duty of the Department</w:t>
      </w:r>
    </w:p>
    <w:p>
      <w:pPr>
        <w:spacing w:after="80" w:line="252" w:lineRule="auto"/>
      </w:pPr>
      <w:r>
        <w:rPr>
          <w:rFonts w:ascii="Times New Roman" w:hAnsi="Times New Roman" w:eastAsia="Times New Roman"/>
          <w:b w:val="0"/>
          <w:i w:val="0"/>
          <w:sz w:val="21"/>
        </w:rPr>
        <w:t>The Department may notify a receiver of the amount of tax arrears of the person whose property is under receivership. The notice enables the receiver to set aside and pay tax from proceeds of property handled by the receiver.</w:t>
      </w:r>
    </w:p>
    <w:p>
      <w:pPr>
        <w:pStyle w:val="Heading3"/>
        <w:spacing w:after="80" w:line="252" w:lineRule="auto"/>
      </w:pPr>
      <w:r>
        <w:rPr>
          <w:rFonts w:ascii="Times New Roman" w:hAnsi="Times New Roman" w:eastAsia="Times New Roman"/>
          <w:b w:val="0"/>
          <w:i w:val="0"/>
        </w:rPr>
        <w:t>28.6.2 Duty of the receiver</w:t>
      </w:r>
    </w:p>
    <w:p>
      <w:pPr>
        <w:pStyle w:val="ListBullet"/>
        <w:spacing w:after="80" w:line="252" w:lineRule="auto"/>
      </w:pPr>
      <w:r>
        <w:rPr>
          <w:rFonts w:ascii="Times New Roman" w:hAnsi="Times New Roman" w:eastAsia="Times New Roman"/>
          <w:b w:val="0"/>
          <w:i w:val="0"/>
        </w:rPr>
        <w:t>Every receiver must give written information to the Department that he or she is acting as receiver or has been appointed in that capacity.</w:t>
      </w:r>
    </w:p>
    <w:p>
      <w:pPr>
        <w:pStyle w:val="ListBullet"/>
        <w:spacing w:after="80" w:line="252" w:lineRule="auto"/>
      </w:pPr>
      <w:r>
        <w:rPr>
          <w:rFonts w:ascii="Times New Roman" w:hAnsi="Times New Roman" w:eastAsia="Times New Roman"/>
          <w:b w:val="0"/>
          <w:i w:val="0"/>
        </w:rPr>
        <w:t>If notified by the Department of tax arrears, the receiver must set aside from the taxpayer's property or proceeds of sale an amount sufficient to meet the arrears, to the extent of the property or proceeds handled by the receiver.</w:t>
      </w:r>
    </w:p>
    <w:p>
      <w:pPr>
        <w:pStyle w:val="ListBullet"/>
        <w:spacing w:after="80" w:line="252" w:lineRule="auto"/>
      </w:pPr>
      <w:r>
        <w:rPr>
          <w:rFonts w:ascii="Times New Roman" w:hAnsi="Times New Roman" w:eastAsia="Times New Roman"/>
          <w:b w:val="0"/>
          <w:i w:val="0"/>
        </w:rPr>
        <w:t>The amount set aside for tax must be deposited with the Department or concerned office within the prescribed time.</w:t>
      </w:r>
    </w:p>
    <w:p>
      <w:pPr>
        <w:pStyle w:val="ListBullet"/>
        <w:spacing w:after="80" w:line="252" w:lineRule="auto"/>
      </w:pPr>
      <w:r>
        <w:rPr>
          <w:rFonts w:ascii="Times New Roman" w:hAnsi="Times New Roman" w:eastAsia="Times New Roman"/>
          <w:b w:val="0"/>
          <w:i w:val="0"/>
        </w:rPr>
        <w:t>If the receiver fails to set aside or deposit the amount as required, the receiver may become personally liable for the amount that should have been set aside or paid.</w:t>
      </w:r>
    </w:p>
    <w:p>
      <w:pPr>
        <w:pStyle w:val="Heading2"/>
        <w:spacing w:after="80" w:line="252" w:lineRule="auto"/>
      </w:pPr>
      <w:r>
        <w:rPr>
          <w:rFonts w:ascii="Times New Roman" w:hAnsi="Times New Roman" w:eastAsia="Times New Roman"/>
          <w:b w:val="0"/>
          <w:i w:val="0"/>
        </w:rPr>
        <w:t>28.7 Recovery from a person who must pay money to the person in tax arrears</w:t>
      </w:r>
    </w:p>
    <w:p>
      <w:pPr>
        <w:spacing w:after="80" w:line="252" w:lineRule="auto"/>
      </w:pPr>
      <w:r>
        <w:rPr>
          <w:rFonts w:ascii="Times New Roman" w:hAnsi="Times New Roman" w:eastAsia="Times New Roman"/>
          <w:b w:val="0"/>
          <w:i w:val="0"/>
          <w:sz w:val="21"/>
        </w:rPr>
        <w:t>Where a person is required to pay money to a person having tax arrears, holds money on behalf of that person, holds money for payment to that person through a third party, or is authorised to pay that money to the tax debtor, the Department may order that person to pay the amount to the Department up to the tax arrears.</w:t>
      </w:r>
    </w:p>
    <w:p>
      <w:pPr>
        <w:spacing w:after="80" w:line="252" w:lineRule="auto"/>
      </w:pPr>
      <w:r>
        <w:rPr>
          <w:rFonts w:ascii="Times New Roman" w:hAnsi="Times New Roman" w:eastAsia="Times New Roman"/>
          <w:b w:val="0"/>
          <w:i w:val="0"/>
          <w:sz w:val="21"/>
        </w:rPr>
        <w:t>The person receiving the order must comply and pay the ordered amount. Once payment is made to the Department under the order, the payer is discharged to the same extent from the liability owed to the tax debtor. The person may also recover or adjust the amount as allowed by the Act.</w:t>
      </w:r>
    </w:p>
    <w:p>
      <w:pPr>
        <w:pStyle w:val="Heading2"/>
        <w:spacing w:after="80" w:line="252" w:lineRule="auto"/>
      </w:pPr>
      <w:r>
        <w:rPr>
          <w:rFonts w:ascii="Times New Roman" w:hAnsi="Times New Roman" w:eastAsia="Times New Roman"/>
          <w:b w:val="0"/>
          <w:i w:val="0"/>
        </w:rPr>
        <w:t>28.8 Recovery from agent of a non-resident person</w:t>
      </w:r>
    </w:p>
    <w:p>
      <w:pPr>
        <w:spacing w:after="80" w:line="252" w:lineRule="auto"/>
      </w:pPr>
      <w:r>
        <w:rPr>
          <w:rFonts w:ascii="Times New Roman" w:hAnsi="Times New Roman" w:eastAsia="Times New Roman"/>
          <w:b w:val="0"/>
          <w:i w:val="0"/>
          <w:sz w:val="21"/>
        </w:rPr>
        <w:t>If a non-resident person has tax arrears in Nepal, the Department may order the person who possesses property of the non-resident or acts as agent of the non-resident to pay an amount up to the arrears. The agent must comply with the order. An agent who pays tax on behalf of the non-resident obtains rights against the non-resident to the extent of the payment, and may retain property or amounts of the non-resident as permitted by the Act.</w:t>
      </w:r>
    </w:p>
    <w:p>
      <w:pPr>
        <w:pStyle w:val="Heading2"/>
        <w:spacing w:after="80" w:line="252" w:lineRule="auto"/>
      </w:pPr>
      <w:r>
        <w:rPr>
          <w:rFonts w:ascii="Times New Roman" w:hAnsi="Times New Roman" w:eastAsia="Times New Roman"/>
          <w:b w:val="0"/>
          <w:i w:val="0"/>
        </w:rPr>
        <w:t>28.9 Joint remedies for tax payment</w:t>
      </w:r>
    </w:p>
    <w:p>
      <w:pPr>
        <w:spacing w:after="80" w:line="252" w:lineRule="auto"/>
      </w:pPr>
      <w:r>
        <w:rPr>
          <w:rFonts w:ascii="Times New Roman" w:hAnsi="Times New Roman" w:eastAsia="Times New Roman"/>
          <w:b w:val="0"/>
          <w:i w:val="0"/>
          <w:sz w:val="21"/>
        </w:rPr>
        <w:t>The Department may use one or more collection remedies provided by the Act. Use of one remedy does not prevent the Department from using another remedy until the tax arrears, interest, fees and recoverable expenses are fully collected.</w:t>
      </w:r>
    </w:p>
    <w:p>
      <w:pPr>
        <w:pStyle w:val="Heading2"/>
        <w:spacing w:after="80" w:line="252" w:lineRule="auto"/>
      </w:pPr>
      <w:r>
        <w:rPr>
          <w:rFonts w:ascii="Times New Roman" w:hAnsi="Times New Roman" w:eastAsia="Times New Roman"/>
          <w:b w:val="0"/>
          <w:i w:val="0"/>
        </w:rPr>
        <w:t>28.10 Responsibility of the person receiving the real benefit of a business</w:t>
      </w:r>
    </w:p>
    <w:p>
      <w:pPr>
        <w:spacing w:after="80" w:line="252" w:lineRule="auto"/>
      </w:pPr>
      <w:r>
        <w:rPr>
          <w:rFonts w:ascii="Times New Roman" w:hAnsi="Times New Roman" w:eastAsia="Times New Roman"/>
          <w:b w:val="0"/>
          <w:i w:val="0"/>
          <w:sz w:val="21"/>
        </w:rPr>
        <w:t>Where the real benefit of a business is received by a person other than the apparent operator, the person who receives the real business benefit may be made responsible for tax connected with that business. This provision prevents a person from escaping tax collection by placing the business in another person's name while retaining the economic benefit.</w:t>
      </w:r>
    </w:p>
    <w:p>
      <w:pPr>
        <w:pStyle w:val="Heading2"/>
        <w:spacing w:after="80" w:line="252" w:lineRule="auto"/>
      </w:pPr>
      <w:r>
        <w:rPr>
          <w:rFonts w:ascii="Times New Roman" w:hAnsi="Times New Roman" w:eastAsia="Times New Roman"/>
          <w:b w:val="0"/>
          <w:i w:val="0"/>
        </w:rPr>
        <w:t>28.11 Filing a case where the person in tax arrears does not deposit the arrears</w:t>
      </w:r>
    </w:p>
    <w:p>
      <w:pPr>
        <w:spacing w:after="80" w:line="252" w:lineRule="auto"/>
      </w:pPr>
      <w:r>
        <w:rPr>
          <w:rFonts w:ascii="Times New Roman" w:hAnsi="Times New Roman" w:eastAsia="Times New Roman"/>
          <w:b w:val="0"/>
          <w:i w:val="0"/>
          <w:sz w:val="21"/>
        </w:rPr>
        <w:t>If tax arrears remain unpaid even after applicable collection steps, the Department may initiate legal proceedings to recover the amount. The certificate issued by the Department regarding the person, address and amount payable serves as sufficient evidence in such proceedings.</w:t>
      </w:r>
    </w:p>
    <w:p>
      <w:pPr>
        <w:pStyle w:val="Heading2"/>
        <w:spacing w:after="80" w:line="252" w:lineRule="auto"/>
      </w:pPr>
      <w:r>
        <w:rPr>
          <w:rFonts w:ascii="Times New Roman" w:hAnsi="Times New Roman" w:eastAsia="Times New Roman"/>
          <w:b w:val="0"/>
          <w:i w:val="0"/>
        </w:rPr>
        <w:t>28.12 Recovery of tax arrears by instalments</w:t>
      </w:r>
    </w:p>
    <w:p>
      <w:pPr>
        <w:spacing w:after="80" w:line="252" w:lineRule="auto"/>
      </w:pPr>
      <w:r>
        <w:rPr>
          <w:rFonts w:ascii="Times New Roman" w:hAnsi="Times New Roman" w:eastAsia="Times New Roman"/>
          <w:b w:val="0"/>
          <w:i w:val="0"/>
          <w:sz w:val="21"/>
        </w:rPr>
        <w:t>Where appropriate, the Department may permit tax arrears to be paid in instalments. Instalment permission does not extinguish the tax debt. If the taxpayer fails to comply with the approved instalment terms, additional interest and further recovery action may apply.</w:t>
      </w:r>
    </w:p>
    <w:p>
      <w:pPr>
        <w:pStyle w:val="Heading2"/>
        <w:spacing w:after="80" w:line="252" w:lineRule="auto"/>
      </w:pPr>
      <w:r>
        <w:rPr>
          <w:rFonts w:ascii="Times New Roman" w:hAnsi="Times New Roman" w:eastAsia="Times New Roman"/>
          <w:b w:val="0"/>
          <w:i w:val="0"/>
        </w:rPr>
        <w:t>28.13 Restriction on foreign travel of a person having tax arrears</w:t>
      </w:r>
    </w:p>
    <w:p>
      <w:pPr>
        <w:spacing w:after="80" w:line="252" w:lineRule="auto"/>
      </w:pPr>
      <w:r>
        <w:rPr>
          <w:rFonts w:ascii="Times New Roman" w:hAnsi="Times New Roman" w:eastAsia="Times New Roman"/>
          <w:b w:val="0"/>
          <w:i w:val="0"/>
          <w:sz w:val="21"/>
        </w:rPr>
        <w:t>The Act permits restriction on foreign travel of a person who has tax arrears if the statutory conditions are satisfied. This is a collection measure intended to secure payment where arrears remain unpaid.</w:t>
      </w:r>
    </w:p>
    <w:p>
      <w:pPr>
        <w:pStyle w:val="Heading2"/>
        <w:spacing w:after="80" w:line="252" w:lineRule="auto"/>
      </w:pPr>
      <w:r>
        <w:rPr>
          <w:rFonts w:ascii="Times New Roman" w:hAnsi="Times New Roman" w:eastAsia="Times New Roman"/>
          <w:b w:val="0"/>
          <w:i w:val="0"/>
        </w:rPr>
        <w:t>28.14 Remission of tax arrears</w:t>
      </w:r>
    </w:p>
    <w:p>
      <w:pPr>
        <w:spacing w:after="80" w:line="252" w:lineRule="auto"/>
      </w:pPr>
      <w:r>
        <w:rPr>
          <w:rFonts w:ascii="Times New Roman" w:hAnsi="Times New Roman" w:eastAsia="Times New Roman"/>
          <w:b w:val="0"/>
          <w:i w:val="0"/>
          <w:sz w:val="21"/>
        </w:rPr>
        <w:t>Tax arrears may be remitted only in circumstances permitted by the Act. Remission is not an ordinary waiver of liability; it requires legal authority and must be processed under the conditions and procedure specified for remission. The Directive treats remission separately from refund: remission concerns unpaid arrears, whereas refund concerns excess tax already deposited.</w:t>
      </w:r>
    </w:p>
    <w:p>
      <w:pPr>
        <w:pStyle w:val="Heading2"/>
        <w:spacing w:after="80" w:line="252" w:lineRule="auto"/>
      </w:pPr>
      <w:r>
        <w:rPr>
          <w:rFonts w:ascii="Times New Roman" w:hAnsi="Times New Roman" w:eastAsia="Times New Roman"/>
          <w:b w:val="0"/>
          <w:i w:val="0"/>
        </w:rPr>
        <w:t>28.15 Set-off or refund of excess tax</w:t>
      </w:r>
    </w:p>
    <w:p>
      <w:pPr>
        <w:spacing w:after="80" w:line="252" w:lineRule="auto"/>
      </w:pPr>
      <w:r>
        <w:rPr>
          <w:rFonts w:ascii="Times New Roman" w:hAnsi="Times New Roman" w:eastAsia="Times New Roman"/>
          <w:b w:val="0"/>
          <w:i w:val="0"/>
          <w:sz w:val="21"/>
        </w:rPr>
        <w:t>A person may have deposited more tax than the amount payable. Excess may arise because tax was withheld where withholding was not required, withholding was made at a higher rate, instalment tax exceeded assessed tax, a jeopardy or amended assessment resulted in lower tax, or tax was paid by mistake. Excess tax must first be adjusted against other tax payable by that person under the Act. Any balance remaining after adjustment may be refunded if the person applies within the statutory time.</w:t>
      </w:r>
    </w:p>
    <w:tbl>
      <w:tblPr>
        <w:tblStyle w:val="TableGrid"/>
        <w:tblW w:type="auto" w:w="0"/>
        <w:jc w:val="center"/>
        <w:tblLook w:firstColumn="1" w:firstRow="1" w:lastColumn="0" w:lastRow="0" w:noHBand="0" w:noVBand="1" w:val="04A0"/>
      </w:tblPr>
      <w:tblGrid>
        <w:gridCol w:w="4946"/>
        <w:gridCol w:w="4946"/>
      </w:tblGrid>
      <w:tr>
        <w:trPr>
          <w:tblHeader w:val="true"/>
        </w:trPr>
        <w:tc>
          <w:tcPr>
            <w:tcW w:type="dxa" w:w="4320"/>
            <w:vAlign w:val="top"/>
            <w:shd w:fill="D9EAF7"/>
          </w:tcPr>
          <w:p>
            <w:pPr>
              <w:spacing w:after="0" w:line="240" w:lineRule="auto"/>
            </w:pPr>
            <w:r/>
            <w:r>
              <w:rPr>
                <w:rFonts w:ascii="Times New Roman" w:hAnsi="Times New Roman" w:eastAsia="Times New Roman"/>
                <w:b/>
                <w:sz w:val="15"/>
              </w:rPr>
              <w:t>Situation</w:t>
            </w:r>
          </w:p>
        </w:tc>
        <w:tc>
          <w:tcPr>
            <w:tcW w:type="dxa" w:w="6192"/>
            <w:vAlign w:val="top"/>
            <w:shd w:fill="D9EAF7"/>
          </w:tcPr>
          <w:p>
            <w:pPr>
              <w:spacing w:after="0" w:line="240" w:lineRule="auto"/>
            </w:pPr>
            <w:r/>
            <w:r>
              <w:rPr>
                <w:rFonts w:ascii="Times New Roman" w:hAnsi="Times New Roman" w:eastAsia="Times New Roman"/>
                <w:b/>
                <w:sz w:val="15"/>
              </w:rPr>
              <w:t>Treatment</w:t>
            </w:r>
          </w:p>
        </w:tc>
      </w:tr>
      <w:tr>
        <w:tc>
          <w:tcPr>
            <w:tcW w:type="dxa" w:w="4320"/>
            <w:vAlign w:val="top"/>
          </w:tcPr>
          <w:p>
            <w:pPr>
              <w:spacing w:after="0" w:line="240" w:lineRule="auto"/>
            </w:pPr>
            <w:r/>
            <w:r>
              <w:rPr>
                <w:rFonts w:ascii="Times New Roman" w:hAnsi="Times New Roman" w:eastAsia="Times New Roman"/>
                <w:b w:val="0"/>
                <w:sz w:val="15"/>
              </w:rPr>
              <w:t>Tax withheld though no withholding was required, or withheld at a higher rate</w:t>
            </w:r>
          </w:p>
        </w:tc>
        <w:tc>
          <w:tcPr>
            <w:tcW w:type="dxa" w:w="6192"/>
            <w:vAlign w:val="top"/>
          </w:tcPr>
          <w:p>
            <w:pPr>
              <w:spacing w:after="0" w:line="240" w:lineRule="auto"/>
            </w:pPr>
            <w:r/>
            <w:r>
              <w:rPr>
                <w:rFonts w:ascii="Times New Roman" w:hAnsi="Times New Roman" w:eastAsia="Times New Roman"/>
                <w:b w:val="0"/>
                <w:sz w:val="15"/>
              </w:rPr>
              <w:t>The excess withholding may be treated as excess tax of the person from whose payment tax was withheld.</w:t>
            </w:r>
          </w:p>
        </w:tc>
      </w:tr>
      <w:tr>
        <w:tc>
          <w:tcPr>
            <w:tcW w:type="dxa" w:w="4320"/>
            <w:vAlign w:val="top"/>
          </w:tcPr>
          <w:p>
            <w:pPr>
              <w:spacing w:after="0" w:line="240" w:lineRule="auto"/>
            </w:pPr>
            <w:r/>
            <w:r>
              <w:rPr>
                <w:rFonts w:ascii="Times New Roman" w:hAnsi="Times New Roman" w:eastAsia="Times New Roman"/>
                <w:b w:val="0"/>
                <w:sz w:val="15"/>
              </w:rPr>
              <w:t>Instalment tax paid exceeds tax payable on assessment</w:t>
            </w:r>
          </w:p>
        </w:tc>
        <w:tc>
          <w:tcPr>
            <w:tcW w:type="dxa" w:w="6192"/>
            <w:vAlign w:val="top"/>
          </w:tcPr>
          <w:p>
            <w:pPr>
              <w:spacing w:after="0" w:line="240" w:lineRule="auto"/>
            </w:pPr>
            <w:r/>
            <w:r>
              <w:rPr>
                <w:rFonts w:ascii="Times New Roman" w:hAnsi="Times New Roman" w:eastAsia="Times New Roman"/>
                <w:b w:val="0"/>
                <w:sz w:val="15"/>
              </w:rPr>
              <w:t>The excess remaining after assessment and adjustment may be carried forward, adjusted or refunded according to section 113.</w:t>
            </w:r>
          </w:p>
        </w:tc>
      </w:tr>
      <w:tr>
        <w:tc>
          <w:tcPr>
            <w:tcW w:type="dxa" w:w="4320"/>
            <w:vAlign w:val="top"/>
          </w:tcPr>
          <w:p>
            <w:pPr>
              <w:spacing w:after="0" w:line="240" w:lineRule="auto"/>
            </w:pPr>
            <w:r/>
            <w:r>
              <w:rPr>
                <w:rFonts w:ascii="Times New Roman" w:hAnsi="Times New Roman" w:eastAsia="Times New Roman"/>
                <w:b w:val="0"/>
                <w:sz w:val="15"/>
              </w:rPr>
              <w:t>Jeopardy, amended or further amended assessment reduces tax</w:t>
            </w:r>
          </w:p>
        </w:tc>
        <w:tc>
          <w:tcPr>
            <w:tcW w:type="dxa" w:w="6192"/>
            <w:vAlign w:val="top"/>
          </w:tcPr>
          <w:p>
            <w:pPr>
              <w:spacing w:after="0" w:line="240" w:lineRule="auto"/>
            </w:pPr>
            <w:r/>
            <w:r>
              <w:rPr>
                <w:rFonts w:ascii="Times New Roman" w:hAnsi="Times New Roman" w:eastAsia="Times New Roman"/>
                <w:b w:val="0"/>
                <w:sz w:val="15"/>
              </w:rPr>
              <w:t>Amount already paid in excess of the revised liability becomes excess tax.</w:t>
            </w:r>
          </w:p>
        </w:tc>
      </w:tr>
      <w:tr>
        <w:tc>
          <w:tcPr>
            <w:tcW w:type="dxa" w:w="4320"/>
            <w:vAlign w:val="top"/>
          </w:tcPr>
          <w:p>
            <w:pPr>
              <w:spacing w:after="0" w:line="240" w:lineRule="auto"/>
            </w:pPr>
            <w:r/>
            <w:r>
              <w:rPr>
                <w:rFonts w:ascii="Times New Roman" w:hAnsi="Times New Roman" w:eastAsia="Times New Roman"/>
                <w:b w:val="0"/>
                <w:sz w:val="15"/>
              </w:rPr>
              <w:t>Tax paid by mistake</w:t>
            </w:r>
          </w:p>
        </w:tc>
        <w:tc>
          <w:tcPr>
            <w:tcW w:type="dxa" w:w="6192"/>
            <w:vAlign w:val="top"/>
          </w:tcPr>
          <w:p>
            <w:pPr>
              <w:spacing w:after="0" w:line="240" w:lineRule="auto"/>
            </w:pPr>
            <w:r/>
            <w:r>
              <w:rPr>
                <w:rFonts w:ascii="Times New Roman" w:hAnsi="Times New Roman" w:eastAsia="Times New Roman"/>
                <w:b w:val="0"/>
                <w:sz w:val="15"/>
              </w:rPr>
              <w:t>The mistakenly deposited amount may be considered for set-off or refund if the legal conditions are met.</w:t>
            </w:r>
          </w:p>
        </w:tc>
      </w:tr>
      <w:tr>
        <w:tc>
          <w:tcPr>
            <w:tcW w:type="dxa" w:w="4320"/>
            <w:vAlign w:val="top"/>
          </w:tcPr>
          <w:p>
            <w:pPr>
              <w:spacing w:after="0" w:line="240" w:lineRule="auto"/>
            </w:pPr>
            <w:r/>
            <w:r>
              <w:rPr>
                <w:rFonts w:ascii="Times New Roman" w:hAnsi="Times New Roman" w:eastAsia="Times New Roman"/>
                <w:b w:val="0"/>
                <w:sz w:val="15"/>
              </w:rPr>
              <w:t>Non-taxable or exempt person suffers withholding</w:t>
            </w:r>
          </w:p>
        </w:tc>
        <w:tc>
          <w:tcPr>
            <w:tcW w:type="dxa" w:w="6192"/>
            <w:vAlign w:val="top"/>
          </w:tcPr>
          <w:p>
            <w:pPr>
              <w:spacing w:after="0" w:line="240" w:lineRule="auto"/>
            </w:pPr>
            <w:r/>
            <w:r>
              <w:rPr>
                <w:rFonts w:ascii="Times New Roman" w:hAnsi="Times New Roman" w:eastAsia="Times New Roman"/>
                <w:b w:val="0"/>
                <w:sz w:val="15"/>
              </w:rPr>
              <w:t>Where the person is not liable to tax on that amount and the tax was deposited, refund may be available on application.</w:t>
            </w:r>
          </w:p>
        </w:tc>
      </w:tr>
    </w:tbl>
    <w:p/>
    <w:p>
      <w:pPr>
        <w:pStyle w:val="Heading3"/>
        <w:spacing w:after="80" w:line="252" w:lineRule="auto"/>
      </w:pPr>
      <w:r>
        <w:rPr>
          <w:rFonts w:ascii="Times New Roman" w:hAnsi="Times New Roman" w:eastAsia="Times New Roman"/>
          <w:b w:val="0"/>
          <w:i w:val="0"/>
        </w:rPr>
        <w:t>28.15.1 Account of tax deposited and tax required to be deposited</w:t>
      </w:r>
    </w:p>
    <w:p>
      <w:pPr>
        <w:spacing w:after="80" w:line="252" w:lineRule="auto"/>
      </w:pPr>
      <w:r>
        <w:rPr>
          <w:rFonts w:ascii="Times New Roman" w:hAnsi="Times New Roman" w:eastAsia="Times New Roman"/>
          <w:b w:val="0"/>
          <w:i w:val="0"/>
          <w:sz w:val="21"/>
        </w:rPr>
        <w:t>To determine excess tax, the tax actually deposited is compared with the tax legally required to be deposited. This comparison excludes amounts that the Act does not permit to be set off or refunded.</w:t>
      </w:r>
    </w:p>
    <w:p>
      <w:pPr>
        <w:pStyle w:val="Heading3"/>
        <w:spacing w:after="80" w:line="252" w:lineRule="auto"/>
      </w:pPr>
      <w:r>
        <w:rPr>
          <w:rFonts w:ascii="Times New Roman" w:hAnsi="Times New Roman" w:eastAsia="Times New Roman"/>
          <w:b w:val="0"/>
          <w:i w:val="0"/>
        </w:rPr>
        <w:t>28.15.2 Set-off of tax</w:t>
      </w:r>
    </w:p>
    <w:p>
      <w:pPr>
        <w:spacing w:after="80" w:line="252" w:lineRule="auto"/>
      </w:pPr>
      <w:r>
        <w:rPr>
          <w:rFonts w:ascii="Times New Roman" w:hAnsi="Times New Roman" w:eastAsia="Times New Roman"/>
          <w:b w:val="0"/>
          <w:i w:val="0"/>
          <w:sz w:val="21"/>
        </w:rPr>
        <w:t>Where excess tax is available, it must first be adjusted against tax payable by the person. Refund is available only after such adjustment. Set-off must be made in the manner allowed by the Act, including in the next income year where the assessment notice specifies carry-forward adjustment.</w:t>
      </w:r>
    </w:p>
    <w:p>
      <w:pPr>
        <w:pStyle w:val="Heading3"/>
        <w:spacing w:after="80" w:line="252" w:lineRule="auto"/>
      </w:pPr>
      <w:r>
        <w:rPr>
          <w:rFonts w:ascii="Times New Roman" w:hAnsi="Times New Roman" w:eastAsia="Times New Roman"/>
          <w:b w:val="0"/>
          <w:i w:val="0"/>
        </w:rPr>
        <w:t>28.15.3 Application for refund</w:t>
      </w:r>
    </w:p>
    <w:p>
      <w:pPr>
        <w:spacing w:after="80" w:line="252" w:lineRule="auto"/>
      </w:pPr>
      <w:r>
        <w:rPr>
          <w:rFonts w:ascii="Times New Roman" w:hAnsi="Times New Roman" w:eastAsia="Times New Roman"/>
          <w:b w:val="0"/>
          <w:i w:val="0"/>
          <w:sz w:val="21"/>
        </w:rPr>
        <w:t>A person claiming refund of excess tax must submit a written application within two years from the date the cause of excess tax arose. If the application is not submitted within the prescribed time, the excess tax cannot be refunded. In practice, the cause may arise on the date of excess withholding, the date of income-return filing/assessment, the date of amended assessment, or the date of mistaken deposit, depending on the case.</w:t>
      </w:r>
    </w:p>
    <w:tbl>
      <w:tblPr>
        <w:tblStyle w:val="TableGrid"/>
        <w:tblW w:type="auto" w:w="0"/>
        <w:jc w:val="center"/>
        <w:tblLook w:firstColumn="1" w:firstRow="1" w:lastColumn="0" w:lastRow="0" w:noHBand="0" w:noVBand="1" w:val="04A0"/>
      </w:tblPr>
      <w:tblGrid>
        <w:gridCol w:w="3298"/>
        <w:gridCol w:w="3298"/>
        <w:gridCol w:w="3298"/>
      </w:tblGrid>
      <w:tr>
        <w:trPr>
          <w:tblHeader w:val="true"/>
        </w:trPr>
        <w:tc>
          <w:tcPr>
            <w:tcW w:type="dxa" w:w="1224"/>
            <w:vAlign w:val="top"/>
            <w:shd w:fill="D9EAF7"/>
          </w:tcPr>
          <w:p>
            <w:pPr>
              <w:spacing w:after="0" w:line="240" w:lineRule="auto"/>
            </w:pPr>
            <w:r/>
            <w:r>
              <w:rPr>
                <w:rFonts w:ascii="Times New Roman" w:hAnsi="Times New Roman" w:eastAsia="Times New Roman"/>
                <w:b/>
                <w:sz w:val="14"/>
              </w:rPr>
              <w:t>Example</w:t>
            </w:r>
          </w:p>
        </w:tc>
        <w:tc>
          <w:tcPr>
            <w:tcW w:type="dxa" w:w="5976"/>
            <w:vAlign w:val="top"/>
            <w:shd w:fill="D9EAF7"/>
          </w:tcPr>
          <w:p>
            <w:pPr>
              <w:spacing w:after="0" w:line="240" w:lineRule="auto"/>
            </w:pPr>
            <w:r/>
            <w:r>
              <w:rPr>
                <w:rFonts w:ascii="Times New Roman" w:hAnsi="Times New Roman" w:eastAsia="Times New Roman"/>
                <w:b/>
                <w:sz w:val="14"/>
              </w:rPr>
              <w:t>Facts</w:t>
            </w:r>
          </w:p>
        </w:tc>
        <w:tc>
          <w:tcPr>
            <w:tcW w:type="dxa" w:w="3312"/>
            <w:vAlign w:val="top"/>
            <w:shd w:fill="D9EAF7"/>
          </w:tcPr>
          <w:p>
            <w:pPr>
              <w:spacing w:after="0" w:line="240" w:lineRule="auto"/>
            </w:pPr>
            <w:r/>
            <w:r>
              <w:rPr>
                <w:rFonts w:ascii="Times New Roman" w:hAnsi="Times New Roman" w:eastAsia="Times New Roman"/>
                <w:b/>
                <w:sz w:val="14"/>
              </w:rPr>
              <w:t>Time / result</w:t>
            </w:r>
          </w:p>
        </w:tc>
      </w:tr>
      <w:tr>
        <w:tc>
          <w:tcPr>
            <w:tcW w:type="dxa" w:w="1224"/>
            <w:vAlign w:val="top"/>
          </w:tcPr>
          <w:p>
            <w:pPr>
              <w:spacing w:after="0" w:line="240" w:lineRule="auto"/>
            </w:pPr>
            <w:r/>
            <w:r>
              <w:rPr>
                <w:rFonts w:ascii="Times New Roman" w:hAnsi="Times New Roman" w:eastAsia="Times New Roman"/>
                <w:b w:val="0"/>
                <w:sz w:val="14"/>
              </w:rPr>
              <w:t>28.15.1</w:t>
            </w:r>
          </w:p>
        </w:tc>
        <w:tc>
          <w:tcPr>
            <w:tcW w:type="dxa" w:w="5976"/>
            <w:vAlign w:val="top"/>
          </w:tcPr>
          <w:p>
            <w:pPr>
              <w:spacing w:after="0" w:line="240" w:lineRule="auto"/>
            </w:pPr>
            <w:r/>
            <w:r>
              <w:rPr>
                <w:rFonts w:ascii="Times New Roman" w:hAnsi="Times New Roman" w:eastAsia="Times New Roman"/>
                <w:b w:val="0"/>
                <w:sz w:val="14"/>
              </w:rPr>
              <w:t>A VAT-registered accounting professional has tax withheld from professional receipts. The annual computation later shows tax deposited in excess of the actual liability.</w:t>
            </w:r>
          </w:p>
        </w:tc>
        <w:tc>
          <w:tcPr>
            <w:tcW w:type="dxa" w:w="3312"/>
            <w:vAlign w:val="top"/>
          </w:tcPr>
          <w:p>
            <w:pPr>
              <w:spacing w:after="0" w:line="240" w:lineRule="auto"/>
            </w:pPr>
            <w:r/>
            <w:r>
              <w:rPr>
                <w:rFonts w:ascii="Times New Roman" w:hAnsi="Times New Roman" w:eastAsia="Times New Roman"/>
                <w:b w:val="0"/>
                <w:sz w:val="14"/>
              </w:rPr>
              <w:t>Excess is determined by comparing total tax paid with tax payable and then adjusted or refunded according to section 113.</w:t>
            </w:r>
          </w:p>
        </w:tc>
      </w:tr>
      <w:tr>
        <w:tc>
          <w:tcPr>
            <w:tcW w:type="dxa" w:w="1224"/>
            <w:vAlign w:val="top"/>
          </w:tcPr>
          <w:p>
            <w:pPr>
              <w:spacing w:after="0" w:line="240" w:lineRule="auto"/>
            </w:pPr>
            <w:r/>
            <w:r>
              <w:rPr>
                <w:rFonts w:ascii="Times New Roman" w:hAnsi="Times New Roman" w:eastAsia="Times New Roman"/>
                <w:b w:val="0"/>
                <w:sz w:val="14"/>
              </w:rPr>
              <w:t>28.15.2</w:t>
            </w:r>
          </w:p>
        </w:tc>
        <w:tc>
          <w:tcPr>
            <w:tcW w:type="dxa" w:w="5976"/>
            <w:vAlign w:val="top"/>
          </w:tcPr>
          <w:p>
            <w:pPr>
              <w:spacing w:after="0" w:line="240" w:lineRule="auto"/>
            </w:pPr>
            <w:r/>
            <w:r>
              <w:rPr>
                <w:rFonts w:ascii="Times New Roman" w:hAnsi="Times New Roman" w:eastAsia="Times New Roman"/>
                <w:b w:val="0"/>
                <w:sz w:val="14"/>
              </w:rPr>
              <w:t>A tax-exempt NGO providing skill-development training receives payment from the Ministry of Finance after withholding tax, although the income is connected with its approved exempt purpose.</w:t>
            </w:r>
          </w:p>
        </w:tc>
        <w:tc>
          <w:tcPr>
            <w:tcW w:type="dxa" w:w="3312"/>
            <w:vAlign w:val="top"/>
          </w:tcPr>
          <w:p>
            <w:pPr>
              <w:spacing w:after="0" w:line="240" w:lineRule="auto"/>
            </w:pPr>
            <w:r/>
            <w:r>
              <w:rPr>
                <w:rFonts w:ascii="Times New Roman" w:hAnsi="Times New Roman" w:eastAsia="Times New Roman"/>
                <w:b w:val="0"/>
                <w:sz w:val="14"/>
              </w:rPr>
              <w:t>The date of withholding/deposit creates the cause for refund; the organisation must apply within two years from that date.</w:t>
            </w:r>
          </w:p>
        </w:tc>
      </w:tr>
      <w:tr>
        <w:tc>
          <w:tcPr>
            <w:tcW w:type="dxa" w:w="1224"/>
            <w:vAlign w:val="top"/>
          </w:tcPr>
          <w:p>
            <w:pPr>
              <w:spacing w:after="0" w:line="240" w:lineRule="auto"/>
            </w:pPr>
            <w:r/>
            <w:r>
              <w:rPr>
                <w:rFonts w:ascii="Times New Roman" w:hAnsi="Times New Roman" w:eastAsia="Times New Roman"/>
                <w:b w:val="0"/>
                <w:sz w:val="14"/>
              </w:rPr>
              <w:t>28.15.3</w:t>
            </w:r>
          </w:p>
        </w:tc>
        <w:tc>
          <w:tcPr>
            <w:tcW w:type="dxa" w:w="5976"/>
            <w:vAlign w:val="top"/>
          </w:tcPr>
          <w:p>
            <w:pPr>
              <w:spacing w:after="0" w:line="240" w:lineRule="auto"/>
            </w:pPr>
            <w:r/>
            <w:r>
              <w:rPr>
                <w:rFonts w:ascii="Times New Roman" w:hAnsi="Times New Roman" w:eastAsia="Times New Roman"/>
                <w:b w:val="0"/>
                <w:sz w:val="14"/>
              </w:rPr>
              <w:t>N. N. Company estimates income of Rs. 30 million and pays instalment tax accordingly, but actual assessed tax is lower.</w:t>
            </w:r>
          </w:p>
        </w:tc>
        <w:tc>
          <w:tcPr>
            <w:tcW w:type="dxa" w:w="3312"/>
            <w:vAlign w:val="top"/>
          </w:tcPr>
          <w:p>
            <w:pPr>
              <w:spacing w:after="0" w:line="240" w:lineRule="auto"/>
            </w:pPr>
            <w:r/>
            <w:r>
              <w:rPr>
                <w:rFonts w:ascii="Times New Roman" w:hAnsi="Times New Roman" w:eastAsia="Times New Roman"/>
                <w:b w:val="0"/>
                <w:sz w:val="14"/>
              </w:rPr>
              <w:t>Excess instalment tax remains available for adjustment or refund after assessment.</w:t>
            </w:r>
          </w:p>
        </w:tc>
      </w:tr>
      <w:tr>
        <w:tc>
          <w:tcPr>
            <w:tcW w:type="dxa" w:w="1224"/>
            <w:vAlign w:val="top"/>
          </w:tcPr>
          <w:p>
            <w:pPr>
              <w:spacing w:after="0" w:line="240" w:lineRule="auto"/>
            </w:pPr>
            <w:r/>
            <w:r>
              <w:rPr>
                <w:rFonts w:ascii="Times New Roman" w:hAnsi="Times New Roman" w:eastAsia="Times New Roman"/>
                <w:b w:val="0"/>
                <w:sz w:val="14"/>
              </w:rPr>
              <w:t>28.15.4</w:t>
            </w:r>
          </w:p>
        </w:tc>
        <w:tc>
          <w:tcPr>
            <w:tcW w:type="dxa" w:w="5976"/>
            <w:vAlign w:val="top"/>
          </w:tcPr>
          <w:p>
            <w:pPr>
              <w:spacing w:after="0" w:line="240" w:lineRule="auto"/>
            </w:pPr>
            <w:r/>
            <w:r>
              <w:rPr>
                <w:rFonts w:ascii="Times New Roman" w:hAnsi="Times New Roman" w:eastAsia="Times New Roman"/>
                <w:b w:val="0"/>
                <w:sz w:val="14"/>
              </w:rPr>
              <w:t>A company self-assesses tax but later assessment or verification shows that tax paid exceeded the legal liability.</w:t>
            </w:r>
          </w:p>
        </w:tc>
        <w:tc>
          <w:tcPr>
            <w:tcW w:type="dxa" w:w="3312"/>
            <w:vAlign w:val="top"/>
          </w:tcPr>
          <w:p>
            <w:pPr>
              <w:spacing w:after="0" w:line="240" w:lineRule="auto"/>
            </w:pPr>
            <w:r/>
            <w:r>
              <w:rPr>
                <w:rFonts w:ascii="Times New Roman" w:hAnsi="Times New Roman" w:eastAsia="Times New Roman"/>
                <w:b w:val="0"/>
                <w:sz w:val="14"/>
              </w:rPr>
              <w:t>The excess can be adjusted against other tax payable or refunded if the application is made in time.</w:t>
            </w:r>
          </w:p>
        </w:tc>
      </w:tr>
    </w:tbl>
    <w:p/>
    <w:p>
      <w:pPr>
        <w:pStyle w:val="Heading3"/>
        <w:spacing w:after="80" w:line="252" w:lineRule="auto"/>
      </w:pPr>
      <w:r>
        <w:rPr>
          <w:rFonts w:ascii="Times New Roman" w:hAnsi="Times New Roman" w:eastAsia="Times New Roman"/>
          <w:b w:val="0"/>
          <w:i w:val="0"/>
        </w:rPr>
        <w:t>28.15.4 Refund of tax</w:t>
      </w:r>
    </w:p>
    <w:p>
      <w:pPr>
        <w:spacing w:after="80" w:line="252" w:lineRule="auto"/>
      </w:pPr>
      <w:r>
        <w:rPr>
          <w:rFonts w:ascii="Times New Roman" w:hAnsi="Times New Roman" w:eastAsia="Times New Roman"/>
          <w:b w:val="0"/>
          <w:i w:val="0"/>
          <w:sz w:val="21"/>
        </w:rPr>
        <w:t>If a person has paid tax in excess of the tax payable for an income year, and the excess remains after adjustment against tax payable, the person may apply for refund. Section 113 requires the Department to refund the amount within sixty days from the date of application if the refund is allowable. The Department must give written notice of its decision on the refund application.</w:t>
      </w:r>
    </w:p>
    <w:p>
      <w:pPr>
        <w:spacing w:after="80" w:line="252" w:lineRule="auto"/>
      </w:pPr>
      <w:r>
        <w:rPr>
          <w:rFonts w:ascii="Times New Roman" w:hAnsi="Times New Roman" w:eastAsia="Times New Roman"/>
          <w:b w:val="0"/>
          <w:i w:val="0"/>
          <w:sz w:val="21"/>
        </w:rPr>
        <w:t>The Directive requires refund applications to follow the prescribed format, supported by documents proving the excess. If an application is filed at a Taxpayer Service Office, it should be forwarded to the concerned Inland Revenue Office within seven days. The office may conduct full tax audit or TDS audit, decide the refund, and request release of funds from the Department. The decision and request must disclose taxpayer name, PAN, address, application date, refund claim amount, timeliness of application, audit approval date, absence of arrears, tax paid, tax payable, excess amount, any carried-forward amount under section 102, and the amount requested for release. Refund records must also be maintained in the ITS system and monthly reports sent to the refund branch of the Department.</w:t>
      </w:r>
    </w:p>
    <w:p>
      <w:pPr>
        <w:pStyle w:val="Heading3"/>
        <w:spacing w:after="80" w:line="252" w:lineRule="auto"/>
      </w:pPr>
      <w:r>
        <w:rPr>
          <w:rFonts w:ascii="Times New Roman" w:hAnsi="Times New Roman" w:eastAsia="Times New Roman"/>
          <w:b w:val="0"/>
          <w:i w:val="0"/>
        </w:rPr>
        <w:t>28.15.5 Interest payable on refund</w:t>
      </w:r>
    </w:p>
    <w:p>
      <w:pPr>
        <w:spacing w:after="80" w:line="252" w:lineRule="auto"/>
      </w:pPr>
      <w:r>
        <w:rPr>
          <w:rFonts w:ascii="Times New Roman" w:hAnsi="Times New Roman" w:eastAsia="Times New Roman"/>
          <w:b w:val="0"/>
          <w:i w:val="0"/>
          <w:sz w:val="21"/>
        </w:rPr>
        <w:t>When the Department refunds tax because of a court order or any other reason, it must pay interest at the normal rate for the period specified by section 113(6). For excess credit relating to sections 93, 94 or 100, interest runs from the due date for filing the income return under section 96 to the date of refund. In other cases, interest runs from the date the refundable tax was paid to the date of refund. The Directive explains the normal rate as fifteen per cent per annum.</w:t>
      </w:r>
    </w:p>
    <w:tbl>
      <w:tblPr>
        <w:tblStyle w:val="TableGrid"/>
        <w:tblW w:type="auto" w:w="0"/>
        <w:jc w:val="center"/>
        <w:tblLook w:firstColumn="1" w:firstRow="1" w:lastColumn="0" w:lastRow="0" w:noHBand="0" w:noVBand="1" w:val="04A0"/>
      </w:tblPr>
      <w:tblGrid>
        <w:gridCol w:w="3298"/>
        <w:gridCol w:w="3298"/>
        <w:gridCol w:w="3298"/>
      </w:tblGrid>
      <w:tr>
        <w:trPr>
          <w:tblHeader w:val="true"/>
        </w:trPr>
        <w:tc>
          <w:tcPr>
            <w:tcW w:type="dxa" w:w="1224"/>
            <w:vAlign w:val="top"/>
            <w:shd w:fill="D9EAF7"/>
          </w:tcPr>
          <w:p>
            <w:pPr>
              <w:spacing w:after="0" w:line="240" w:lineRule="auto"/>
            </w:pPr>
            <w:r/>
            <w:r>
              <w:rPr>
                <w:rFonts w:ascii="Times New Roman" w:hAnsi="Times New Roman" w:eastAsia="Times New Roman"/>
                <w:b/>
                <w:sz w:val="14"/>
              </w:rPr>
              <w:t>Example</w:t>
            </w:r>
          </w:p>
        </w:tc>
        <w:tc>
          <w:tcPr>
            <w:tcW w:type="dxa" w:w="5832"/>
            <w:vAlign w:val="top"/>
            <w:shd w:fill="D9EAF7"/>
          </w:tcPr>
          <w:p>
            <w:pPr>
              <w:spacing w:after="0" w:line="240" w:lineRule="auto"/>
            </w:pPr>
            <w:r/>
            <w:r>
              <w:rPr>
                <w:rFonts w:ascii="Times New Roman" w:hAnsi="Times New Roman" w:eastAsia="Times New Roman"/>
                <w:b/>
                <w:sz w:val="14"/>
              </w:rPr>
              <w:t>Facts</w:t>
            </w:r>
          </w:p>
        </w:tc>
        <w:tc>
          <w:tcPr>
            <w:tcW w:type="dxa" w:w="3456"/>
            <w:vAlign w:val="top"/>
            <w:shd w:fill="D9EAF7"/>
          </w:tcPr>
          <w:p>
            <w:pPr>
              <w:spacing w:after="0" w:line="240" w:lineRule="auto"/>
            </w:pPr>
            <w:r/>
            <w:r>
              <w:rPr>
                <w:rFonts w:ascii="Times New Roman" w:hAnsi="Times New Roman" w:eastAsia="Times New Roman"/>
                <w:b/>
                <w:sz w:val="14"/>
              </w:rPr>
              <w:t>Interest period / result</w:t>
            </w:r>
          </w:p>
        </w:tc>
      </w:tr>
      <w:tr>
        <w:tc>
          <w:tcPr>
            <w:tcW w:type="dxa" w:w="1224"/>
            <w:vAlign w:val="top"/>
          </w:tcPr>
          <w:p>
            <w:pPr>
              <w:spacing w:after="0" w:line="240" w:lineRule="auto"/>
            </w:pPr>
            <w:r/>
            <w:r>
              <w:rPr>
                <w:rFonts w:ascii="Times New Roman" w:hAnsi="Times New Roman" w:eastAsia="Times New Roman"/>
                <w:b w:val="0"/>
                <w:sz w:val="14"/>
              </w:rPr>
              <w:t>28.15.11</w:t>
            </w:r>
          </w:p>
        </w:tc>
        <w:tc>
          <w:tcPr>
            <w:tcW w:type="dxa" w:w="5832"/>
            <w:vAlign w:val="top"/>
          </w:tcPr>
          <w:p>
            <w:pPr>
              <w:spacing w:after="0" w:line="240" w:lineRule="auto"/>
            </w:pPr>
            <w:r/>
            <w:r>
              <w:rPr>
                <w:rFonts w:ascii="Times New Roman" w:hAnsi="Times New Roman" w:eastAsia="Times New Roman"/>
                <w:b w:val="0"/>
                <w:sz w:val="14"/>
              </w:rPr>
              <w:t>Ram Narayan carries on a medicine business. His return shows tax payable of Rs. 500,000. He had paid Rs. 500,000 as instalment tax and Bir Hospital withheld Rs. 150,000 from payment for medicine supply. No amended assessment is made.</w:t>
            </w:r>
          </w:p>
        </w:tc>
        <w:tc>
          <w:tcPr>
            <w:tcW w:type="dxa" w:w="3456"/>
            <w:vAlign w:val="top"/>
          </w:tcPr>
          <w:p>
            <w:pPr>
              <w:spacing w:after="0" w:line="240" w:lineRule="auto"/>
            </w:pPr>
            <w:r/>
            <w:r>
              <w:rPr>
                <w:rFonts w:ascii="Times New Roman" w:hAnsi="Times New Roman" w:eastAsia="Times New Roman"/>
                <w:b w:val="0"/>
                <w:sz w:val="14"/>
              </w:rPr>
              <w:t>Rs. 150,000 is excess. If refund is allowed, interest is payable from the income-return filing due date for that year to the date of refund.</w:t>
            </w:r>
          </w:p>
        </w:tc>
      </w:tr>
      <w:tr>
        <w:tc>
          <w:tcPr>
            <w:tcW w:type="dxa" w:w="1224"/>
            <w:vAlign w:val="top"/>
          </w:tcPr>
          <w:p>
            <w:pPr>
              <w:spacing w:after="0" w:line="240" w:lineRule="auto"/>
            </w:pPr>
            <w:r/>
            <w:r>
              <w:rPr>
                <w:rFonts w:ascii="Times New Roman" w:hAnsi="Times New Roman" w:eastAsia="Times New Roman"/>
                <w:b w:val="0"/>
                <w:sz w:val="14"/>
              </w:rPr>
              <w:t>28.15.12</w:t>
            </w:r>
          </w:p>
        </w:tc>
        <w:tc>
          <w:tcPr>
            <w:tcW w:type="dxa" w:w="5832"/>
            <w:vAlign w:val="top"/>
          </w:tcPr>
          <w:p>
            <w:pPr>
              <w:spacing w:after="0" w:line="240" w:lineRule="auto"/>
            </w:pPr>
            <w:r/>
            <w:r>
              <w:rPr>
                <w:rFonts w:ascii="Times New Roman" w:hAnsi="Times New Roman" w:eastAsia="Times New Roman"/>
                <w:b w:val="0"/>
                <w:sz w:val="14"/>
              </w:rPr>
              <w:t>N. N. Company paid instalments totalling Rs. 7,500,000 for FY 2079/80. Final liability after assessment and amendment is Rs. 5,500,000. The third instalment of Rs. 2,000,000 becomes excess.</w:t>
            </w:r>
          </w:p>
        </w:tc>
        <w:tc>
          <w:tcPr>
            <w:tcW w:type="dxa" w:w="3456"/>
            <w:vAlign w:val="top"/>
          </w:tcPr>
          <w:p>
            <w:pPr>
              <w:spacing w:after="0" w:line="240" w:lineRule="auto"/>
            </w:pPr>
            <w:r/>
            <w:r>
              <w:rPr>
                <w:rFonts w:ascii="Times New Roman" w:hAnsi="Times New Roman" w:eastAsia="Times New Roman"/>
                <w:b w:val="0"/>
                <w:sz w:val="14"/>
              </w:rPr>
              <w:t>If refund is allowed, interest is payable from the return-filing due date for that income year to the date of refund.</w:t>
            </w:r>
          </w:p>
        </w:tc>
      </w:tr>
      <w:tr>
        <w:tc>
          <w:tcPr>
            <w:tcW w:type="dxa" w:w="1224"/>
            <w:vAlign w:val="top"/>
          </w:tcPr>
          <w:p>
            <w:pPr>
              <w:spacing w:after="0" w:line="240" w:lineRule="auto"/>
            </w:pPr>
            <w:r/>
            <w:r>
              <w:rPr>
                <w:rFonts w:ascii="Times New Roman" w:hAnsi="Times New Roman" w:eastAsia="Times New Roman"/>
                <w:b w:val="0"/>
                <w:sz w:val="14"/>
              </w:rPr>
              <w:t>28.15.13</w:t>
            </w:r>
          </w:p>
        </w:tc>
        <w:tc>
          <w:tcPr>
            <w:tcW w:type="dxa" w:w="5832"/>
            <w:vAlign w:val="top"/>
          </w:tcPr>
          <w:p>
            <w:pPr>
              <w:spacing w:after="0" w:line="240" w:lineRule="auto"/>
            </w:pPr>
            <w:r/>
            <w:r>
              <w:rPr>
                <w:rFonts w:ascii="Times New Roman" w:hAnsi="Times New Roman" w:eastAsia="Times New Roman"/>
                <w:b w:val="0"/>
                <w:sz w:val="14"/>
              </w:rPr>
              <w:t>Ram Narayan, agent of a foreign company, is subjected to jeopardy assessment of Rs. 500,000. On review the liability is reduced to Rs. 200,000.</w:t>
            </w:r>
          </w:p>
        </w:tc>
        <w:tc>
          <w:tcPr>
            <w:tcW w:type="dxa" w:w="3456"/>
            <w:vAlign w:val="top"/>
          </w:tcPr>
          <w:p>
            <w:pPr>
              <w:spacing w:after="0" w:line="240" w:lineRule="auto"/>
            </w:pPr>
            <w:r/>
            <w:r>
              <w:rPr>
                <w:rFonts w:ascii="Times New Roman" w:hAnsi="Times New Roman" w:eastAsia="Times New Roman"/>
                <w:b w:val="0"/>
                <w:sz w:val="14"/>
              </w:rPr>
              <w:t>Rs. 300,000 becomes excess. If application is made in time and refund is allowed, interest is payable from the due date for filing the return for that income year to the date of refund.</w:t>
            </w:r>
          </w:p>
        </w:tc>
      </w:tr>
    </w:tbl>
    <w:p/>
    <w:p>
      <w:pPr>
        <w:pStyle w:val="Heading3"/>
        <w:spacing w:after="80" w:line="252" w:lineRule="auto"/>
      </w:pPr>
      <w:r>
        <w:rPr>
          <w:rFonts w:ascii="Times New Roman" w:hAnsi="Times New Roman" w:eastAsia="Times New Roman"/>
          <w:b w:val="0"/>
          <w:i w:val="0"/>
        </w:rPr>
        <w:t>28.15.6 Tax that cannot be set off or refunded</w:t>
      </w:r>
    </w:p>
    <w:p>
      <w:pPr>
        <w:spacing w:after="80" w:line="252" w:lineRule="auto"/>
      </w:pPr>
      <w:r>
        <w:rPr>
          <w:rFonts w:ascii="Times New Roman" w:hAnsi="Times New Roman" w:eastAsia="Times New Roman"/>
          <w:b w:val="0"/>
          <w:i w:val="0"/>
          <w:sz w:val="21"/>
        </w:rPr>
        <w:t>Certain amounts may not be set off against other tax or refunded. In particular, tax credit for approved medical-treatment expenses of a natural person and excess foreign tax adjustment that cannot be used under the provisions governing foreign tax adjustment cannot be set off against other income tax or refunded. Thus, if the medical-treatment tax credit of Rs. 1,500 is not absorbed by the tax payable for the year, or if foreign tax paid exceeds the allowable foreign tax adjustment, the unused amount cannot be claimed as refund or adjusted against other tax.</w:t>
      </w:r>
    </w:p>
    <w:p>
      <w:pPr>
        <w:spacing w:after="80" w:line="252" w:lineRule="auto"/>
        <w:jc w:val="center"/>
      </w:pPr>
      <w:r>
        <w:rPr>
          <w:rFonts w:ascii="Times New Roman" w:hAnsi="Times New Roman" w:eastAsia="Times New Roman"/>
          <w:b w:val="0"/>
          <w:i/>
          <w:sz w:val="21"/>
        </w:rPr>
        <w:t>End of Chapter 28</w:t>
      </w:r>
    </w:p>
    <w:p>
      <w:r>
        <w:br w:type="page"/>
      </w:r>
    </w:p>
    <w:p>
      <w:pPr>
        <w:pStyle w:val="Title"/>
        <w:spacing w:after="80" w:line="252" w:lineRule="auto"/>
        <w:jc w:val="center"/>
      </w:pPr>
      <w:r>
        <w:rPr>
          <w:rFonts w:ascii="Times New Roman" w:hAnsi="Times New Roman" w:eastAsia="Times New Roman"/>
          <w:b w:val="0"/>
          <w:i w:val="0"/>
        </w:rPr>
        <w:t>Income Tax Directive, 2066 (with Fifth Amendment, 2081)</w:t>
      </w:r>
    </w:p>
    <w:p>
      <w:pPr>
        <w:pStyle w:val="Title"/>
        <w:spacing w:after="80" w:line="252" w:lineRule="auto"/>
        <w:jc w:val="center"/>
      </w:pPr>
      <w:r>
        <w:rPr>
          <w:rFonts w:ascii="Times New Roman" w:hAnsi="Times New Roman" w:eastAsia="Times New Roman"/>
          <w:b w:val="0"/>
          <w:i w:val="0"/>
        </w:rPr>
        <w:t>English Translation - Part 29</w:t>
      </w:r>
    </w:p>
    <w:p>
      <w:pPr>
        <w:pStyle w:val="Heading1"/>
        <w:spacing w:after="80" w:line="252" w:lineRule="auto"/>
        <w:jc w:val="center"/>
      </w:pPr>
      <w:r>
        <w:rPr>
          <w:rFonts w:ascii="Times New Roman" w:hAnsi="Times New Roman" w:eastAsia="Times New Roman"/>
          <w:b w:val="0"/>
          <w:i w:val="0"/>
        </w:rPr>
        <w:t>Chapter 29: Fees, Interest and Penalty</w:t>
      </w:r>
    </w:p>
    <w:p>
      <w:pPr>
        <w:spacing w:after="80" w:line="252" w:lineRule="auto"/>
        <w:jc w:val="center"/>
      </w:pPr>
      <w:r>
        <w:rPr>
          <w:rFonts w:ascii="Times New Roman" w:hAnsi="Times New Roman" w:eastAsia="Times New Roman"/>
          <w:b w:val="0"/>
          <w:i/>
          <w:sz w:val="21"/>
        </w:rPr>
        <w:t>Source pages: Directive pages 607-623</w:t>
      </w:r>
    </w:p>
    <w:p>
      <w:pPr>
        <w:spacing w:after="80" w:line="252" w:lineRule="auto"/>
      </w:pPr>
      <w:r>
        <w:rPr>
          <w:rFonts w:ascii="Times New Roman" w:hAnsi="Times New Roman" w:eastAsia="Times New Roman"/>
          <w:b w:val="0"/>
          <w:i/>
          <w:sz w:val="21"/>
        </w:rPr>
        <w:t>Note: This working English translation follows the sequence, headings, examples and tabular presentation of the Nepali directive as far as practicable in Word format. Statutory expressions have been aligned with the official English terminology of the Income Tax Act, 2002 (2058) where applicable.</w:t>
      </w:r>
    </w:p>
    <w:p>
      <w:r>
        <w:br w:type="page"/>
      </w:r>
    </w:p>
    <w:p>
      <w:pPr>
        <w:pStyle w:val="Heading1"/>
        <w:spacing w:after="80" w:line="252" w:lineRule="auto"/>
        <w:jc w:val="center"/>
      </w:pPr>
      <w:r>
        <w:rPr>
          <w:rFonts w:ascii="Times New Roman" w:hAnsi="Times New Roman" w:eastAsia="Times New Roman"/>
          <w:b w:val="0"/>
          <w:i w:val="0"/>
        </w:rPr>
        <w:t>Chapter 29</w:t>
      </w:r>
    </w:p>
    <w:p>
      <w:pPr>
        <w:pStyle w:val="Heading1"/>
        <w:spacing w:after="80" w:line="252" w:lineRule="auto"/>
        <w:jc w:val="center"/>
      </w:pPr>
      <w:r>
        <w:rPr>
          <w:rFonts w:ascii="Times New Roman" w:hAnsi="Times New Roman" w:eastAsia="Times New Roman"/>
          <w:b w:val="0"/>
          <w:i w:val="0"/>
        </w:rPr>
        <w:t>Fees, Interest and Penalty</w:t>
      </w:r>
    </w:p>
    <w:p>
      <w:pPr>
        <w:pStyle w:val="Heading2"/>
        <w:spacing w:after="80" w:line="252" w:lineRule="auto"/>
      </w:pPr>
      <w:r>
        <w:rPr>
          <w:rFonts w:ascii="Times New Roman" w:hAnsi="Times New Roman" w:eastAsia="Times New Roman"/>
          <w:b w:val="0"/>
          <w:i w:val="0"/>
        </w:rPr>
        <w:t>29.1 Introduction</w:t>
      </w:r>
    </w:p>
    <w:p>
      <w:pPr>
        <w:spacing w:after="80" w:line="252" w:lineRule="auto"/>
      </w:pPr>
      <w:r>
        <w:rPr>
          <w:rFonts w:ascii="Times New Roman" w:hAnsi="Times New Roman" w:eastAsia="Times New Roman"/>
          <w:b w:val="0"/>
          <w:i w:val="0"/>
          <w:sz w:val="21"/>
        </w:rPr>
        <w:t>A person having taxable income must pay tax payable under the Income Tax Act, 2058 within the prescribed time. If tax, returns or documents are not submitted on time, the Act imposes fees, interest and, where the conduct constitutes an offence, penalties. The purpose of interest is to remove or reduce the financial benefit that a taxpayer may obtain by delaying tax payment. Fees are imposed to secure timely filing of returns, statements and prescribed documents. Penalties are imposed through criminal proceedings for offences defined in Chapter 23 of the Act.</w:t>
      </w:r>
    </w:p>
    <w:p>
      <w:pPr>
        <w:pStyle w:val="Heading2"/>
        <w:spacing w:after="80" w:line="252" w:lineRule="auto"/>
      </w:pPr>
      <w:r>
        <w:rPr>
          <w:rFonts w:ascii="Times New Roman" w:hAnsi="Times New Roman" w:eastAsia="Times New Roman"/>
          <w:b w:val="0"/>
          <w:i w:val="0"/>
        </w:rPr>
        <w:t>29.2 Provisions relating to fees</w:t>
      </w:r>
    </w:p>
    <w:p>
      <w:pPr>
        <w:spacing w:after="80" w:line="252" w:lineRule="auto"/>
      </w:pPr>
      <w:r>
        <w:rPr>
          <w:rFonts w:ascii="Times New Roman" w:hAnsi="Times New Roman" w:eastAsia="Times New Roman"/>
          <w:b w:val="0"/>
          <w:i w:val="0"/>
          <w:sz w:val="21"/>
        </w:rPr>
        <w:t>For this chapter, the word "fee" covers amounts payable for not keeping documents, not filing required documents or returns, filing late, filing false or misleading statements, failing to perform a document-related or statutory duty, or violating the Act or Rules. It includes late filing fees, fees for underpayment, and fees for non-filing or incorrect filing.</w:t>
      </w:r>
    </w:p>
    <w:tbl>
      <w:tblPr>
        <w:tblStyle w:val="TableGrid"/>
        <w:tblW w:type="auto" w:w="0"/>
        <w:jc w:val="center"/>
        <w:tblLook w:firstColumn="1" w:firstRow="1" w:lastColumn="0" w:lastRow="0" w:noHBand="0" w:noVBand="1" w:val="04A0"/>
      </w:tblPr>
      <w:tblGrid>
        <w:gridCol w:w="3298"/>
        <w:gridCol w:w="3298"/>
        <w:gridCol w:w="3298"/>
      </w:tblGrid>
      <w:tr>
        <w:trPr>
          <w:tblHeader w:val="true"/>
        </w:trPr>
        <w:tc>
          <w:tcPr>
            <w:tcW w:type="dxa" w:w="1800"/>
            <w:vAlign w:val="top"/>
            <w:shd w:fill="D9EAF7"/>
          </w:tcPr>
          <w:p>
            <w:pPr>
              <w:spacing w:after="0" w:line="240" w:lineRule="auto"/>
            </w:pPr>
            <w:r/>
            <w:r>
              <w:rPr>
                <w:rFonts w:ascii="Times New Roman" w:hAnsi="Times New Roman" w:eastAsia="Times New Roman"/>
                <w:b/>
                <w:sz w:val="14"/>
              </w:rPr>
              <w:t>Section / topic</w:t>
            </w:r>
          </w:p>
        </w:tc>
        <w:tc>
          <w:tcPr>
            <w:tcW w:type="dxa" w:w="3528"/>
            <w:vAlign w:val="top"/>
            <w:shd w:fill="D9EAF7"/>
          </w:tcPr>
          <w:p>
            <w:pPr>
              <w:spacing w:after="0" w:line="240" w:lineRule="auto"/>
            </w:pPr>
            <w:r/>
            <w:r>
              <w:rPr>
                <w:rFonts w:ascii="Times New Roman" w:hAnsi="Times New Roman" w:eastAsia="Times New Roman"/>
                <w:b/>
                <w:sz w:val="14"/>
              </w:rPr>
              <w:t>Event attracting fee</w:t>
            </w:r>
          </w:p>
        </w:tc>
        <w:tc>
          <w:tcPr>
            <w:tcW w:type="dxa" w:w="5256"/>
            <w:vAlign w:val="top"/>
            <w:shd w:fill="D9EAF7"/>
          </w:tcPr>
          <w:p>
            <w:pPr>
              <w:spacing w:after="0" w:line="240" w:lineRule="auto"/>
            </w:pPr>
            <w:r/>
            <w:r>
              <w:rPr>
                <w:rFonts w:ascii="Times New Roman" w:hAnsi="Times New Roman" w:eastAsia="Times New Roman"/>
                <w:b/>
                <w:sz w:val="14"/>
              </w:rPr>
              <w:t>Amount / basis explained in the Directive</w:t>
            </w:r>
          </w:p>
        </w:tc>
      </w:tr>
      <w:tr>
        <w:tc>
          <w:tcPr>
            <w:tcW w:type="dxa" w:w="1800"/>
            <w:vAlign w:val="top"/>
          </w:tcPr>
          <w:p>
            <w:pPr>
              <w:spacing w:after="0" w:line="240" w:lineRule="auto"/>
            </w:pPr>
            <w:r/>
            <w:r>
              <w:rPr>
                <w:rFonts w:ascii="Times New Roman" w:hAnsi="Times New Roman" w:eastAsia="Times New Roman"/>
                <w:b w:val="0"/>
                <w:sz w:val="14"/>
              </w:rPr>
              <w:t>117(1)(a)</w:t>
            </w:r>
          </w:p>
        </w:tc>
        <w:tc>
          <w:tcPr>
            <w:tcW w:type="dxa" w:w="3528"/>
            <w:vAlign w:val="top"/>
          </w:tcPr>
          <w:p>
            <w:pPr>
              <w:spacing w:after="0" w:line="240" w:lineRule="auto"/>
            </w:pPr>
            <w:r/>
            <w:r>
              <w:rPr>
                <w:rFonts w:ascii="Times New Roman" w:hAnsi="Times New Roman" w:eastAsia="Times New Roman"/>
                <w:b w:val="0"/>
                <w:sz w:val="14"/>
              </w:rPr>
              <w:t>Failure to submit estimated income return under section 95(1)</w:t>
            </w:r>
          </w:p>
        </w:tc>
        <w:tc>
          <w:tcPr>
            <w:tcW w:type="dxa" w:w="5256"/>
            <w:vAlign w:val="top"/>
          </w:tcPr>
          <w:p>
            <w:pPr>
              <w:spacing w:after="0" w:line="240" w:lineRule="auto"/>
            </w:pPr>
            <w:r/>
            <w:r>
              <w:rPr>
                <w:rFonts w:ascii="Times New Roman" w:hAnsi="Times New Roman" w:eastAsia="Times New Roman"/>
                <w:b w:val="0"/>
                <w:sz w:val="14"/>
              </w:rPr>
              <w:t>Rs. 5,000 per return or 0.01 per cent of assessable income stated in the return, whichever is higher. Example: where estimated tax is Rs. 10,000, the minimum fee is Rs. 5,000; where assessable income is Rs. 60,000,000, the fee is Rs. 6,000.</w:t>
            </w:r>
          </w:p>
        </w:tc>
      </w:tr>
      <w:tr>
        <w:tc>
          <w:tcPr>
            <w:tcW w:type="dxa" w:w="1800"/>
            <w:vAlign w:val="top"/>
          </w:tcPr>
          <w:p>
            <w:pPr>
              <w:spacing w:after="0" w:line="240" w:lineRule="auto"/>
            </w:pPr>
            <w:r/>
            <w:r>
              <w:rPr>
                <w:rFonts w:ascii="Times New Roman" w:hAnsi="Times New Roman" w:eastAsia="Times New Roman"/>
                <w:b w:val="0"/>
                <w:sz w:val="14"/>
              </w:rPr>
              <w:t>117(1)(c)</w:t>
            </w:r>
          </w:p>
        </w:tc>
        <w:tc>
          <w:tcPr>
            <w:tcW w:type="dxa" w:w="3528"/>
            <w:vAlign w:val="top"/>
          </w:tcPr>
          <w:p>
            <w:pPr>
              <w:spacing w:after="0" w:line="240" w:lineRule="auto"/>
            </w:pPr>
            <w:r/>
            <w:r>
              <w:rPr>
                <w:rFonts w:ascii="Times New Roman" w:hAnsi="Times New Roman" w:eastAsia="Times New Roman"/>
                <w:b w:val="0"/>
                <w:sz w:val="14"/>
              </w:rPr>
              <w:t>Failure to submit income return under section 96(1)</w:t>
            </w:r>
          </w:p>
        </w:tc>
        <w:tc>
          <w:tcPr>
            <w:tcW w:type="dxa" w:w="5256"/>
            <w:vAlign w:val="top"/>
          </w:tcPr>
          <w:p>
            <w:pPr>
              <w:spacing w:after="0" w:line="240" w:lineRule="auto"/>
            </w:pPr>
            <w:r/>
            <w:r>
              <w:rPr>
                <w:rFonts w:ascii="Times New Roman" w:hAnsi="Times New Roman" w:eastAsia="Times New Roman"/>
                <w:b w:val="0"/>
                <w:sz w:val="14"/>
              </w:rPr>
              <w:t>For a person under section 4(4), Rs. 1,200 per return or Rs. 100 per month where the period is less than a year. For other persons, 0.1 per cent per annum of assessable income computed without deductions and after including inclusions, or Rs. 1,200 per return/Rs. 100 per month for periods below a year, whichever is higher.</w:t>
            </w:r>
          </w:p>
        </w:tc>
      </w:tr>
      <w:tr>
        <w:tc>
          <w:tcPr>
            <w:tcW w:type="dxa" w:w="1800"/>
            <w:vAlign w:val="top"/>
          </w:tcPr>
          <w:p>
            <w:pPr>
              <w:spacing w:after="0" w:line="240" w:lineRule="auto"/>
            </w:pPr>
            <w:r/>
            <w:r>
              <w:rPr>
                <w:rFonts w:ascii="Times New Roman" w:hAnsi="Times New Roman" w:eastAsia="Times New Roman"/>
                <w:b w:val="0"/>
                <w:sz w:val="14"/>
              </w:rPr>
              <w:t>117(2)</w:t>
            </w:r>
          </w:p>
        </w:tc>
        <w:tc>
          <w:tcPr>
            <w:tcW w:type="dxa" w:w="3528"/>
            <w:vAlign w:val="top"/>
          </w:tcPr>
          <w:p>
            <w:pPr>
              <w:spacing w:after="0" w:line="240" w:lineRule="auto"/>
            </w:pPr>
            <w:r/>
            <w:r>
              <w:rPr>
                <w:rFonts w:ascii="Times New Roman" w:hAnsi="Times New Roman" w:eastAsia="Times New Roman"/>
                <w:b w:val="0"/>
                <w:sz w:val="14"/>
              </w:rPr>
              <w:t>Failure to keep documents required under section 81</w:t>
            </w:r>
          </w:p>
        </w:tc>
        <w:tc>
          <w:tcPr>
            <w:tcW w:type="dxa" w:w="5256"/>
            <w:vAlign w:val="top"/>
          </w:tcPr>
          <w:p>
            <w:pPr>
              <w:spacing w:after="0" w:line="240" w:lineRule="auto"/>
            </w:pPr>
            <w:r/>
            <w:r>
              <w:rPr>
                <w:rFonts w:ascii="Times New Roman" w:hAnsi="Times New Roman" w:eastAsia="Times New Roman"/>
                <w:b w:val="0"/>
                <w:sz w:val="14"/>
              </w:rPr>
              <w:t>0.1 per cent of assessable income computed without deductions and after including required inclusions, or Rs. 1,000, whichever is higher. Documents must normally be preserved for five years from the relevant income year.</w:t>
            </w:r>
          </w:p>
        </w:tc>
      </w:tr>
      <w:tr>
        <w:tc>
          <w:tcPr>
            <w:tcW w:type="dxa" w:w="1800"/>
            <w:vAlign w:val="top"/>
          </w:tcPr>
          <w:p>
            <w:pPr>
              <w:spacing w:after="0" w:line="240" w:lineRule="auto"/>
            </w:pPr>
            <w:r/>
            <w:r>
              <w:rPr>
                <w:rFonts w:ascii="Times New Roman" w:hAnsi="Times New Roman" w:eastAsia="Times New Roman"/>
                <w:b w:val="0"/>
                <w:sz w:val="14"/>
              </w:rPr>
              <w:t>117(3)</w:t>
            </w:r>
          </w:p>
        </w:tc>
        <w:tc>
          <w:tcPr>
            <w:tcW w:type="dxa" w:w="3528"/>
            <w:vAlign w:val="top"/>
          </w:tcPr>
          <w:p>
            <w:pPr>
              <w:spacing w:after="0" w:line="240" w:lineRule="auto"/>
            </w:pPr>
            <w:r>
              <w:t>Person withholding advance tax fails to file withholding statement under section 90(1)</w:t>
            </w:r>
            <w:r>
              <w:rPr>
                <w:rFonts w:ascii="Times New Roman" w:hAnsi="Times New Roman" w:eastAsia="Times New Roman"/>
                <w:b w:val="0"/>
                <w:sz w:val="14"/>
              </w:rPr>
            </w:r>
          </w:p>
        </w:tc>
        <w:tc>
          <w:tcPr>
            <w:tcW w:type="dxa" w:w="5256"/>
            <w:vAlign w:val="top"/>
          </w:tcPr>
          <w:p>
            <w:pPr>
              <w:spacing w:after="0" w:line="240" w:lineRule="auto"/>
            </w:pPr>
            <w:r/>
            <w:r>
              <w:rPr>
                <w:rFonts w:ascii="Times New Roman" w:hAnsi="Times New Roman" w:eastAsia="Times New Roman"/>
                <w:b w:val="0"/>
                <w:sz w:val="14"/>
              </w:rPr>
              <w:t>2.5 per cent per annum of the tax required to be withheld, for each month and part of a month from the due date until the statement is filed.</w:t>
            </w:r>
          </w:p>
        </w:tc>
      </w:tr>
      <w:tr>
        <w:tc>
          <w:tcPr>
            <w:tcW w:type="dxa" w:w="1800"/>
            <w:vAlign w:val="top"/>
          </w:tcPr>
          <w:p>
            <w:pPr>
              <w:spacing w:after="0" w:line="240" w:lineRule="auto"/>
            </w:pPr>
            <w:r/>
            <w:r>
              <w:rPr>
                <w:rFonts w:ascii="Times New Roman" w:hAnsi="Times New Roman" w:eastAsia="Times New Roman"/>
                <w:b w:val="0"/>
                <w:sz w:val="14"/>
              </w:rPr>
              <w:t>117(1)(b)</w:t>
            </w:r>
          </w:p>
        </w:tc>
        <w:tc>
          <w:tcPr>
            <w:tcW w:type="dxa" w:w="3528"/>
            <w:vAlign w:val="top"/>
          </w:tcPr>
          <w:p>
            <w:pPr>
              <w:spacing w:after="0" w:line="240" w:lineRule="auto"/>
            </w:pPr>
            <w:r/>
            <w:r>
              <w:rPr>
                <w:rFonts w:ascii="Times New Roman" w:hAnsi="Times New Roman" w:eastAsia="Times New Roman"/>
                <w:b w:val="0"/>
                <w:sz w:val="14"/>
              </w:rPr>
              <w:t>Person required to collect advance tax under section 95A fails to file the prescribed statement</w:t>
            </w:r>
          </w:p>
        </w:tc>
        <w:tc>
          <w:tcPr>
            <w:tcW w:type="dxa" w:w="5256"/>
            <w:vAlign w:val="top"/>
          </w:tcPr>
          <w:p>
            <w:pPr>
              <w:spacing w:after="0" w:line="240" w:lineRule="auto"/>
            </w:pPr>
            <w:r/>
            <w:r>
              <w:rPr>
                <w:rFonts w:ascii="Times New Roman" w:hAnsi="Times New Roman" w:eastAsia="Times New Roman"/>
                <w:b w:val="0"/>
                <w:sz w:val="14"/>
              </w:rPr>
              <w:t>1.5 per cent per annum of the advance tax required to be collected, for each month and part of a month from the due date until the statement is filed.</w:t>
            </w:r>
          </w:p>
        </w:tc>
      </w:tr>
      <w:tr>
        <w:tc>
          <w:tcPr>
            <w:tcW w:type="dxa" w:w="1800"/>
            <w:vAlign w:val="top"/>
          </w:tcPr>
          <w:p>
            <w:pPr>
              <w:spacing w:after="0" w:line="240" w:lineRule="auto"/>
            </w:pPr>
            <w:r/>
            <w:r>
              <w:rPr>
                <w:rFonts w:ascii="Times New Roman" w:hAnsi="Times New Roman" w:eastAsia="Times New Roman"/>
                <w:b w:val="0"/>
                <w:sz w:val="14"/>
              </w:rPr>
              <w:t>120</w:t>
            </w:r>
          </w:p>
        </w:tc>
        <w:tc>
          <w:tcPr>
            <w:tcW w:type="dxa" w:w="3528"/>
            <w:vAlign w:val="top"/>
          </w:tcPr>
          <w:p>
            <w:pPr>
              <w:spacing w:after="0" w:line="240" w:lineRule="auto"/>
            </w:pPr>
            <w:r/>
            <w:r>
              <w:rPr>
                <w:rFonts w:ascii="Times New Roman" w:hAnsi="Times New Roman" w:eastAsia="Times New Roman"/>
                <w:b w:val="0"/>
                <w:sz w:val="14"/>
              </w:rPr>
              <w:t>False or misleading statement given to the Department</w:t>
            </w:r>
          </w:p>
        </w:tc>
        <w:tc>
          <w:tcPr>
            <w:tcW w:type="dxa" w:w="5256"/>
            <w:vAlign w:val="top"/>
          </w:tcPr>
          <w:p>
            <w:pPr>
              <w:spacing w:after="0" w:line="240" w:lineRule="auto"/>
            </w:pPr>
            <w:r/>
            <w:r>
              <w:rPr>
                <w:rFonts w:ascii="Times New Roman" w:hAnsi="Times New Roman" w:eastAsia="Times New Roman"/>
                <w:b w:val="0"/>
                <w:sz w:val="14"/>
              </w:rPr>
              <w:t>Where no tax is understated, Rs. 100,000 for each statement. Where tax is understated, a fee linked to the tax shortfall is imposed; the amount depends on whether the statement was made without reasonable care or knowingly/recklessly.</w:t>
            </w:r>
          </w:p>
        </w:tc>
      </w:tr>
      <w:tr>
        <w:tc>
          <w:tcPr>
            <w:tcW w:type="dxa" w:w="1800"/>
            <w:vAlign w:val="top"/>
          </w:tcPr>
          <w:p>
            <w:pPr>
              <w:spacing w:after="0" w:line="240" w:lineRule="auto"/>
            </w:pPr>
            <w:r/>
            <w:r>
              <w:rPr>
                <w:rFonts w:ascii="Times New Roman" w:hAnsi="Times New Roman" w:eastAsia="Times New Roman"/>
                <w:b w:val="0"/>
                <w:sz w:val="14"/>
              </w:rPr>
              <w:t>121</w:t>
            </w:r>
          </w:p>
        </w:tc>
        <w:tc>
          <w:tcPr>
            <w:tcW w:type="dxa" w:w="3528"/>
            <w:vAlign w:val="top"/>
          </w:tcPr>
          <w:p>
            <w:pPr>
              <w:spacing w:after="0" w:line="240" w:lineRule="auto"/>
            </w:pPr>
            <w:r/>
            <w:r>
              <w:rPr>
                <w:rFonts w:ascii="Times New Roman" w:hAnsi="Times New Roman" w:eastAsia="Times New Roman"/>
                <w:b w:val="0"/>
                <w:sz w:val="14"/>
              </w:rPr>
              <w:t>Abettor</w:t>
            </w:r>
          </w:p>
        </w:tc>
        <w:tc>
          <w:tcPr>
            <w:tcW w:type="dxa" w:w="5256"/>
            <w:vAlign w:val="top"/>
          </w:tcPr>
          <w:p>
            <w:pPr>
              <w:spacing w:after="0" w:line="240" w:lineRule="auto"/>
            </w:pPr>
            <w:r/>
            <w:r>
              <w:rPr>
                <w:rFonts w:ascii="Times New Roman" w:hAnsi="Times New Roman" w:eastAsia="Times New Roman"/>
                <w:b w:val="0"/>
                <w:sz w:val="14"/>
              </w:rPr>
              <w:t>A person who knowingly assists, advises, encourages, certifies false accounts or gives wrong advice is liable to half of the fee applicable to the principal offender; if the abettor is a government employee, the same fee as the principal offender applies.</w:t>
            </w:r>
          </w:p>
        </w:tc>
      </w:tr>
      <w:tr>
        <w:tc>
          <w:tcPr>
            <w:tcW w:type="dxa" w:w="1800"/>
            <w:vAlign w:val="top"/>
          </w:tcPr>
          <w:p>
            <w:pPr>
              <w:spacing w:after="0" w:line="240" w:lineRule="auto"/>
            </w:pPr>
            <w:r/>
            <w:r>
              <w:rPr>
                <w:rFonts w:ascii="Times New Roman" w:hAnsi="Times New Roman" w:eastAsia="Times New Roman"/>
                <w:b w:val="0"/>
                <w:sz w:val="14"/>
              </w:rPr>
              <w:t>119A</w:t>
            </w:r>
          </w:p>
        </w:tc>
        <w:tc>
          <w:tcPr>
            <w:tcW w:type="dxa" w:w="3528"/>
            <w:vAlign w:val="top"/>
          </w:tcPr>
          <w:p>
            <w:pPr>
              <w:spacing w:after="0" w:line="240" w:lineRule="auto"/>
            </w:pPr>
            <w:r/>
            <w:r>
              <w:rPr>
                <w:rFonts w:ascii="Times New Roman" w:hAnsi="Times New Roman" w:eastAsia="Times New Roman"/>
                <w:b w:val="0"/>
                <w:sz w:val="14"/>
              </w:rPr>
              <w:t>Violation of provisions of the Act or Rules where no specific fee is separately prescribed</w:t>
            </w:r>
          </w:p>
        </w:tc>
        <w:tc>
          <w:tcPr>
            <w:tcW w:type="dxa" w:w="5256"/>
            <w:vAlign w:val="top"/>
          </w:tcPr>
          <w:p>
            <w:pPr>
              <w:spacing w:after="0" w:line="240" w:lineRule="auto"/>
            </w:pPr>
            <w:r/>
            <w:r>
              <w:rPr>
                <w:rFonts w:ascii="Times New Roman" w:hAnsi="Times New Roman" w:eastAsia="Times New Roman"/>
                <w:b w:val="0"/>
                <w:sz w:val="14"/>
              </w:rPr>
              <w:t>The Department may impose the fee specified by the Act for failure to comply with the relevant statutory duty.</w:t>
            </w:r>
          </w:p>
        </w:tc>
      </w:tr>
    </w:tbl>
    <w:p/>
    <w:p>
      <w:pPr>
        <w:spacing w:after="80" w:line="252" w:lineRule="auto"/>
      </w:pPr>
      <w:r>
        <w:rPr>
          <w:rFonts w:ascii="Times New Roman" w:hAnsi="Times New Roman" w:eastAsia="Times New Roman"/>
          <w:b w:val="0"/>
          <w:i w:val="0"/>
          <w:sz w:val="21"/>
        </w:rPr>
        <w:t>The Directive explains that each fee must be calculated separately for each applicable section. Payment of a fee or interest does not release a person from criminal liability where the conduct also constitutes an offence.</w:t>
      </w:r>
    </w:p>
    <w:p>
      <w:pPr>
        <w:pStyle w:val="Heading3"/>
        <w:spacing w:after="80" w:line="252" w:lineRule="auto"/>
      </w:pPr>
      <w:r>
        <w:rPr>
          <w:rFonts w:ascii="Times New Roman" w:hAnsi="Times New Roman" w:eastAsia="Times New Roman"/>
          <w:b w:val="0"/>
          <w:i w:val="0"/>
        </w:rPr>
        <w:t>29.2.1 Examples of filing-related fees</w:t>
      </w:r>
    </w:p>
    <w:p>
      <w:pPr>
        <w:spacing w:after="80" w:line="252" w:lineRule="auto"/>
      </w:pPr>
      <w:r>
        <w:rPr>
          <w:rFonts w:ascii="Times New Roman" w:hAnsi="Times New Roman" w:eastAsia="Times New Roman"/>
          <w:b w:val="0"/>
          <w:i w:val="0"/>
          <w:sz w:val="21"/>
        </w:rPr>
        <w:t>The Directive gives examples on estimated return filing, income return filing, document retention and withholding statements. The calculation generally counts each full month and each part of a month as a month for the purpose of fee computation. Where an extension of time for filing has been granted but the return is not filed within the extended period, the fee is calculated from the original statutory date for filing.</w:t>
      </w:r>
    </w:p>
    <w:tbl>
      <w:tblPr>
        <w:tblStyle w:val="TableGrid"/>
        <w:tblW w:type="auto" w:w="0"/>
        <w:jc w:val="center"/>
        <w:tblLook w:firstColumn="1" w:firstRow="1" w:lastColumn="0" w:lastRow="0" w:noHBand="0" w:noVBand="1" w:val="04A0"/>
      </w:tblPr>
      <w:tblGrid>
        <w:gridCol w:w="3298"/>
        <w:gridCol w:w="3298"/>
        <w:gridCol w:w="3298"/>
      </w:tblGrid>
      <w:tr>
        <w:trPr>
          <w:tblHeader w:val="true"/>
        </w:trPr>
        <w:tc>
          <w:tcPr>
            <w:tcW w:type="dxa" w:w="1800"/>
            <w:vAlign w:val="top"/>
            <w:shd w:fill="D9EAF7"/>
          </w:tcPr>
          <w:p>
            <w:pPr>
              <w:spacing w:after="0" w:line="240" w:lineRule="auto"/>
            </w:pPr>
            <w:r/>
            <w:r>
              <w:rPr>
                <w:rFonts w:ascii="Times New Roman" w:hAnsi="Times New Roman" w:eastAsia="Times New Roman"/>
                <w:b/>
                <w:sz w:val="14"/>
              </w:rPr>
              <w:t>Example</w:t>
            </w:r>
          </w:p>
        </w:tc>
        <w:tc>
          <w:tcPr>
            <w:tcW w:type="dxa" w:w="5904"/>
            <w:vAlign w:val="top"/>
            <w:shd w:fill="D9EAF7"/>
          </w:tcPr>
          <w:p>
            <w:pPr>
              <w:spacing w:after="0" w:line="240" w:lineRule="auto"/>
            </w:pPr>
            <w:r/>
            <w:r>
              <w:rPr>
                <w:rFonts w:ascii="Times New Roman" w:hAnsi="Times New Roman" w:eastAsia="Times New Roman"/>
                <w:b/>
                <w:sz w:val="14"/>
              </w:rPr>
              <w:t>Facts</w:t>
            </w:r>
          </w:p>
        </w:tc>
        <w:tc>
          <w:tcPr>
            <w:tcW w:type="dxa" w:w="2880"/>
            <w:vAlign w:val="top"/>
            <w:shd w:fill="D9EAF7"/>
          </w:tcPr>
          <w:p>
            <w:pPr>
              <w:spacing w:after="0" w:line="240" w:lineRule="auto"/>
            </w:pPr>
            <w:r/>
            <w:r>
              <w:rPr>
                <w:rFonts w:ascii="Times New Roman" w:hAnsi="Times New Roman" w:eastAsia="Times New Roman"/>
                <w:b/>
                <w:sz w:val="14"/>
              </w:rPr>
              <w:t>Result</w:t>
            </w:r>
          </w:p>
        </w:tc>
      </w:tr>
      <w:tr>
        <w:tc>
          <w:tcPr>
            <w:tcW w:type="dxa" w:w="1800"/>
            <w:vAlign w:val="top"/>
          </w:tcPr>
          <w:p>
            <w:pPr>
              <w:spacing w:after="0" w:line="240" w:lineRule="auto"/>
            </w:pPr>
            <w:r/>
            <w:r>
              <w:rPr>
                <w:rFonts w:ascii="Times New Roman" w:hAnsi="Times New Roman" w:eastAsia="Times New Roman"/>
                <w:b w:val="0"/>
                <w:sz w:val="14"/>
              </w:rPr>
              <w:t>Example 29.2.1</w:t>
            </w:r>
          </w:p>
        </w:tc>
        <w:tc>
          <w:tcPr>
            <w:tcW w:type="dxa" w:w="5904"/>
            <w:vAlign w:val="top"/>
          </w:tcPr>
          <w:p>
            <w:pPr>
              <w:spacing w:after="0" w:line="240" w:lineRule="auto"/>
            </w:pPr>
            <w:r/>
            <w:r>
              <w:rPr>
                <w:rFonts w:ascii="Times New Roman" w:hAnsi="Times New Roman" w:eastAsia="Times New Roman"/>
                <w:b w:val="0"/>
                <w:sz w:val="14"/>
              </w:rPr>
              <w:t>A taxpayer was required to file the estimated statement by the end of Poush 2080 and failed to do so.</w:t>
            </w:r>
          </w:p>
        </w:tc>
        <w:tc>
          <w:tcPr>
            <w:tcW w:type="dxa" w:w="2880"/>
            <w:vAlign w:val="top"/>
          </w:tcPr>
          <w:p>
            <w:pPr>
              <w:spacing w:after="0" w:line="240" w:lineRule="auto"/>
            </w:pPr>
            <w:r/>
            <w:r>
              <w:rPr>
                <w:rFonts w:ascii="Times New Roman" w:hAnsi="Times New Roman" w:eastAsia="Times New Roman"/>
                <w:b w:val="0"/>
                <w:sz w:val="14"/>
              </w:rPr>
              <w:t>Minimum fee of Rs. 5,000 applies; if assessable income makes 0.01 per cent exceed Rs. 5,000, the higher amount applies.</w:t>
            </w:r>
          </w:p>
        </w:tc>
      </w:tr>
      <w:tr>
        <w:tc>
          <w:tcPr>
            <w:tcW w:type="dxa" w:w="1800"/>
            <w:vAlign w:val="top"/>
          </w:tcPr>
          <w:p>
            <w:pPr>
              <w:spacing w:after="0" w:line="240" w:lineRule="auto"/>
            </w:pPr>
            <w:r/>
            <w:r>
              <w:rPr>
                <w:rFonts w:ascii="Times New Roman" w:hAnsi="Times New Roman" w:eastAsia="Times New Roman"/>
                <w:b w:val="0"/>
                <w:sz w:val="14"/>
              </w:rPr>
              <w:t>Example 29.2.2</w:t>
            </w:r>
          </w:p>
        </w:tc>
        <w:tc>
          <w:tcPr>
            <w:tcW w:type="dxa" w:w="5904"/>
            <w:vAlign w:val="top"/>
          </w:tcPr>
          <w:p>
            <w:pPr>
              <w:spacing w:after="0" w:line="240" w:lineRule="auto"/>
            </w:pPr>
            <w:r/>
            <w:r>
              <w:rPr>
                <w:rFonts w:ascii="Times New Roman" w:hAnsi="Times New Roman" w:eastAsia="Times New Roman"/>
                <w:b w:val="0"/>
                <w:sz w:val="14"/>
              </w:rPr>
              <w:t>A company received extension up to end of Poush 2081 but filed the income return on 9 Magh 2081. Amount includible in income was Rs. 5,000,000 and deductible claim was Rs. 4,000,000.</w:t>
            </w:r>
          </w:p>
        </w:tc>
        <w:tc>
          <w:tcPr>
            <w:tcW w:type="dxa" w:w="2880"/>
            <w:vAlign w:val="top"/>
          </w:tcPr>
          <w:p>
            <w:pPr>
              <w:spacing w:after="0" w:line="240" w:lineRule="auto"/>
            </w:pPr>
            <w:r/>
            <w:r>
              <w:rPr>
                <w:rFonts w:ascii="Times New Roman" w:hAnsi="Times New Roman" w:eastAsia="Times New Roman"/>
                <w:b w:val="0"/>
                <w:sz w:val="14"/>
              </w:rPr>
              <w:t>For section 117(1)(c), assessable income is taken as Rs. 5,000,000 without deduction; fee for four months at 0.1 per cent per annum is Rs. 1,667.</w:t>
            </w:r>
          </w:p>
        </w:tc>
      </w:tr>
      <w:tr>
        <w:tc>
          <w:tcPr>
            <w:tcW w:type="dxa" w:w="1800"/>
            <w:vAlign w:val="top"/>
          </w:tcPr>
          <w:p>
            <w:pPr>
              <w:spacing w:after="0" w:line="240" w:lineRule="auto"/>
            </w:pPr>
            <w:r/>
            <w:r>
              <w:rPr>
                <w:rFonts w:ascii="Times New Roman" w:hAnsi="Times New Roman" w:eastAsia="Times New Roman"/>
                <w:b w:val="0"/>
                <w:sz w:val="14"/>
              </w:rPr>
              <w:t>Example 29.2.3</w:t>
            </w:r>
          </w:p>
        </w:tc>
        <w:tc>
          <w:tcPr>
            <w:tcW w:type="dxa" w:w="5904"/>
            <w:vAlign w:val="top"/>
          </w:tcPr>
          <w:p>
            <w:pPr>
              <w:spacing w:after="0" w:line="240" w:lineRule="auto"/>
            </w:pPr>
            <w:r/>
            <w:r>
              <w:rPr>
                <w:rFonts w:ascii="Times New Roman" w:hAnsi="Times New Roman" w:eastAsia="Times New Roman"/>
                <w:b w:val="0"/>
                <w:sz w:val="14"/>
              </w:rPr>
              <w:t>A company sold goods of Rs. 4,000,000 and claimed expenses of Rs. 3,000,000 but did not keep supporting documents.</w:t>
            </w:r>
          </w:p>
        </w:tc>
        <w:tc>
          <w:tcPr>
            <w:tcW w:type="dxa" w:w="2880"/>
            <w:vAlign w:val="top"/>
          </w:tcPr>
          <w:p>
            <w:pPr>
              <w:spacing w:after="0" w:line="240" w:lineRule="auto"/>
            </w:pPr>
            <w:r/>
            <w:r>
              <w:rPr>
                <w:rFonts w:ascii="Times New Roman" w:hAnsi="Times New Roman" w:eastAsia="Times New Roman"/>
                <w:b w:val="0"/>
                <w:sz w:val="14"/>
              </w:rPr>
              <w:t>Assessable income for fee purposes is Rs. 4,000,000; 0.1 per cent equals Rs. 4,000, higher than minimum Rs. 1,000.</w:t>
            </w:r>
          </w:p>
        </w:tc>
      </w:tr>
      <w:tr>
        <w:tc>
          <w:tcPr>
            <w:tcW w:type="dxa" w:w="1800"/>
            <w:vAlign w:val="top"/>
          </w:tcPr>
          <w:p>
            <w:pPr>
              <w:spacing w:after="0" w:line="240" w:lineRule="auto"/>
            </w:pPr>
            <w:r/>
            <w:r>
              <w:rPr>
                <w:rFonts w:ascii="Times New Roman" w:hAnsi="Times New Roman" w:eastAsia="Times New Roman"/>
                <w:b w:val="0"/>
                <w:sz w:val="14"/>
              </w:rPr>
              <w:t>Example 29.2.4</w:t>
            </w:r>
          </w:p>
        </w:tc>
        <w:tc>
          <w:tcPr>
            <w:tcW w:type="dxa" w:w="5904"/>
            <w:vAlign w:val="top"/>
          </w:tcPr>
          <w:p>
            <w:pPr>
              <w:spacing w:after="0" w:line="240" w:lineRule="auto"/>
            </w:pPr>
            <w:r>
              <w:t>A person withholding advance tax deducted Rs. 20,000 for Shrawan 2080, deposited the tax by 25 Bhadra, but filed the statement only on 3 Ashwin.</w:t>
            </w:r>
            <w:r>
              <w:rPr>
                <w:rFonts w:ascii="Times New Roman" w:hAnsi="Times New Roman" w:eastAsia="Times New Roman"/>
                <w:b w:val="0"/>
                <w:sz w:val="14"/>
              </w:rPr>
            </w:r>
          </w:p>
        </w:tc>
        <w:tc>
          <w:tcPr>
            <w:tcW w:type="dxa" w:w="2880"/>
            <w:vAlign w:val="top"/>
          </w:tcPr>
          <w:p>
            <w:pPr>
              <w:spacing w:after="0" w:line="240" w:lineRule="auto"/>
            </w:pPr>
            <w:r/>
            <w:r>
              <w:rPr>
                <w:rFonts w:ascii="Times New Roman" w:hAnsi="Times New Roman" w:eastAsia="Times New Roman"/>
                <w:b w:val="0"/>
                <w:sz w:val="14"/>
              </w:rPr>
              <w:t>Fee is computed at 2.5 per cent per annum for two months: Rs. 83.33.</w:t>
            </w:r>
          </w:p>
        </w:tc>
      </w:tr>
    </w:tbl>
    <w:p/>
    <w:p>
      <w:pPr>
        <w:pStyle w:val="Heading2"/>
        <w:spacing w:after="80" w:line="252" w:lineRule="auto"/>
      </w:pPr>
      <w:r>
        <w:rPr>
          <w:rFonts w:ascii="Times New Roman" w:hAnsi="Times New Roman" w:eastAsia="Times New Roman"/>
          <w:b w:val="0"/>
          <w:i w:val="0"/>
        </w:rPr>
        <w:t>29.3 Provisions relating to interest</w:t>
      </w:r>
    </w:p>
    <w:p>
      <w:pPr>
        <w:spacing w:after="80" w:line="252" w:lineRule="auto"/>
      </w:pPr>
      <w:r>
        <w:rPr>
          <w:rFonts w:ascii="Times New Roman" w:hAnsi="Times New Roman" w:eastAsia="Times New Roman"/>
          <w:b w:val="0"/>
          <w:i w:val="0"/>
          <w:sz w:val="21"/>
        </w:rPr>
        <w:t>Interest is charged to neutralise the benefit of retaining tax that should have been paid. The normal interest rate referred to in the Directive is fifteen per cent per annum, calculated for each month and part of a month unless the Act provides otherwise.</w:t>
      </w:r>
    </w:p>
    <w:tbl>
      <w:tblPr>
        <w:tblStyle w:val="TableGrid"/>
        <w:tblW w:type="auto" w:w="0"/>
        <w:jc w:val="center"/>
        <w:tblLook w:firstColumn="1" w:firstRow="1" w:lastColumn="0" w:lastRow="0" w:noHBand="0" w:noVBand="1" w:val="04A0"/>
      </w:tblPr>
      <w:tblGrid>
        <w:gridCol w:w="3298"/>
        <w:gridCol w:w="3298"/>
        <w:gridCol w:w="3298"/>
      </w:tblGrid>
      <w:tr>
        <w:trPr>
          <w:tblHeader w:val="true"/>
        </w:trPr>
        <w:tc>
          <w:tcPr>
            <w:tcW w:type="dxa" w:w="1872"/>
            <w:vAlign w:val="top"/>
            <w:shd w:fill="D9EAF7"/>
          </w:tcPr>
          <w:p>
            <w:pPr>
              <w:spacing w:after="0" w:line="240" w:lineRule="auto"/>
            </w:pPr>
            <w:r/>
            <w:r>
              <w:rPr>
                <w:rFonts w:ascii="Times New Roman" w:hAnsi="Times New Roman" w:eastAsia="Times New Roman"/>
                <w:b/>
                <w:sz w:val="14"/>
              </w:rPr>
              <w:t>Provision</w:t>
            </w:r>
          </w:p>
        </w:tc>
        <w:tc>
          <w:tcPr>
            <w:tcW w:type="dxa" w:w="4320"/>
            <w:vAlign w:val="top"/>
            <w:shd w:fill="D9EAF7"/>
          </w:tcPr>
          <w:p>
            <w:pPr>
              <w:spacing w:after="0" w:line="240" w:lineRule="auto"/>
            </w:pPr>
            <w:r/>
            <w:r>
              <w:rPr>
                <w:rFonts w:ascii="Times New Roman" w:hAnsi="Times New Roman" w:eastAsia="Times New Roman"/>
                <w:b/>
                <w:sz w:val="14"/>
              </w:rPr>
              <w:t>Situation</w:t>
            </w:r>
          </w:p>
        </w:tc>
        <w:tc>
          <w:tcPr>
            <w:tcW w:type="dxa" w:w="4392"/>
            <w:vAlign w:val="top"/>
            <w:shd w:fill="D9EAF7"/>
          </w:tcPr>
          <w:p>
            <w:pPr>
              <w:spacing w:after="0" w:line="240" w:lineRule="auto"/>
            </w:pPr>
            <w:r/>
            <w:r>
              <w:rPr>
                <w:rFonts w:ascii="Times New Roman" w:hAnsi="Times New Roman" w:eastAsia="Times New Roman"/>
                <w:b/>
                <w:sz w:val="14"/>
              </w:rPr>
              <w:t>Interest treatment</w:t>
            </w:r>
          </w:p>
        </w:tc>
      </w:tr>
      <w:tr>
        <w:tc>
          <w:tcPr>
            <w:tcW w:type="dxa" w:w="1872"/>
            <w:vAlign w:val="top"/>
          </w:tcPr>
          <w:p>
            <w:pPr>
              <w:spacing w:after="0" w:line="240" w:lineRule="auto"/>
            </w:pPr>
            <w:r/>
            <w:r>
              <w:rPr>
                <w:rFonts w:ascii="Times New Roman" w:hAnsi="Times New Roman" w:eastAsia="Times New Roman"/>
                <w:b w:val="0"/>
                <w:sz w:val="14"/>
              </w:rPr>
              <w:t>118</w:t>
            </w:r>
          </w:p>
        </w:tc>
        <w:tc>
          <w:tcPr>
            <w:tcW w:type="dxa" w:w="4320"/>
            <w:vAlign w:val="top"/>
          </w:tcPr>
          <w:p>
            <w:pPr>
              <w:spacing w:after="0" w:line="240" w:lineRule="auto"/>
            </w:pPr>
            <w:r/>
            <w:r>
              <w:rPr>
                <w:rFonts w:ascii="Times New Roman" w:hAnsi="Times New Roman" w:eastAsia="Times New Roman"/>
                <w:b w:val="0"/>
                <w:sz w:val="14"/>
              </w:rPr>
              <w:t>Underpayment of instalment tax</w:t>
            </w:r>
          </w:p>
        </w:tc>
        <w:tc>
          <w:tcPr>
            <w:tcW w:type="dxa" w:w="4392"/>
            <w:vAlign w:val="top"/>
          </w:tcPr>
          <w:p>
            <w:pPr>
              <w:spacing w:after="0" w:line="240" w:lineRule="auto"/>
            </w:pPr>
            <w:r/>
            <w:r>
              <w:rPr>
                <w:rFonts w:ascii="Times New Roman" w:hAnsi="Times New Roman" w:eastAsia="Times New Roman"/>
                <w:b w:val="0"/>
                <w:sz w:val="14"/>
              </w:rPr>
              <w:t>Where instalments paid are less than ninety per cent of the instalment amount required to be paid, interest at the normal rate is charged on the shortfall from the due date of the instalment.</w:t>
            </w:r>
          </w:p>
        </w:tc>
      </w:tr>
      <w:tr>
        <w:tc>
          <w:tcPr>
            <w:tcW w:type="dxa" w:w="1872"/>
            <w:vAlign w:val="top"/>
          </w:tcPr>
          <w:p>
            <w:pPr>
              <w:spacing w:after="0" w:line="240" w:lineRule="auto"/>
            </w:pPr>
            <w:r/>
            <w:r>
              <w:rPr>
                <w:rFonts w:ascii="Times New Roman" w:hAnsi="Times New Roman" w:eastAsia="Times New Roman"/>
                <w:b w:val="0"/>
                <w:sz w:val="14"/>
              </w:rPr>
              <w:t>118 - period</w:t>
            </w:r>
          </w:p>
        </w:tc>
        <w:tc>
          <w:tcPr>
            <w:tcW w:type="dxa" w:w="4320"/>
            <w:vAlign w:val="top"/>
          </w:tcPr>
          <w:p>
            <w:pPr>
              <w:spacing w:after="0" w:line="240" w:lineRule="auto"/>
            </w:pPr>
            <w:r/>
            <w:r>
              <w:rPr>
                <w:rFonts w:ascii="Times New Roman" w:hAnsi="Times New Roman" w:eastAsia="Times New Roman"/>
                <w:b w:val="0"/>
                <w:sz w:val="14"/>
              </w:rPr>
              <w:t>Self-assessment filed under section 99(1)</w:t>
            </w:r>
          </w:p>
        </w:tc>
        <w:tc>
          <w:tcPr>
            <w:tcW w:type="dxa" w:w="4392"/>
            <w:vAlign w:val="top"/>
          </w:tcPr>
          <w:p>
            <w:pPr>
              <w:spacing w:after="0" w:line="240" w:lineRule="auto"/>
            </w:pPr>
            <w:r/>
            <w:r>
              <w:rPr>
                <w:rFonts w:ascii="Times New Roman" w:hAnsi="Times New Roman" w:eastAsia="Times New Roman"/>
                <w:b w:val="0"/>
                <w:sz w:val="14"/>
              </w:rPr>
              <w:t>Interest runs from the instalment due date to the due date for filing the income return.</w:t>
            </w:r>
          </w:p>
        </w:tc>
      </w:tr>
      <w:tr>
        <w:tc>
          <w:tcPr>
            <w:tcW w:type="dxa" w:w="1872"/>
            <w:vAlign w:val="top"/>
          </w:tcPr>
          <w:p>
            <w:pPr>
              <w:spacing w:after="0" w:line="240" w:lineRule="auto"/>
            </w:pPr>
            <w:r/>
            <w:r>
              <w:rPr>
                <w:rFonts w:ascii="Times New Roman" w:hAnsi="Times New Roman" w:eastAsia="Times New Roman"/>
                <w:b w:val="0"/>
                <w:sz w:val="14"/>
              </w:rPr>
              <w:t>118 - first amended assessment</w:t>
            </w:r>
          </w:p>
        </w:tc>
        <w:tc>
          <w:tcPr>
            <w:tcW w:type="dxa" w:w="4320"/>
            <w:vAlign w:val="top"/>
          </w:tcPr>
          <w:p>
            <w:pPr>
              <w:spacing w:after="0" w:line="240" w:lineRule="auto"/>
            </w:pPr>
            <w:r/>
            <w:r>
              <w:rPr>
                <w:rFonts w:ascii="Times New Roman" w:hAnsi="Times New Roman" w:eastAsia="Times New Roman"/>
                <w:b w:val="0"/>
                <w:sz w:val="14"/>
              </w:rPr>
              <w:t>Where the Department makes the first amended assessment because no self-assessment was made</w:t>
            </w:r>
          </w:p>
        </w:tc>
        <w:tc>
          <w:tcPr>
            <w:tcW w:type="dxa" w:w="4392"/>
            <w:vAlign w:val="top"/>
          </w:tcPr>
          <w:p>
            <w:pPr>
              <w:spacing w:after="0" w:line="240" w:lineRule="auto"/>
            </w:pPr>
            <w:r/>
            <w:r>
              <w:rPr>
                <w:rFonts w:ascii="Times New Roman" w:hAnsi="Times New Roman" w:eastAsia="Times New Roman"/>
                <w:b w:val="0"/>
                <w:sz w:val="14"/>
              </w:rPr>
              <w:t>Interest runs from the instalment due date up to the date on which notice of amended assessment is served under section 102.</w:t>
            </w:r>
          </w:p>
        </w:tc>
      </w:tr>
      <w:tr>
        <w:tc>
          <w:tcPr>
            <w:tcW w:type="dxa" w:w="1872"/>
            <w:vAlign w:val="top"/>
          </w:tcPr>
          <w:p>
            <w:pPr>
              <w:spacing w:after="0" w:line="240" w:lineRule="auto"/>
            </w:pPr>
            <w:r/>
            <w:r>
              <w:rPr>
                <w:rFonts w:ascii="Times New Roman" w:hAnsi="Times New Roman" w:eastAsia="Times New Roman"/>
                <w:b w:val="0"/>
                <w:sz w:val="14"/>
              </w:rPr>
              <w:t>119(1)</w:t>
            </w:r>
          </w:p>
        </w:tc>
        <w:tc>
          <w:tcPr>
            <w:tcW w:type="dxa" w:w="4320"/>
            <w:vAlign w:val="top"/>
          </w:tcPr>
          <w:p>
            <w:pPr>
              <w:spacing w:after="0" w:line="240" w:lineRule="auto"/>
            </w:pPr>
            <w:r/>
            <w:r>
              <w:rPr>
                <w:rFonts w:ascii="Times New Roman" w:hAnsi="Times New Roman" w:eastAsia="Times New Roman"/>
                <w:b w:val="0"/>
                <w:sz w:val="14"/>
              </w:rPr>
              <w:t>Tax not paid by the prescribed due date</w:t>
            </w:r>
          </w:p>
        </w:tc>
        <w:tc>
          <w:tcPr>
            <w:tcW w:type="dxa" w:w="4392"/>
            <w:vAlign w:val="top"/>
          </w:tcPr>
          <w:p>
            <w:pPr>
              <w:spacing w:after="0" w:line="240" w:lineRule="auto"/>
            </w:pPr>
            <w:r/>
            <w:r>
              <w:rPr>
                <w:rFonts w:ascii="Times New Roman" w:hAnsi="Times New Roman" w:eastAsia="Times New Roman"/>
                <w:b w:val="0"/>
                <w:sz w:val="14"/>
              </w:rPr>
              <w:t>Interest at the normal rate is charged on the outstanding amount for the period of delay.</w:t>
            </w:r>
          </w:p>
        </w:tc>
      </w:tr>
      <w:tr>
        <w:tc>
          <w:tcPr>
            <w:tcW w:type="dxa" w:w="1872"/>
            <w:vAlign w:val="top"/>
          </w:tcPr>
          <w:p>
            <w:pPr>
              <w:spacing w:after="0" w:line="240" w:lineRule="auto"/>
            </w:pPr>
            <w:r/>
            <w:r>
              <w:rPr>
                <w:rFonts w:ascii="Times New Roman" w:hAnsi="Times New Roman" w:eastAsia="Times New Roman"/>
                <w:b w:val="0"/>
                <w:sz w:val="14"/>
              </w:rPr>
              <w:t>119(2)</w:t>
            </w:r>
          </w:p>
        </w:tc>
        <w:tc>
          <w:tcPr>
            <w:tcW w:type="dxa" w:w="4320"/>
            <w:vAlign w:val="top"/>
          </w:tcPr>
          <w:p>
            <w:pPr>
              <w:spacing w:after="0" w:line="240" w:lineRule="auto"/>
            </w:pPr>
            <w:r/>
            <w:r>
              <w:rPr>
                <w:rFonts w:ascii="Times New Roman" w:hAnsi="Times New Roman" w:eastAsia="Times New Roman"/>
                <w:b w:val="0"/>
                <w:sz w:val="14"/>
              </w:rPr>
              <w:t>Extension of return filing time under section 98</w:t>
            </w:r>
          </w:p>
        </w:tc>
        <w:tc>
          <w:tcPr>
            <w:tcW w:type="dxa" w:w="4392"/>
            <w:vAlign w:val="top"/>
          </w:tcPr>
          <w:p>
            <w:pPr>
              <w:spacing w:after="0" w:line="240" w:lineRule="auto"/>
            </w:pPr>
            <w:r/>
            <w:r>
              <w:rPr>
                <w:rFonts w:ascii="Times New Roman" w:hAnsi="Times New Roman" w:eastAsia="Times New Roman"/>
                <w:b w:val="0"/>
                <w:sz w:val="14"/>
              </w:rPr>
              <w:t>No exemption from interest is given merely because time for filing the return was extended.</w:t>
            </w:r>
          </w:p>
        </w:tc>
      </w:tr>
      <w:tr>
        <w:tc>
          <w:tcPr>
            <w:tcW w:type="dxa" w:w="1872"/>
            <w:vAlign w:val="top"/>
          </w:tcPr>
          <w:p>
            <w:pPr>
              <w:spacing w:after="0" w:line="240" w:lineRule="auto"/>
            </w:pPr>
            <w:r/>
            <w:r>
              <w:rPr>
                <w:rFonts w:ascii="Times New Roman" w:hAnsi="Times New Roman" w:eastAsia="Times New Roman"/>
                <w:b w:val="0"/>
                <w:sz w:val="14"/>
              </w:rPr>
              <w:t>119(3)</w:t>
            </w:r>
          </w:p>
        </w:tc>
        <w:tc>
          <w:tcPr>
            <w:tcW w:type="dxa" w:w="4320"/>
            <w:vAlign w:val="top"/>
          </w:tcPr>
          <w:p>
            <w:pPr>
              <w:spacing w:after="0" w:line="240" w:lineRule="auto"/>
            </w:pPr>
            <w:r>
              <w:t>Person withholding advance tax or advance-tax collector delays deposit</w:t>
            </w:r>
            <w:r>
              <w:rPr>
                <w:rFonts w:ascii="Times New Roman" w:hAnsi="Times New Roman" w:eastAsia="Times New Roman"/>
                <w:b w:val="0"/>
                <w:sz w:val="14"/>
              </w:rPr>
            </w:r>
          </w:p>
        </w:tc>
        <w:tc>
          <w:tcPr>
            <w:tcW w:type="dxa" w:w="4392"/>
            <w:vAlign w:val="top"/>
          </w:tcPr>
          <w:p>
            <w:pPr>
              <w:spacing w:after="0" w:line="240" w:lineRule="auto"/>
            </w:pPr>
            <w:r>
              <w:t>Interest payable by the agent or collector cannot be recovered from the person subject to tax withholding or from the person from whom advance tax was collected.</w:t>
            </w:r>
            <w:r>
              <w:rPr>
                <w:rFonts w:ascii="Times New Roman" w:hAnsi="Times New Roman" w:eastAsia="Times New Roman"/>
                <w:b w:val="0"/>
                <w:sz w:val="14"/>
              </w:rPr>
            </w:r>
          </w:p>
        </w:tc>
      </w:tr>
      <w:tr>
        <w:tc>
          <w:tcPr>
            <w:tcW w:type="dxa" w:w="1872"/>
            <w:vAlign w:val="top"/>
          </w:tcPr>
          <w:p>
            <w:pPr>
              <w:spacing w:after="0" w:line="240" w:lineRule="auto"/>
            </w:pPr>
            <w:r/>
            <w:r>
              <w:rPr>
                <w:rFonts w:ascii="Times New Roman" w:hAnsi="Times New Roman" w:eastAsia="Times New Roman"/>
                <w:b w:val="0"/>
                <w:sz w:val="14"/>
              </w:rPr>
              <w:t>119(4)</w:t>
            </w:r>
          </w:p>
        </w:tc>
        <w:tc>
          <w:tcPr>
            <w:tcW w:type="dxa" w:w="4320"/>
            <w:vAlign w:val="top"/>
          </w:tcPr>
          <w:p>
            <w:pPr>
              <w:spacing w:after="0" w:line="240" w:lineRule="auto"/>
            </w:pPr>
            <w:r/>
            <w:r>
              <w:rPr>
                <w:rFonts w:ascii="Times New Roman" w:hAnsi="Times New Roman" w:eastAsia="Times New Roman"/>
                <w:b w:val="0"/>
                <w:sz w:val="14"/>
              </w:rPr>
              <w:t>Instalment arrangement for arrears under section 110A not complied with</w:t>
            </w:r>
          </w:p>
        </w:tc>
        <w:tc>
          <w:tcPr>
            <w:tcW w:type="dxa" w:w="4392"/>
            <w:vAlign w:val="top"/>
          </w:tcPr>
          <w:p>
            <w:pPr>
              <w:spacing w:after="0" w:line="240" w:lineRule="auto"/>
            </w:pPr>
            <w:r/>
            <w:r>
              <w:rPr>
                <w:rFonts w:ascii="Times New Roman" w:hAnsi="Times New Roman" w:eastAsia="Times New Roman"/>
                <w:b w:val="0"/>
                <w:sz w:val="14"/>
              </w:rPr>
              <w:t>Additional interest of five per cent per annum is imposed on the unpaid tax in addition to interest otherwise payable.</w:t>
            </w:r>
          </w:p>
        </w:tc>
      </w:tr>
    </w:tbl>
    <w:p/>
    <w:p>
      <w:pPr>
        <w:spacing w:after="80" w:line="252" w:lineRule="auto"/>
      </w:pPr>
      <w:r>
        <w:rPr>
          <w:rFonts w:ascii="Times New Roman" w:hAnsi="Times New Roman" w:eastAsia="Times New Roman"/>
          <w:b w:val="0"/>
          <w:i w:val="0"/>
          <w:sz w:val="21"/>
        </w:rPr>
        <w:t>In the instalment examples, the Directive calculates the required instalment at forty per cent, seventy per cent and one hundred per cent of the annual tax liability, compares it with amounts actually paid, applies the ninety per cent threshold, and computes interest for the relevant months. For unpaid self-assessed tax, interest is also computed from the return due date until the date of payment.</w:t>
      </w:r>
    </w:p>
    <w:p>
      <w:pPr>
        <w:pStyle w:val="Heading2"/>
        <w:spacing w:after="80" w:line="252" w:lineRule="auto"/>
      </w:pPr>
      <w:r>
        <w:rPr>
          <w:rFonts w:ascii="Times New Roman" w:hAnsi="Times New Roman" w:eastAsia="Times New Roman"/>
          <w:b w:val="0"/>
          <w:i w:val="0"/>
        </w:rPr>
        <w:t>29.4 Provisions relating to penalties</w:t>
      </w:r>
    </w:p>
    <w:p>
      <w:pPr>
        <w:spacing w:after="80" w:line="252" w:lineRule="auto"/>
      </w:pPr>
      <w:r>
        <w:rPr>
          <w:rFonts w:ascii="Times New Roman" w:hAnsi="Times New Roman" w:eastAsia="Times New Roman"/>
          <w:b w:val="0"/>
          <w:i w:val="0"/>
          <w:sz w:val="21"/>
        </w:rPr>
        <w:t>Penalty, in this chapter, means punishment for acts or omissions constituting offences under the Act. Unlike fees and interest, penalties are generally imposed after prosecution before the District Court, except where the Department is authorised to order payment of penalty under section 129 before court proceedings begin.</w:t>
      </w:r>
    </w:p>
    <w:tbl>
      <w:tblPr>
        <w:tblStyle w:val="TableGrid"/>
        <w:tblW w:type="auto" w:w="0"/>
        <w:jc w:val="center"/>
        <w:tblLook w:firstColumn="1" w:firstRow="1" w:lastColumn="0" w:lastRow="0" w:noHBand="0" w:noVBand="1" w:val="04A0"/>
      </w:tblPr>
      <w:tblGrid>
        <w:gridCol w:w="3298"/>
        <w:gridCol w:w="3298"/>
        <w:gridCol w:w="3298"/>
      </w:tblGrid>
      <w:tr>
        <w:trPr>
          <w:tblHeader w:val="true"/>
        </w:trPr>
        <w:tc>
          <w:tcPr>
            <w:tcW w:type="dxa" w:w="1440"/>
            <w:vAlign w:val="top"/>
            <w:shd w:fill="D9EAF7"/>
          </w:tcPr>
          <w:p>
            <w:pPr>
              <w:spacing w:after="0" w:line="240" w:lineRule="auto"/>
            </w:pPr>
            <w:r/>
            <w:r>
              <w:rPr>
                <w:rFonts w:ascii="Times New Roman" w:hAnsi="Times New Roman" w:eastAsia="Times New Roman"/>
                <w:b/>
                <w:sz w:val="14"/>
              </w:rPr>
              <w:t>Section</w:t>
            </w:r>
          </w:p>
        </w:tc>
        <w:tc>
          <w:tcPr>
            <w:tcW w:type="dxa" w:w="5760"/>
            <w:vAlign w:val="top"/>
            <w:shd w:fill="D9EAF7"/>
          </w:tcPr>
          <w:p>
            <w:pPr>
              <w:spacing w:after="0" w:line="240" w:lineRule="auto"/>
            </w:pPr>
            <w:r/>
            <w:r>
              <w:rPr>
                <w:rFonts w:ascii="Times New Roman" w:hAnsi="Times New Roman" w:eastAsia="Times New Roman"/>
                <w:b/>
                <w:sz w:val="14"/>
              </w:rPr>
              <w:t>Offence</w:t>
            </w:r>
          </w:p>
        </w:tc>
        <w:tc>
          <w:tcPr>
            <w:tcW w:type="dxa" w:w="3384"/>
            <w:vAlign w:val="top"/>
            <w:shd w:fill="D9EAF7"/>
          </w:tcPr>
          <w:p>
            <w:pPr>
              <w:spacing w:after="0" w:line="240" w:lineRule="auto"/>
            </w:pPr>
            <w:r/>
            <w:r>
              <w:rPr>
                <w:rFonts w:ascii="Times New Roman" w:hAnsi="Times New Roman" w:eastAsia="Times New Roman"/>
                <w:b/>
                <w:sz w:val="14"/>
              </w:rPr>
              <w:t>Penalty / punishment</w:t>
            </w:r>
          </w:p>
        </w:tc>
      </w:tr>
      <w:tr>
        <w:tc>
          <w:tcPr>
            <w:tcW w:type="dxa" w:w="1440"/>
            <w:vAlign w:val="top"/>
          </w:tcPr>
          <w:p>
            <w:pPr>
              <w:spacing w:after="0" w:line="240" w:lineRule="auto"/>
            </w:pPr>
            <w:r/>
            <w:r>
              <w:rPr>
                <w:rFonts w:ascii="Times New Roman" w:hAnsi="Times New Roman" w:eastAsia="Times New Roman"/>
                <w:b w:val="0"/>
                <w:sz w:val="14"/>
              </w:rPr>
              <w:t>123</w:t>
            </w:r>
          </w:p>
        </w:tc>
        <w:tc>
          <w:tcPr>
            <w:tcW w:type="dxa" w:w="5760"/>
            <w:vAlign w:val="top"/>
          </w:tcPr>
          <w:p>
            <w:pPr>
              <w:spacing w:after="0" w:line="240" w:lineRule="auto"/>
            </w:pPr>
            <w:r/>
            <w:r>
              <w:rPr>
                <w:rFonts w:ascii="Times New Roman" w:hAnsi="Times New Roman" w:eastAsia="Times New Roman"/>
                <w:b w:val="0"/>
                <w:sz w:val="14"/>
              </w:rPr>
              <w:t>Failure to pay tax by the prescribed time without reasonable cause</w:t>
            </w:r>
          </w:p>
        </w:tc>
        <w:tc>
          <w:tcPr>
            <w:tcW w:type="dxa" w:w="3384"/>
            <w:vAlign w:val="top"/>
          </w:tcPr>
          <w:p>
            <w:pPr>
              <w:spacing w:after="0" w:line="240" w:lineRule="auto"/>
            </w:pPr>
            <w:r/>
            <w:r>
              <w:rPr>
                <w:rFonts w:ascii="Times New Roman" w:hAnsi="Times New Roman" w:eastAsia="Times New Roman"/>
                <w:b w:val="0"/>
                <w:sz w:val="14"/>
              </w:rPr>
              <w:t>Fine from Rs. 5,000 to Rs. 30,000, or imprisonment from one month to three months, or both.</w:t>
            </w:r>
          </w:p>
        </w:tc>
      </w:tr>
      <w:tr>
        <w:tc>
          <w:tcPr>
            <w:tcW w:type="dxa" w:w="1440"/>
            <w:vAlign w:val="top"/>
          </w:tcPr>
          <w:p>
            <w:pPr>
              <w:spacing w:after="0" w:line="240" w:lineRule="auto"/>
            </w:pPr>
            <w:r/>
            <w:r>
              <w:rPr>
                <w:rFonts w:ascii="Times New Roman" w:hAnsi="Times New Roman" w:eastAsia="Times New Roman"/>
                <w:b w:val="0"/>
                <w:sz w:val="14"/>
              </w:rPr>
              <w:t>124</w:t>
            </w:r>
          </w:p>
        </w:tc>
        <w:tc>
          <w:tcPr>
            <w:tcW w:type="dxa" w:w="5760"/>
            <w:vAlign w:val="top"/>
          </w:tcPr>
          <w:p>
            <w:pPr>
              <w:spacing w:after="0" w:line="240" w:lineRule="auto"/>
            </w:pPr>
            <w:r/>
            <w:r>
              <w:rPr>
                <w:rFonts w:ascii="Times New Roman" w:hAnsi="Times New Roman" w:eastAsia="Times New Roman"/>
                <w:b w:val="0"/>
                <w:sz w:val="14"/>
              </w:rPr>
              <w:t>Knowingly or negligently giving false or misleading information or statement, including omission of a material matter</w:t>
            </w:r>
          </w:p>
        </w:tc>
        <w:tc>
          <w:tcPr>
            <w:tcW w:type="dxa" w:w="3384"/>
            <w:vAlign w:val="top"/>
          </w:tcPr>
          <w:p>
            <w:pPr>
              <w:spacing w:after="0" w:line="240" w:lineRule="auto"/>
            </w:pPr>
            <w:r/>
            <w:r>
              <w:rPr>
                <w:rFonts w:ascii="Times New Roman" w:hAnsi="Times New Roman" w:eastAsia="Times New Roman"/>
                <w:b w:val="0"/>
                <w:sz w:val="14"/>
              </w:rPr>
              <w:t>Fine from Rs. 40,000 to Rs. 160,000, or imprisonment from six months to two years, or both.</w:t>
            </w:r>
          </w:p>
        </w:tc>
      </w:tr>
      <w:tr>
        <w:tc>
          <w:tcPr>
            <w:tcW w:type="dxa" w:w="1440"/>
            <w:vAlign w:val="top"/>
          </w:tcPr>
          <w:p>
            <w:pPr>
              <w:spacing w:after="0" w:line="240" w:lineRule="auto"/>
            </w:pPr>
            <w:r/>
            <w:r>
              <w:rPr>
                <w:rFonts w:ascii="Times New Roman" w:hAnsi="Times New Roman" w:eastAsia="Times New Roman"/>
                <w:b w:val="0"/>
                <w:sz w:val="14"/>
              </w:rPr>
              <w:t>125(1)</w:t>
            </w:r>
          </w:p>
        </w:tc>
        <w:tc>
          <w:tcPr>
            <w:tcW w:type="dxa" w:w="5760"/>
            <w:vAlign w:val="top"/>
          </w:tcPr>
          <w:p>
            <w:pPr>
              <w:spacing w:after="0" w:line="240" w:lineRule="auto"/>
            </w:pPr>
            <w:r/>
            <w:r>
              <w:rPr>
                <w:rFonts w:ascii="Times New Roman" w:hAnsi="Times New Roman" w:eastAsia="Times New Roman"/>
                <w:b w:val="0"/>
                <w:sz w:val="14"/>
              </w:rPr>
              <w:t>Obstructing an officer in performance of duty, not acting according to a notice under section 83, or otherwise obstructing implementation of the Act</w:t>
            </w:r>
          </w:p>
        </w:tc>
        <w:tc>
          <w:tcPr>
            <w:tcW w:type="dxa" w:w="3384"/>
            <w:vAlign w:val="top"/>
          </w:tcPr>
          <w:p>
            <w:pPr>
              <w:spacing w:after="0" w:line="240" w:lineRule="auto"/>
            </w:pPr>
            <w:r/>
            <w:r>
              <w:rPr>
                <w:rFonts w:ascii="Times New Roman" w:hAnsi="Times New Roman" w:eastAsia="Times New Roman"/>
                <w:b w:val="0"/>
                <w:sz w:val="14"/>
              </w:rPr>
              <w:t>Fine from Rs. 5,000 to Rs. 20,000, or imprisonment from one month to three months, or both.</w:t>
            </w:r>
          </w:p>
        </w:tc>
      </w:tr>
      <w:tr>
        <w:tc>
          <w:tcPr>
            <w:tcW w:type="dxa" w:w="1440"/>
            <w:vAlign w:val="top"/>
          </w:tcPr>
          <w:p>
            <w:pPr>
              <w:spacing w:after="0" w:line="240" w:lineRule="auto"/>
            </w:pPr>
            <w:r/>
            <w:r>
              <w:rPr>
                <w:rFonts w:ascii="Times New Roman" w:hAnsi="Times New Roman" w:eastAsia="Times New Roman"/>
                <w:b w:val="0"/>
                <w:sz w:val="14"/>
              </w:rPr>
              <w:t>125(2)</w:t>
            </w:r>
          </w:p>
        </w:tc>
        <w:tc>
          <w:tcPr>
            <w:tcW w:type="dxa" w:w="5760"/>
            <w:vAlign w:val="top"/>
          </w:tcPr>
          <w:p>
            <w:pPr>
              <w:spacing w:after="0" w:line="240" w:lineRule="auto"/>
            </w:pPr>
            <w:r/>
            <w:r>
              <w:rPr>
                <w:rFonts w:ascii="Times New Roman" w:hAnsi="Times New Roman" w:eastAsia="Times New Roman"/>
                <w:b w:val="0"/>
                <w:sz w:val="14"/>
              </w:rPr>
              <w:t>Attempt to commit the acts described in section 125(1)</w:t>
            </w:r>
          </w:p>
        </w:tc>
        <w:tc>
          <w:tcPr>
            <w:tcW w:type="dxa" w:w="3384"/>
            <w:vAlign w:val="top"/>
          </w:tcPr>
          <w:p>
            <w:pPr>
              <w:spacing w:after="0" w:line="240" w:lineRule="auto"/>
            </w:pPr>
            <w:r/>
            <w:r>
              <w:rPr>
                <w:rFonts w:ascii="Times New Roman" w:hAnsi="Times New Roman" w:eastAsia="Times New Roman"/>
                <w:b w:val="0"/>
                <w:sz w:val="14"/>
              </w:rPr>
              <w:t>Half of the punishment specified for the offence.</w:t>
            </w:r>
          </w:p>
        </w:tc>
      </w:tr>
      <w:tr>
        <w:tc>
          <w:tcPr>
            <w:tcW w:type="dxa" w:w="1440"/>
            <w:vAlign w:val="top"/>
          </w:tcPr>
          <w:p>
            <w:pPr>
              <w:spacing w:after="0" w:line="240" w:lineRule="auto"/>
            </w:pPr>
            <w:r/>
            <w:r>
              <w:rPr>
                <w:rFonts w:ascii="Times New Roman" w:hAnsi="Times New Roman" w:eastAsia="Times New Roman"/>
                <w:b w:val="0"/>
                <w:sz w:val="14"/>
              </w:rPr>
              <w:t>126(1)</w:t>
            </w:r>
          </w:p>
        </w:tc>
        <w:tc>
          <w:tcPr>
            <w:tcW w:type="dxa" w:w="5760"/>
            <w:vAlign w:val="top"/>
          </w:tcPr>
          <w:p>
            <w:pPr>
              <w:spacing w:after="0" w:line="240" w:lineRule="auto"/>
            </w:pPr>
            <w:r/>
            <w:r>
              <w:rPr>
                <w:rFonts w:ascii="Times New Roman" w:hAnsi="Times New Roman" w:eastAsia="Times New Roman"/>
                <w:b w:val="0"/>
                <w:sz w:val="14"/>
              </w:rPr>
              <w:t>Authorised person violating official secrecy under section 84</w:t>
            </w:r>
          </w:p>
        </w:tc>
        <w:tc>
          <w:tcPr>
            <w:tcW w:type="dxa" w:w="3384"/>
            <w:vAlign w:val="top"/>
          </w:tcPr>
          <w:p>
            <w:pPr>
              <w:spacing w:after="0" w:line="240" w:lineRule="auto"/>
            </w:pPr>
            <w:r/>
            <w:r>
              <w:rPr>
                <w:rFonts w:ascii="Times New Roman" w:hAnsi="Times New Roman" w:eastAsia="Times New Roman"/>
                <w:b w:val="0"/>
                <w:sz w:val="14"/>
              </w:rPr>
              <w:t>Fine up to Rs. 80,000, or imprisonment up to one year, or both.</w:t>
            </w:r>
          </w:p>
        </w:tc>
      </w:tr>
      <w:tr>
        <w:tc>
          <w:tcPr>
            <w:tcW w:type="dxa" w:w="1440"/>
            <w:vAlign w:val="top"/>
          </w:tcPr>
          <w:p>
            <w:pPr>
              <w:spacing w:after="0" w:line="240" w:lineRule="auto"/>
            </w:pPr>
            <w:r/>
            <w:r>
              <w:rPr>
                <w:rFonts w:ascii="Times New Roman" w:hAnsi="Times New Roman" w:eastAsia="Times New Roman"/>
                <w:b w:val="0"/>
                <w:sz w:val="14"/>
              </w:rPr>
              <w:t>126(2)</w:t>
            </w:r>
          </w:p>
        </w:tc>
        <w:tc>
          <w:tcPr>
            <w:tcW w:type="dxa" w:w="5760"/>
            <w:vAlign w:val="top"/>
          </w:tcPr>
          <w:p>
            <w:pPr>
              <w:spacing w:after="0" w:line="240" w:lineRule="auto"/>
            </w:pPr>
            <w:r/>
            <w:r>
              <w:rPr>
                <w:rFonts w:ascii="Times New Roman" w:hAnsi="Times New Roman" w:eastAsia="Times New Roman"/>
                <w:b w:val="0"/>
                <w:sz w:val="14"/>
              </w:rPr>
              <w:t>Unauthorised person collecting, or attempting to collect, tax or an amount in the name of tax</w:t>
            </w:r>
          </w:p>
        </w:tc>
        <w:tc>
          <w:tcPr>
            <w:tcW w:type="dxa" w:w="3384"/>
            <w:vAlign w:val="top"/>
          </w:tcPr>
          <w:p>
            <w:pPr>
              <w:spacing w:after="0" w:line="240" w:lineRule="auto"/>
            </w:pPr>
            <w:r/>
            <w:r>
              <w:rPr>
                <w:rFonts w:ascii="Times New Roman" w:hAnsi="Times New Roman" w:eastAsia="Times New Roman"/>
                <w:b w:val="0"/>
                <w:sz w:val="14"/>
              </w:rPr>
              <w:t>Fine from Rs. 80,000 to Rs. 240,000, or imprisonment from one year to three years, or both.</w:t>
            </w:r>
          </w:p>
        </w:tc>
      </w:tr>
      <w:tr>
        <w:tc>
          <w:tcPr>
            <w:tcW w:type="dxa" w:w="1440"/>
            <w:vAlign w:val="top"/>
          </w:tcPr>
          <w:p>
            <w:pPr>
              <w:spacing w:after="0" w:line="240" w:lineRule="auto"/>
            </w:pPr>
            <w:r/>
            <w:r>
              <w:rPr>
                <w:rFonts w:ascii="Times New Roman" w:hAnsi="Times New Roman" w:eastAsia="Times New Roman"/>
                <w:b w:val="0"/>
                <w:sz w:val="14"/>
              </w:rPr>
              <w:t>127</w:t>
            </w:r>
          </w:p>
        </w:tc>
        <w:tc>
          <w:tcPr>
            <w:tcW w:type="dxa" w:w="5760"/>
            <w:vAlign w:val="top"/>
          </w:tcPr>
          <w:p>
            <w:pPr>
              <w:spacing w:after="0" w:line="240" w:lineRule="auto"/>
            </w:pPr>
            <w:r/>
            <w:r>
              <w:rPr>
                <w:rFonts w:ascii="Times New Roman" w:hAnsi="Times New Roman" w:eastAsia="Times New Roman"/>
                <w:b w:val="0"/>
                <w:sz w:val="14"/>
              </w:rPr>
              <w:t>Abettor who knowingly assists, advises, encourages, certifies false financial or tax accounts, or gives wrong advice</w:t>
            </w:r>
          </w:p>
        </w:tc>
        <w:tc>
          <w:tcPr>
            <w:tcW w:type="dxa" w:w="3384"/>
            <w:vAlign w:val="top"/>
          </w:tcPr>
          <w:p>
            <w:pPr>
              <w:spacing w:after="0" w:line="240" w:lineRule="auto"/>
            </w:pPr>
            <w:r/>
            <w:r>
              <w:rPr>
                <w:rFonts w:ascii="Times New Roman" w:hAnsi="Times New Roman" w:eastAsia="Times New Roman"/>
                <w:b w:val="0"/>
                <w:sz w:val="14"/>
              </w:rPr>
              <w:t>Half of the punishment applicable to the principal offender; if the abettor is a government employee, the same punishment as the principal offender.</w:t>
            </w:r>
          </w:p>
        </w:tc>
      </w:tr>
      <w:tr>
        <w:tc>
          <w:tcPr>
            <w:tcW w:type="dxa" w:w="1440"/>
            <w:vAlign w:val="top"/>
          </w:tcPr>
          <w:p>
            <w:pPr>
              <w:spacing w:after="0" w:line="240" w:lineRule="auto"/>
            </w:pPr>
            <w:r/>
            <w:r>
              <w:rPr>
                <w:rFonts w:ascii="Times New Roman" w:hAnsi="Times New Roman" w:eastAsia="Times New Roman"/>
                <w:b w:val="0"/>
                <w:sz w:val="14"/>
              </w:rPr>
              <w:t>128</w:t>
            </w:r>
          </w:p>
        </w:tc>
        <w:tc>
          <w:tcPr>
            <w:tcW w:type="dxa" w:w="5760"/>
            <w:vAlign w:val="top"/>
          </w:tcPr>
          <w:p>
            <w:pPr>
              <w:spacing w:after="0" w:line="240" w:lineRule="auto"/>
            </w:pPr>
            <w:r/>
            <w:r>
              <w:rPr>
                <w:rFonts w:ascii="Times New Roman" w:hAnsi="Times New Roman" w:eastAsia="Times New Roman"/>
                <w:b w:val="0"/>
                <w:sz w:val="14"/>
              </w:rPr>
              <w:t>Failure to comply with any provision of the Act or Rules where no separate punishment is provided</w:t>
            </w:r>
          </w:p>
        </w:tc>
        <w:tc>
          <w:tcPr>
            <w:tcW w:type="dxa" w:w="3384"/>
            <w:vAlign w:val="top"/>
          </w:tcPr>
          <w:p>
            <w:pPr>
              <w:spacing w:after="0" w:line="240" w:lineRule="auto"/>
            </w:pPr>
            <w:r/>
            <w:r>
              <w:rPr>
                <w:rFonts w:ascii="Times New Roman" w:hAnsi="Times New Roman" w:eastAsia="Times New Roman"/>
                <w:b w:val="0"/>
                <w:sz w:val="14"/>
              </w:rPr>
              <w:t>Fine from Rs. 5,000 to Rs. 30,000.</w:t>
            </w:r>
          </w:p>
        </w:tc>
      </w:tr>
    </w:tbl>
    <w:p/>
    <w:p>
      <w:pPr>
        <w:pStyle w:val="Heading2"/>
        <w:spacing w:after="80" w:line="252" w:lineRule="auto"/>
      </w:pPr>
      <w:r>
        <w:rPr>
          <w:rFonts w:ascii="Times New Roman" w:hAnsi="Times New Roman" w:eastAsia="Times New Roman"/>
          <w:b w:val="0"/>
          <w:i w:val="0"/>
        </w:rPr>
        <w:t>29.5 Authority to impose fees, interest and penalties</w:t>
      </w:r>
    </w:p>
    <w:p>
      <w:pPr>
        <w:spacing w:after="80" w:line="252" w:lineRule="auto"/>
      </w:pPr>
      <w:r>
        <w:rPr>
          <w:rFonts w:ascii="Times New Roman" w:hAnsi="Times New Roman" w:eastAsia="Times New Roman"/>
          <w:b w:val="0"/>
          <w:i w:val="0"/>
          <w:sz w:val="21"/>
        </w:rPr>
        <w:t>Fees and interest are assessed by the Department under section 122. Penalties for offences are within the jurisdiction of the District Court, except where section 129 permits the Department to order payment before court proceedings begin. If the same conduct attracts tax, fee, interest and penalty, all may apply according to law.</w:t>
      </w:r>
    </w:p>
    <w:tbl>
      <w:tblPr>
        <w:tblStyle w:val="TableGrid"/>
        <w:tblW w:type="auto" w:w="0"/>
        <w:jc w:val="center"/>
        <w:tblLook w:firstColumn="1" w:firstRow="1" w:lastColumn="0" w:lastRow="0" w:noHBand="0" w:noVBand="1" w:val="04A0"/>
      </w:tblPr>
      <w:tblGrid>
        <w:gridCol w:w="4946"/>
        <w:gridCol w:w="4946"/>
      </w:tblGrid>
      <w:tr>
        <w:trPr>
          <w:tblHeader w:val="true"/>
        </w:trPr>
        <w:tc>
          <w:tcPr>
            <w:tcW w:type="dxa" w:w="2880"/>
            <w:vAlign w:val="top"/>
            <w:shd w:fill="D9EAF7"/>
          </w:tcPr>
          <w:p>
            <w:pPr>
              <w:spacing w:after="0" w:line="240" w:lineRule="auto"/>
            </w:pPr>
            <w:r/>
            <w:r>
              <w:rPr>
                <w:rFonts w:ascii="Times New Roman" w:hAnsi="Times New Roman" w:eastAsia="Times New Roman"/>
                <w:b/>
                <w:sz w:val="15"/>
              </w:rPr>
              <w:t>Matter</w:t>
            </w:r>
          </w:p>
        </w:tc>
        <w:tc>
          <w:tcPr>
            <w:tcW w:type="dxa" w:w="7704"/>
            <w:vAlign w:val="top"/>
            <w:shd w:fill="D9EAF7"/>
          </w:tcPr>
          <w:p>
            <w:pPr>
              <w:spacing w:after="0" w:line="240" w:lineRule="auto"/>
            </w:pPr>
            <w:r/>
            <w:r>
              <w:rPr>
                <w:rFonts w:ascii="Times New Roman" w:hAnsi="Times New Roman" w:eastAsia="Times New Roman"/>
                <w:b/>
                <w:sz w:val="15"/>
              </w:rPr>
              <w:t>Directive explanation</w:t>
            </w:r>
          </w:p>
        </w:tc>
      </w:tr>
      <w:tr>
        <w:tc>
          <w:tcPr>
            <w:tcW w:type="dxa" w:w="2880"/>
            <w:vAlign w:val="top"/>
          </w:tcPr>
          <w:p>
            <w:pPr>
              <w:spacing w:after="0" w:line="240" w:lineRule="auto"/>
            </w:pPr>
            <w:r/>
            <w:r>
              <w:rPr>
                <w:rFonts w:ascii="Times New Roman" w:hAnsi="Times New Roman" w:eastAsia="Times New Roman"/>
                <w:b w:val="0"/>
                <w:sz w:val="15"/>
              </w:rPr>
              <w:t>Assessment of fees and interest</w:t>
            </w:r>
          </w:p>
        </w:tc>
        <w:tc>
          <w:tcPr>
            <w:tcW w:type="dxa" w:w="7704"/>
            <w:vAlign w:val="top"/>
          </w:tcPr>
          <w:p>
            <w:pPr>
              <w:spacing w:after="0" w:line="240" w:lineRule="auto"/>
            </w:pPr>
            <w:r/>
            <w:r>
              <w:rPr>
                <w:rFonts w:ascii="Times New Roman" w:hAnsi="Times New Roman" w:eastAsia="Times New Roman"/>
                <w:b w:val="0"/>
                <w:sz w:val="15"/>
              </w:rPr>
              <w:t>The Department must calculate the liability separately for each applicable provision and add the amount to any other tax payable under the Act.</w:t>
            </w:r>
          </w:p>
        </w:tc>
      </w:tr>
      <w:tr>
        <w:tc>
          <w:tcPr>
            <w:tcW w:type="dxa" w:w="2880"/>
            <w:vAlign w:val="top"/>
          </w:tcPr>
          <w:p>
            <w:pPr>
              <w:spacing w:after="0" w:line="240" w:lineRule="auto"/>
            </w:pPr>
            <w:r/>
            <w:r>
              <w:rPr>
                <w:rFonts w:ascii="Times New Roman" w:hAnsi="Times New Roman" w:eastAsia="Times New Roman"/>
                <w:b w:val="0"/>
                <w:sz w:val="15"/>
              </w:rPr>
              <w:t>Notice of assessment</w:t>
            </w:r>
          </w:p>
        </w:tc>
        <w:tc>
          <w:tcPr>
            <w:tcW w:type="dxa" w:w="7704"/>
            <w:vAlign w:val="top"/>
          </w:tcPr>
          <w:p>
            <w:pPr>
              <w:spacing w:after="0" w:line="240" w:lineRule="auto"/>
            </w:pPr>
            <w:r/>
            <w:r>
              <w:rPr>
                <w:rFonts w:ascii="Times New Roman" w:hAnsi="Times New Roman" w:eastAsia="Times New Roman"/>
                <w:b w:val="0"/>
                <w:sz w:val="15"/>
              </w:rPr>
              <w:t>The written notice must state the reason for fee or interest, the amount payable, the calculation method, and the time, place and manner for objection. It may be sent separately or along with a notice under section 102.</w:t>
            </w:r>
          </w:p>
        </w:tc>
      </w:tr>
      <w:tr>
        <w:tc>
          <w:tcPr>
            <w:tcW w:type="dxa" w:w="2880"/>
            <w:vAlign w:val="top"/>
          </w:tcPr>
          <w:p>
            <w:pPr>
              <w:spacing w:after="0" w:line="240" w:lineRule="auto"/>
            </w:pPr>
            <w:r/>
            <w:r>
              <w:rPr>
                <w:rFonts w:ascii="Times New Roman" w:hAnsi="Times New Roman" w:eastAsia="Times New Roman"/>
                <w:b w:val="0"/>
                <w:sz w:val="15"/>
              </w:rPr>
              <w:t>Time limits and procedures</w:t>
            </w:r>
          </w:p>
        </w:tc>
        <w:tc>
          <w:tcPr>
            <w:tcW w:type="dxa" w:w="7704"/>
            <w:vAlign w:val="top"/>
          </w:tcPr>
          <w:p>
            <w:pPr>
              <w:spacing w:after="0" w:line="240" w:lineRule="auto"/>
            </w:pPr>
            <w:r/>
            <w:r>
              <w:rPr>
                <w:rFonts w:ascii="Times New Roman" w:hAnsi="Times New Roman" w:eastAsia="Times New Roman"/>
                <w:b w:val="0"/>
                <w:sz w:val="15"/>
              </w:rPr>
              <w:t>Relevant provisions of section 101 and section 102 apply, as applicable, to assessment and service of fee and interest notices.</w:t>
            </w:r>
          </w:p>
        </w:tc>
      </w:tr>
      <w:tr>
        <w:tc>
          <w:tcPr>
            <w:tcW w:type="dxa" w:w="2880"/>
            <w:vAlign w:val="top"/>
          </w:tcPr>
          <w:p>
            <w:pPr>
              <w:spacing w:after="0" w:line="240" w:lineRule="auto"/>
            </w:pPr>
            <w:r/>
            <w:r>
              <w:rPr>
                <w:rFonts w:ascii="Times New Roman" w:hAnsi="Times New Roman" w:eastAsia="Times New Roman"/>
                <w:b w:val="0"/>
                <w:sz w:val="15"/>
              </w:rPr>
              <w:t>Departmental order for penalty</w:t>
            </w:r>
          </w:p>
        </w:tc>
        <w:tc>
          <w:tcPr>
            <w:tcW w:type="dxa" w:w="7704"/>
            <w:vAlign w:val="top"/>
          </w:tcPr>
          <w:p>
            <w:pPr>
              <w:spacing w:after="0" w:line="240" w:lineRule="auto"/>
            </w:pPr>
            <w:r/>
            <w:r>
              <w:rPr>
                <w:rFonts w:ascii="Times New Roman" w:hAnsi="Times New Roman" w:eastAsia="Times New Roman"/>
                <w:b w:val="0"/>
                <w:sz w:val="15"/>
              </w:rPr>
              <w:t>Except for offences under section 126, where a person admits in writing before court proceedings begin that he or she committed one or more offences under Chapter 23, the Department may order payment of penalty not exceeding the maximum penalty for the admitted offence. The order must specify the offence, amount and payment date. The order is final and not appealable.</w:t>
            </w:r>
          </w:p>
        </w:tc>
      </w:tr>
    </w:tbl>
    <w:p/>
    <w:p>
      <w:pPr>
        <w:pStyle w:val="Heading2"/>
        <w:spacing w:after="80" w:line="252" w:lineRule="auto"/>
      </w:pPr>
      <w:r>
        <w:rPr>
          <w:rFonts w:ascii="Times New Roman" w:hAnsi="Times New Roman" w:eastAsia="Times New Roman"/>
          <w:b w:val="0"/>
          <w:i w:val="0"/>
        </w:rPr>
        <w:t>29.6 Proceedings relating to cases</w:t>
      </w:r>
    </w:p>
    <w:p>
      <w:pPr>
        <w:spacing w:after="80" w:line="252" w:lineRule="auto"/>
      </w:pPr>
      <w:r>
        <w:rPr>
          <w:rFonts w:ascii="Times New Roman" w:hAnsi="Times New Roman" w:eastAsia="Times New Roman"/>
          <w:b w:val="0"/>
          <w:i w:val="0"/>
          <w:sz w:val="21"/>
        </w:rPr>
        <w:t>Offence cases under Chapter 23 are Government of Nepal cases. Investigation must be conducted by the prescribed officer. After completion of investigation, the case must be filed before the concerned District Court within thirty-five days. The investigating officer must take advice from the government attorney while conducting the investigation. Rule 37 authorises the Department to designate the officer for investigation.</w:t>
      </w:r>
    </w:p>
    <w:p>
      <w:pPr>
        <w:spacing w:after="80" w:line="252" w:lineRule="auto"/>
        <w:jc w:val="center"/>
      </w:pPr>
      <w:r>
        <w:rPr>
          <w:rFonts w:ascii="Times New Roman" w:hAnsi="Times New Roman" w:eastAsia="Times New Roman"/>
          <w:b w:val="0"/>
          <w:i/>
          <w:sz w:val="21"/>
        </w:rPr>
        <w:t>End of Chapter 29</w:t>
      </w:r>
    </w:p>
    <w:p>
      <w:r>
        <w:br w:type="page"/>
      </w:r>
    </w:p>
    <w:p>
      <w:pPr>
        <w:pStyle w:val="Title"/>
        <w:spacing w:after="80" w:line="252" w:lineRule="auto"/>
        <w:jc w:val="center"/>
      </w:pPr>
      <w:r>
        <w:rPr>
          <w:rFonts w:ascii="Times New Roman" w:hAnsi="Times New Roman" w:eastAsia="Times New Roman"/>
          <w:b w:val="0"/>
          <w:i w:val="0"/>
        </w:rPr>
        <w:t>Income Tax Directive, 2066 (with Fifth Amendment, 2081)</w:t>
      </w:r>
    </w:p>
    <w:p>
      <w:pPr>
        <w:pStyle w:val="Title"/>
        <w:spacing w:after="80" w:line="252" w:lineRule="auto"/>
        <w:jc w:val="center"/>
      </w:pPr>
      <w:r>
        <w:rPr>
          <w:rFonts w:ascii="Times New Roman" w:hAnsi="Times New Roman" w:eastAsia="Times New Roman"/>
          <w:b w:val="0"/>
          <w:i w:val="0"/>
        </w:rPr>
        <w:t>English Translation - Part 30</w:t>
      </w:r>
    </w:p>
    <w:p>
      <w:pPr>
        <w:pStyle w:val="Heading1"/>
        <w:spacing w:after="80" w:line="252" w:lineRule="auto"/>
        <w:jc w:val="center"/>
      </w:pPr>
      <w:r>
        <w:rPr>
          <w:rFonts w:ascii="Times New Roman" w:hAnsi="Times New Roman" w:eastAsia="Times New Roman"/>
          <w:b w:val="0"/>
          <w:i w:val="0"/>
        </w:rPr>
        <w:t>Chapter 30: Administrative Review and Appeal</w:t>
      </w:r>
    </w:p>
    <w:p>
      <w:pPr>
        <w:spacing w:after="80" w:line="252" w:lineRule="auto"/>
        <w:jc w:val="center"/>
      </w:pPr>
      <w:r>
        <w:rPr>
          <w:rFonts w:ascii="Times New Roman" w:hAnsi="Times New Roman" w:eastAsia="Times New Roman"/>
          <w:b w:val="0"/>
          <w:i/>
          <w:sz w:val="21"/>
        </w:rPr>
        <w:t>Source pages: Directive pages 624-631</w:t>
      </w:r>
    </w:p>
    <w:p>
      <w:pPr>
        <w:spacing w:after="80" w:line="252" w:lineRule="auto"/>
      </w:pPr>
      <w:r>
        <w:rPr>
          <w:rFonts w:ascii="Times New Roman" w:hAnsi="Times New Roman" w:eastAsia="Times New Roman"/>
          <w:b w:val="0"/>
          <w:i/>
          <w:sz w:val="21"/>
        </w:rPr>
        <w:t>Note: This working English translation follows the sequence, headings, examples and tabular presentation of the Nepali directive as far as practicable in Word format. Statutory expressions have been aligned with the official English terminology of the Income Tax Act, 2002 (2058) where applicable.</w:t>
      </w:r>
    </w:p>
    <w:p>
      <w:r>
        <w:br w:type="page"/>
      </w:r>
    </w:p>
    <w:p>
      <w:pPr>
        <w:pStyle w:val="Heading1"/>
        <w:spacing w:after="80" w:line="252" w:lineRule="auto"/>
        <w:jc w:val="center"/>
      </w:pPr>
      <w:r>
        <w:rPr>
          <w:rFonts w:ascii="Times New Roman" w:hAnsi="Times New Roman" w:eastAsia="Times New Roman"/>
          <w:b w:val="0"/>
          <w:i w:val="0"/>
        </w:rPr>
        <w:t>Chapter 30</w:t>
      </w:r>
    </w:p>
    <w:p>
      <w:pPr>
        <w:pStyle w:val="Heading1"/>
        <w:spacing w:after="80" w:line="252" w:lineRule="auto"/>
        <w:jc w:val="center"/>
      </w:pPr>
      <w:r>
        <w:rPr>
          <w:rFonts w:ascii="Times New Roman" w:hAnsi="Times New Roman" w:eastAsia="Times New Roman"/>
          <w:b w:val="0"/>
          <w:i w:val="0"/>
        </w:rPr>
        <w:t>Administrative Review and Appeal</w:t>
      </w:r>
    </w:p>
    <w:p>
      <w:pPr>
        <w:pStyle w:val="Heading2"/>
        <w:spacing w:after="80" w:line="252" w:lineRule="auto"/>
      </w:pPr>
      <w:r>
        <w:rPr>
          <w:rFonts w:ascii="Times New Roman" w:hAnsi="Times New Roman" w:eastAsia="Times New Roman"/>
          <w:b w:val="0"/>
          <w:i w:val="0"/>
        </w:rPr>
        <w:t>30.1 Introduction</w:t>
      </w:r>
    </w:p>
    <w:p>
      <w:pPr>
        <w:spacing w:after="80" w:line="252" w:lineRule="auto"/>
      </w:pPr>
      <w:r>
        <w:rPr>
          <w:rFonts w:ascii="Times New Roman" w:hAnsi="Times New Roman" w:eastAsia="Times New Roman"/>
          <w:b w:val="0"/>
          <w:i w:val="0"/>
          <w:sz w:val="21"/>
        </w:rPr>
        <w:t>The Income Tax Act, 2058 adopts a sequential system of judicial remedy. A taxpayer who considers himself aggrieved must first approach the Director General of the Inland Revenue Department for administrative review. If the Department does not give a remedy within the prescribed time, or if the taxpayer is dissatisfied with the decision, the taxpayer may appeal to the Revenue Tribunal. The procedure for administrative review is governed by the Income Tax Act, whereas appeal to and hearing by the Revenue Tribunal are governed by the Revenue Tribunal Act, 2031 and Revenue Tribunal Rules, 2030.</w:t>
      </w:r>
    </w:p>
    <w:p>
      <w:pPr>
        <w:pStyle w:val="Heading2"/>
        <w:spacing w:after="80" w:line="252" w:lineRule="auto"/>
      </w:pPr>
      <w:r>
        <w:rPr>
          <w:rFonts w:ascii="Times New Roman" w:hAnsi="Times New Roman" w:eastAsia="Times New Roman"/>
          <w:b w:val="0"/>
          <w:i w:val="0"/>
        </w:rPr>
        <w:t>30.2 Administrative review</w:t>
      </w:r>
    </w:p>
    <w:p>
      <w:pPr>
        <w:spacing w:after="80" w:line="252" w:lineRule="auto"/>
      </w:pPr>
      <w:r>
        <w:rPr>
          <w:rFonts w:ascii="Times New Roman" w:hAnsi="Times New Roman" w:eastAsia="Times New Roman"/>
          <w:b w:val="0"/>
          <w:i w:val="0"/>
          <w:sz w:val="21"/>
        </w:rPr>
        <w:t>Administrative review is the internal remedy before the Director General against tax assessment, amended assessment, jeopardy assessment, advance ruling or other decision of a tax officer, office or the Department that affects a taxpayer. The application must be filed within the statutory time and in the prescribed manner. Where a taxpayer seeks review of a tax-assessment decision, the Act requires deposit of the prescribed disputed tax amount before review may proceed.</w:t>
      </w:r>
    </w:p>
    <w:p>
      <w:pPr>
        <w:pStyle w:val="Heading2"/>
        <w:spacing w:after="80" w:line="252" w:lineRule="auto"/>
      </w:pPr>
      <w:r>
        <w:rPr>
          <w:rFonts w:ascii="Times New Roman" w:hAnsi="Times New Roman" w:eastAsia="Times New Roman"/>
          <w:b w:val="0"/>
          <w:i w:val="0"/>
        </w:rPr>
        <w:t>30.3 Application for administrative review</w:t>
      </w:r>
    </w:p>
    <w:tbl>
      <w:tblPr>
        <w:tblStyle w:val="TableGrid"/>
        <w:tblW w:type="auto" w:w="0"/>
        <w:jc w:val="center"/>
        <w:tblLook w:firstColumn="1" w:firstRow="1" w:lastColumn="0" w:lastRow="0" w:noHBand="0" w:noVBand="1" w:val="04A0"/>
      </w:tblPr>
      <w:tblGrid>
        <w:gridCol w:w="4946"/>
        <w:gridCol w:w="4946"/>
      </w:tblGrid>
      <w:tr>
        <w:trPr>
          <w:tblHeader w:val="true"/>
        </w:trPr>
        <w:tc>
          <w:tcPr>
            <w:tcW w:type="dxa" w:w="3312"/>
            <w:vAlign w:val="top"/>
            <w:shd w:fill="D9EAF7"/>
          </w:tcPr>
          <w:p>
            <w:pPr>
              <w:spacing w:after="0" w:line="240" w:lineRule="auto"/>
            </w:pPr>
            <w:r/>
            <w:r>
              <w:rPr>
                <w:rFonts w:ascii="Times New Roman" w:hAnsi="Times New Roman" w:eastAsia="Times New Roman"/>
                <w:b/>
                <w:sz w:val="15"/>
              </w:rPr>
              <w:t>Sub-topic</w:t>
            </w:r>
          </w:p>
        </w:tc>
        <w:tc>
          <w:tcPr>
            <w:tcW w:type="dxa" w:w="7272"/>
            <w:vAlign w:val="top"/>
            <w:shd w:fill="D9EAF7"/>
          </w:tcPr>
          <w:p>
            <w:pPr>
              <w:spacing w:after="0" w:line="240" w:lineRule="auto"/>
            </w:pPr>
            <w:r/>
            <w:r>
              <w:rPr>
                <w:rFonts w:ascii="Times New Roman" w:hAnsi="Times New Roman" w:eastAsia="Times New Roman"/>
                <w:b/>
                <w:sz w:val="15"/>
              </w:rPr>
              <w:t>Translation / explanation</w:t>
            </w:r>
          </w:p>
        </w:tc>
      </w:tr>
      <w:tr>
        <w:tc>
          <w:tcPr>
            <w:tcW w:type="dxa" w:w="3312"/>
            <w:vAlign w:val="top"/>
          </w:tcPr>
          <w:p>
            <w:pPr>
              <w:spacing w:after="0" w:line="240" w:lineRule="auto"/>
            </w:pPr>
            <w:r/>
            <w:r>
              <w:rPr>
                <w:rFonts w:ascii="Times New Roman" w:hAnsi="Times New Roman" w:eastAsia="Times New Roman"/>
                <w:b w:val="0"/>
                <w:sz w:val="15"/>
              </w:rPr>
              <w:t>30.3.1 Application for administrative review</w:t>
            </w:r>
          </w:p>
        </w:tc>
        <w:tc>
          <w:tcPr>
            <w:tcW w:type="dxa" w:w="7272"/>
            <w:vAlign w:val="top"/>
          </w:tcPr>
          <w:p>
            <w:pPr>
              <w:spacing w:after="0" w:line="240" w:lineRule="auto"/>
            </w:pPr>
            <w:r/>
            <w:r>
              <w:rPr>
                <w:rFonts w:ascii="Times New Roman" w:hAnsi="Times New Roman" w:eastAsia="Times New Roman"/>
                <w:b w:val="0"/>
                <w:sz w:val="15"/>
              </w:rPr>
              <w:t>A taxpayer dissatisfied with an assessment or decision may submit an application to the Director General. The application should clearly identify the decision, disputed amount, facts, legal grounds, supporting evidence and relief sought. It should be filed within the time prescribed by the Act.</w:t>
            </w:r>
          </w:p>
        </w:tc>
      </w:tr>
      <w:tr>
        <w:tc>
          <w:tcPr>
            <w:tcW w:type="dxa" w:w="3312"/>
            <w:vAlign w:val="top"/>
          </w:tcPr>
          <w:p>
            <w:pPr>
              <w:spacing w:after="0" w:line="240" w:lineRule="auto"/>
            </w:pPr>
            <w:r/>
            <w:r>
              <w:rPr>
                <w:rFonts w:ascii="Times New Roman" w:hAnsi="Times New Roman" w:eastAsia="Times New Roman"/>
                <w:b w:val="0"/>
                <w:sz w:val="15"/>
              </w:rPr>
              <w:t>30.3.2 Jurisdiction of the Department</w:t>
            </w:r>
          </w:p>
        </w:tc>
        <w:tc>
          <w:tcPr>
            <w:tcW w:type="dxa" w:w="7272"/>
            <w:vAlign w:val="top"/>
          </w:tcPr>
          <w:p>
            <w:pPr>
              <w:spacing w:after="0" w:line="240" w:lineRule="auto"/>
            </w:pPr>
            <w:r/>
            <w:r>
              <w:rPr>
                <w:rFonts w:ascii="Times New Roman" w:hAnsi="Times New Roman" w:eastAsia="Times New Roman"/>
                <w:b w:val="0"/>
                <w:sz w:val="15"/>
              </w:rPr>
              <w:t>The Department may review decisions made under the Act by its officers or subordinate offices, including assessment, amended assessment, jeopardy assessment, and advance ruling matters, to the extent allowed by the Act.</w:t>
            </w:r>
          </w:p>
        </w:tc>
      </w:tr>
      <w:tr>
        <w:tc>
          <w:tcPr>
            <w:tcW w:type="dxa" w:w="3312"/>
            <w:vAlign w:val="top"/>
          </w:tcPr>
          <w:p>
            <w:pPr>
              <w:spacing w:after="0" w:line="240" w:lineRule="auto"/>
            </w:pPr>
            <w:r/>
            <w:r>
              <w:rPr>
                <w:rFonts w:ascii="Times New Roman" w:hAnsi="Times New Roman" w:eastAsia="Times New Roman"/>
                <w:b w:val="0"/>
                <w:sz w:val="15"/>
              </w:rPr>
              <w:t>30.3.3 Decision remains in abeyance during review period</w:t>
            </w:r>
          </w:p>
        </w:tc>
        <w:tc>
          <w:tcPr>
            <w:tcW w:type="dxa" w:w="7272"/>
            <w:vAlign w:val="top"/>
          </w:tcPr>
          <w:p>
            <w:pPr>
              <w:spacing w:after="0" w:line="240" w:lineRule="auto"/>
            </w:pPr>
            <w:r/>
            <w:r>
              <w:rPr>
                <w:rFonts w:ascii="Times New Roman" w:hAnsi="Times New Roman" w:eastAsia="Times New Roman"/>
                <w:b w:val="0"/>
                <w:sz w:val="15"/>
              </w:rPr>
              <w:t>A decision challenged through administrative review may remain in abeyance to the extent and for the period provided by law. However, the mere pendency of review does not automatically suspend every recovery step unless the Act or order provides so.</w:t>
            </w:r>
          </w:p>
        </w:tc>
      </w:tr>
      <w:tr>
        <w:tc>
          <w:tcPr>
            <w:tcW w:type="dxa" w:w="3312"/>
            <w:vAlign w:val="top"/>
          </w:tcPr>
          <w:p>
            <w:pPr>
              <w:spacing w:after="0" w:line="240" w:lineRule="auto"/>
            </w:pPr>
            <w:r/>
            <w:r>
              <w:rPr>
                <w:rFonts w:ascii="Times New Roman" w:hAnsi="Times New Roman" w:eastAsia="Times New Roman"/>
                <w:b w:val="0"/>
                <w:sz w:val="15"/>
              </w:rPr>
              <w:t>30.3.4 Decision on administrative review</w:t>
            </w:r>
          </w:p>
        </w:tc>
        <w:tc>
          <w:tcPr>
            <w:tcW w:type="dxa" w:w="7272"/>
            <w:vAlign w:val="top"/>
          </w:tcPr>
          <w:p>
            <w:pPr>
              <w:spacing w:after="0" w:line="240" w:lineRule="auto"/>
            </w:pPr>
            <w:r/>
            <w:r>
              <w:rPr>
                <w:rFonts w:ascii="Times New Roman" w:hAnsi="Times New Roman" w:eastAsia="Times New Roman"/>
                <w:b w:val="0"/>
                <w:sz w:val="15"/>
              </w:rPr>
              <w:t>After examining the application, documents, grounds and relevant legal provisions, the Director General may uphold, vary, cancel or otherwise decide the matter. The decision is communicated in writing.</w:t>
            </w:r>
          </w:p>
        </w:tc>
      </w:tr>
    </w:tbl>
    <w:p/>
    <w:p>
      <w:pPr>
        <w:pStyle w:val="Heading2"/>
        <w:spacing w:after="80" w:line="252" w:lineRule="auto"/>
      </w:pPr>
      <w:r>
        <w:rPr>
          <w:rFonts w:ascii="Times New Roman" w:hAnsi="Times New Roman" w:eastAsia="Times New Roman"/>
          <w:b w:val="0"/>
          <w:i w:val="0"/>
        </w:rPr>
        <w:t>30.4 Appeal to the Revenue Tribunal and decision</w:t>
      </w:r>
    </w:p>
    <w:tbl>
      <w:tblPr>
        <w:tblStyle w:val="TableGrid"/>
        <w:tblW w:type="auto" w:w="0"/>
        <w:jc w:val="center"/>
        <w:tblLook w:firstColumn="1" w:firstRow="1" w:lastColumn="0" w:lastRow="0" w:noHBand="0" w:noVBand="1" w:val="04A0"/>
      </w:tblPr>
      <w:tblGrid>
        <w:gridCol w:w="4946"/>
        <w:gridCol w:w="4946"/>
      </w:tblGrid>
      <w:tr>
        <w:trPr>
          <w:tblHeader w:val="true"/>
        </w:trPr>
        <w:tc>
          <w:tcPr>
            <w:tcW w:type="dxa" w:w="3312"/>
            <w:vAlign w:val="top"/>
            <w:shd w:fill="D9EAF7"/>
          </w:tcPr>
          <w:p>
            <w:pPr>
              <w:spacing w:after="0" w:line="240" w:lineRule="auto"/>
            </w:pPr>
            <w:r/>
            <w:r>
              <w:rPr>
                <w:rFonts w:ascii="Times New Roman" w:hAnsi="Times New Roman" w:eastAsia="Times New Roman"/>
                <w:b/>
                <w:sz w:val="14"/>
              </w:rPr>
              <w:t>Sub-topic</w:t>
            </w:r>
          </w:p>
        </w:tc>
        <w:tc>
          <w:tcPr>
            <w:tcW w:type="dxa" w:w="7272"/>
            <w:vAlign w:val="top"/>
            <w:shd w:fill="D9EAF7"/>
          </w:tcPr>
          <w:p>
            <w:pPr>
              <w:spacing w:after="0" w:line="240" w:lineRule="auto"/>
            </w:pPr>
            <w:r/>
            <w:r>
              <w:rPr>
                <w:rFonts w:ascii="Times New Roman" w:hAnsi="Times New Roman" w:eastAsia="Times New Roman"/>
                <w:b/>
                <w:sz w:val="14"/>
              </w:rPr>
              <w:t>Directive explanation</w:t>
            </w:r>
          </w:p>
        </w:tc>
      </w:tr>
      <w:tr>
        <w:tc>
          <w:tcPr>
            <w:tcW w:type="dxa" w:w="3312"/>
            <w:vAlign w:val="top"/>
          </w:tcPr>
          <w:p>
            <w:pPr>
              <w:spacing w:after="0" w:line="240" w:lineRule="auto"/>
            </w:pPr>
            <w:r/>
            <w:r>
              <w:rPr>
                <w:rFonts w:ascii="Times New Roman" w:hAnsi="Times New Roman" w:eastAsia="Times New Roman"/>
                <w:b w:val="0"/>
                <w:sz w:val="14"/>
              </w:rPr>
              <w:t>30.4.1 Appeal lies to Revenue Tribunal</w:t>
            </w:r>
          </w:p>
        </w:tc>
        <w:tc>
          <w:tcPr>
            <w:tcW w:type="dxa" w:w="7272"/>
            <w:vAlign w:val="top"/>
          </w:tcPr>
          <w:p>
            <w:pPr>
              <w:spacing w:after="0" w:line="240" w:lineRule="auto"/>
            </w:pPr>
            <w:r/>
            <w:r>
              <w:rPr>
                <w:rFonts w:ascii="Times New Roman" w:hAnsi="Times New Roman" w:eastAsia="Times New Roman"/>
                <w:b w:val="0"/>
                <w:sz w:val="14"/>
              </w:rPr>
              <w:t>A taxpayer dissatisfied with the administrative-review decision, or not receiving a decision within the legal time, may appeal to the Revenue Tribunal according to the Act, Revenue Tribunal Act and Revenue Tribunal Rules.</w:t>
            </w:r>
          </w:p>
        </w:tc>
      </w:tr>
      <w:tr>
        <w:tc>
          <w:tcPr>
            <w:tcW w:type="dxa" w:w="3312"/>
            <w:vAlign w:val="top"/>
          </w:tcPr>
          <w:p>
            <w:pPr>
              <w:spacing w:after="0" w:line="240" w:lineRule="auto"/>
            </w:pPr>
            <w:r/>
            <w:r>
              <w:rPr>
                <w:rFonts w:ascii="Times New Roman" w:hAnsi="Times New Roman" w:eastAsia="Times New Roman"/>
                <w:b w:val="0"/>
                <w:sz w:val="14"/>
              </w:rPr>
              <w:t>30.4.2 Form and contents of appeal</w:t>
            </w:r>
          </w:p>
        </w:tc>
        <w:tc>
          <w:tcPr>
            <w:tcW w:type="dxa" w:w="7272"/>
            <w:vAlign w:val="top"/>
          </w:tcPr>
          <w:p>
            <w:pPr>
              <w:spacing w:after="0" w:line="240" w:lineRule="auto"/>
            </w:pPr>
            <w:r/>
            <w:r>
              <w:rPr>
                <w:rFonts w:ascii="Times New Roman" w:hAnsi="Times New Roman" w:eastAsia="Times New Roman"/>
                <w:b w:val="0"/>
                <w:sz w:val="14"/>
              </w:rPr>
              <w:t>The appeal must be in the prescribed form and should state the appellant, respondent, impugned decision, facts, points of law and fact, relief sought, evidence, deposited amount and attached documents.</w:t>
            </w:r>
          </w:p>
        </w:tc>
      </w:tr>
      <w:tr>
        <w:tc>
          <w:tcPr>
            <w:tcW w:type="dxa" w:w="3312"/>
            <w:vAlign w:val="top"/>
          </w:tcPr>
          <w:p>
            <w:pPr>
              <w:spacing w:after="0" w:line="240" w:lineRule="auto"/>
            </w:pPr>
            <w:r/>
            <w:r>
              <w:rPr>
                <w:rFonts w:ascii="Times New Roman" w:hAnsi="Times New Roman" w:eastAsia="Times New Roman"/>
                <w:b w:val="0"/>
                <w:sz w:val="14"/>
              </w:rPr>
              <w:t>30.4.3 Jurisdiction of the Revenue Tribunal</w:t>
            </w:r>
          </w:p>
        </w:tc>
        <w:tc>
          <w:tcPr>
            <w:tcW w:type="dxa" w:w="7272"/>
            <w:vAlign w:val="top"/>
          </w:tcPr>
          <w:p>
            <w:pPr>
              <w:spacing w:after="0" w:line="240" w:lineRule="auto"/>
            </w:pPr>
            <w:r/>
            <w:r>
              <w:rPr>
                <w:rFonts w:ascii="Times New Roman" w:hAnsi="Times New Roman" w:eastAsia="Times New Roman"/>
                <w:b w:val="0"/>
                <w:sz w:val="14"/>
              </w:rPr>
              <w:t>The Tribunal hears matters that the relevant tax law allows to be appealed before it. It examines legality, correctness and propriety of the challenged decision within the scope of appeal.</w:t>
            </w:r>
          </w:p>
        </w:tc>
      </w:tr>
      <w:tr>
        <w:tc>
          <w:tcPr>
            <w:tcW w:type="dxa" w:w="3312"/>
            <w:vAlign w:val="top"/>
          </w:tcPr>
          <w:p>
            <w:pPr>
              <w:spacing w:after="0" w:line="240" w:lineRule="auto"/>
            </w:pPr>
            <w:r/>
            <w:r>
              <w:rPr>
                <w:rFonts w:ascii="Times New Roman" w:hAnsi="Times New Roman" w:eastAsia="Times New Roman"/>
                <w:b w:val="0"/>
                <w:sz w:val="14"/>
              </w:rPr>
              <w:t>30.4.4 Status of decision of Revenue Tribunal</w:t>
            </w:r>
          </w:p>
        </w:tc>
        <w:tc>
          <w:tcPr>
            <w:tcW w:type="dxa" w:w="7272"/>
            <w:vAlign w:val="top"/>
          </w:tcPr>
          <w:p>
            <w:pPr>
              <w:spacing w:after="0" w:line="240" w:lineRule="auto"/>
            </w:pPr>
            <w:r/>
            <w:r>
              <w:rPr>
                <w:rFonts w:ascii="Times New Roman" w:hAnsi="Times New Roman" w:eastAsia="Times New Roman"/>
                <w:b w:val="0"/>
                <w:sz w:val="14"/>
              </w:rPr>
              <w:t>The Tribunal may affirm, reverse, vary, remand or decide according to law. Its decision determines the tax liability subject to any further remedy permitted by law.</w:t>
            </w:r>
          </w:p>
        </w:tc>
      </w:tr>
      <w:tr>
        <w:tc>
          <w:tcPr>
            <w:tcW w:type="dxa" w:w="3312"/>
            <w:vAlign w:val="top"/>
          </w:tcPr>
          <w:p>
            <w:pPr>
              <w:spacing w:after="0" w:line="240" w:lineRule="auto"/>
            </w:pPr>
            <w:r/>
            <w:r>
              <w:rPr>
                <w:rFonts w:ascii="Times New Roman" w:hAnsi="Times New Roman" w:eastAsia="Times New Roman"/>
                <w:b w:val="0"/>
                <w:sz w:val="14"/>
              </w:rPr>
              <w:t>30.4.5 Time limit and extension</w:t>
            </w:r>
          </w:p>
        </w:tc>
        <w:tc>
          <w:tcPr>
            <w:tcW w:type="dxa" w:w="7272"/>
            <w:vAlign w:val="top"/>
          </w:tcPr>
          <w:p>
            <w:pPr>
              <w:spacing w:after="0" w:line="240" w:lineRule="auto"/>
            </w:pPr>
            <w:r/>
            <w:r>
              <w:rPr>
                <w:rFonts w:ascii="Times New Roman" w:hAnsi="Times New Roman" w:eastAsia="Times New Roman"/>
                <w:b w:val="0"/>
                <w:sz w:val="14"/>
              </w:rPr>
              <w:t>The appeal must be filed within the prescribed time. Extension of time is available only where the applicable law permits and the appellant satisfies the legal conditions.</w:t>
            </w:r>
          </w:p>
        </w:tc>
      </w:tr>
      <w:tr>
        <w:tc>
          <w:tcPr>
            <w:tcW w:type="dxa" w:w="3312"/>
            <w:vAlign w:val="top"/>
          </w:tcPr>
          <w:p>
            <w:pPr>
              <w:spacing w:after="0" w:line="240" w:lineRule="auto"/>
            </w:pPr>
            <w:r/>
            <w:r>
              <w:rPr>
                <w:rFonts w:ascii="Times New Roman" w:hAnsi="Times New Roman" w:eastAsia="Times New Roman"/>
                <w:b w:val="0"/>
                <w:sz w:val="14"/>
              </w:rPr>
              <w:t>30.4.6 Deposit requirement</w:t>
            </w:r>
          </w:p>
        </w:tc>
        <w:tc>
          <w:tcPr>
            <w:tcW w:type="dxa" w:w="7272"/>
            <w:vAlign w:val="top"/>
          </w:tcPr>
          <w:p>
            <w:pPr>
              <w:spacing w:after="0" w:line="240" w:lineRule="auto"/>
            </w:pPr>
            <w:r/>
            <w:r>
              <w:rPr>
                <w:rFonts w:ascii="Times New Roman" w:hAnsi="Times New Roman" w:eastAsia="Times New Roman"/>
                <w:b w:val="0"/>
                <w:sz w:val="14"/>
              </w:rPr>
              <w:t>The appellant must deposit the amount required by law before or at the time of filing the appeal. Deposit rules are separate from the merits of the dispute.</w:t>
            </w:r>
          </w:p>
        </w:tc>
      </w:tr>
      <w:tr>
        <w:tc>
          <w:tcPr>
            <w:tcW w:type="dxa" w:w="3312"/>
            <w:vAlign w:val="top"/>
          </w:tcPr>
          <w:p>
            <w:pPr>
              <w:spacing w:after="0" w:line="240" w:lineRule="auto"/>
            </w:pPr>
            <w:r/>
            <w:r>
              <w:rPr>
                <w:rFonts w:ascii="Times New Roman" w:hAnsi="Times New Roman" w:eastAsia="Times New Roman"/>
                <w:b w:val="0"/>
                <w:sz w:val="14"/>
              </w:rPr>
              <w:t>30.4.7 Information of appeal to Department</w:t>
            </w:r>
          </w:p>
        </w:tc>
        <w:tc>
          <w:tcPr>
            <w:tcW w:type="dxa" w:w="7272"/>
            <w:vAlign w:val="top"/>
          </w:tcPr>
          <w:p>
            <w:pPr>
              <w:spacing w:after="0" w:line="240" w:lineRule="auto"/>
            </w:pPr>
            <w:r/>
            <w:r>
              <w:rPr>
                <w:rFonts w:ascii="Times New Roman" w:hAnsi="Times New Roman" w:eastAsia="Times New Roman"/>
                <w:b w:val="0"/>
                <w:sz w:val="14"/>
              </w:rPr>
              <w:t>Notice or copy of appeal must be registered with, or provided to, the Department as required by law so that the Department is aware of the pending appeal.</w:t>
            </w:r>
          </w:p>
        </w:tc>
      </w:tr>
      <w:tr>
        <w:tc>
          <w:tcPr>
            <w:tcW w:type="dxa" w:w="3312"/>
            <w:vAlign w:val="top"/>
          </w:tcPr>
          <w:p>
            <w:pPr>
              <w:spacing w:after="0" w:line="240" w:lineRule="auto"/>
            </w:pPr>
            <w:r/>
            <w:r>
              <w:rPr>
                <w:rFonts w:ascii="Times New Roman" w:hAnsi="Times New Roman" w:eastAsia="Times New Roman"/>
                <w:b w:val="0"/>
                <w:sz w:val="14"/>
              </w:rPr>
              <w:t>30.4.8 Implementation during pendency</w:t>
            </w:r>
          </w:p>
        </w:tc>
        <w:tc>
          <w:tcPr>
            <w:tcW w:type="dxa" w:w="7272"/>
            <w:vAlign w:val="top"/>
          </w:tcPr>
          <w:p>
            <w:pPr>
              <w:spacing w:after="0" w:line="240" w:lineRule="auto"/>
            </w:pPr>
            <w:r/>
            <w:r>
              <w:rPr>
                <w:rFonts w:ascii="Times New Roman" w:hAnsi="Times New Roman" w:eastAsia="Times New Roman"/>
                <w:b w:val="0"/>
                <w:sz w:val="14"/>
              </w:rPr>
              <w:t>The challenged decision may still be implemented during appeal unless stayed or suspended according to law.</w:t>
            </w:r>
          </w:p>
        </w:tc>
      </w:tr>
      <w:tr>
        <w:tc>
          <w:tcPr>
            <w:tcW w:type="dxa" w:w="3312"/>
            <w:vAlign w:val="top"/>
          </w:tcPr>
          <w:p>
            <w:pPr>
              <w:spacing w:after="0" w:line="240" w:lineRule="auto"/>
            </w:pPr>
            <w:r/>
            <w:r>
              <w:rPr>
                <w:rFonts w:ascii="Times New Roman" w:hAnsi="Times New Roman" w:eastAsia="Times New Roman"/>
                <w:b w:val="0"/>
                <w:sz w:val="14"/>
              </w:rPr>
              <w:t>30.4.9 Proceedings and decision</w:t>
            </w:r>
          </w:p>
        </w:tc>
        <w:tc>
          <w:tcPr>
            <w:tcW w:type="dxa" w:w="7272"/>
            <w:vAlign w:val="top"/>
          </w:tcPr>
          <w:p>
            <w:pPr>
              <w:spacing w:after="0" w:line="240" w:lineRule="auto"/>
            </w:pPr>
            <w:r/>
            <w:r>
              <w:rPr>
                <w:rFonts w:ascii="Times New Roman" w:hAnsi="Times New Roman" w:eastAsia="Times New Roman"/>
                <w:b w:val="0"/>
                <w:sz w:val="14"/>
              </w:rPr>
              <w:t>The Tribunal follows its prescribed procedure, hears the parties, examines evidence and law, and issues a decision.</w:t>
            </w:r>
          </w:p>
        </w:tc>
      </w:tr>
      <w:tr>
        <w:tc>
          <w:tcPr>
            <w:tcW w:type="dxa" w:w="3312"/>
            <w:vAlign w:val="top"/>
          </w:tcPr>
          <w:p>
            <w:pPr>
              <w:spacing w:after="0" w:line="240" w:lineRule="auto"/>
            </w:pPr>
            <w:r/>
            <w:r>
              <w:rPr>
                <w:rFonts w:ascii="Times New Roman" w:hAnsi="Times New Roman" w:eastAsia="Times New Roman"/>
                <w:b w:val="0"/>
                <w:sz w:val="14"/>
              </w:rPr>
              <w:t>30.4.10 Tax determined by appeal decision</w:t>
            </w:r>
          </w:p>
        </w:tc>
        <w:tc>
          <w:tcPr>
            <w:tcW w:type="dxa" w:w="7272"/>
            <w:vAlign w:val="top"/>
          </w:tcPr>
          <w:p>
            <w:pPr>
              <w:spacing w:after="0" w:line="240" w:lineRule="auto"/>
            </w:pPr>
            <w:r/>
            <w:r>
              <w:rPr>
                <w:rFonts w:ascii="Times New Roman" w:hAnsi="Times New Roman" w:eastAsia="Times New Roman"/>
                <w:b w:val="0"/>
                <w:sz w:val="14"/>
              </w:rPr>
              <w:t>The tax, fee, interest or other liability finally determined by the appeal decision is the amount payable or adjustable according to the Act.</w:t>
            </w:r>
          </w:p>
        </w:tc>
      </w:tr>
    </w:tbl>
    <w:p/>
    <w:p>
      <w:pPr>
        <w:pStyle w:val="Heading2"/>
        <w:spacing w:after="80" w:line="252" w:lineRule="auto"/>
      </w:pPr>
      <w:r>
        <w:rPr>
          <w:rFonts w:ascii="Times New Roman" w:hAnsi="Times New Roman" w:eastAsia="Times New Roman"/>
          <w:b w:val="0"/>
          <w:i w:val="0"/>
        </w:rPr>
        <w:t>30.5 Practical sequence of remedy</w:t>
      </w:r>
    </w:p>
    <w:tbl>
      <w:tblPr>
        <w:tblStyle w:val="TableGrid"/>
        <w:tblW w:type="auto" w:w="0"/>
        <w:jc w:val="center"/>
        <w:tblLook w:firstColumn="1" w:firstRow="1" w:lastColumn="0" w:lastRow="0" w:noHBand="0" w:noVBand="1" w:val="04A0"/>
      </w:tblPr>
      <w:tblGrid>
        <w:gridCol w:w="4946"/>
        <w:gridCol w:w="4946"/>
      </w:tblGrid>
      <w:tr>
        <w:trPr>
          <w:tblHeader w:val="true"/>
        </w:trPr>
        <w:tc>
          <w:tcPr>
            <w:tcW w:type="dxa" w:w="1080"/>
            <w:vAlign w:val="top"/>
            <w:shd w:fill="D9EAF7"/>
          </w:tcPr>
          <w:p>
            <w:pPr>
              <w:spacing w:after="0" w:line="240" w:lineRule="auto"/>
            </w:pPr>
            <w:r/>
            <w:r>
              <w:rPr>
                <w:rFonts w:ascii="Times New Roman" w:hAnsi="Times New Roman" w:eastAsia="Times New Roman"/>
                <w:b/>
                <w:sz w:val="15"/>
              </w:rPr>
              <w:t>Step</w:t>
            </w:r>
          </w:p>
        </w:tc>
        <w:tc>
          <w:tcPr>
            <w:tcW w:type="dxa" w:w="9504"/>
            <w:vAlign w:val="top"/>
            <w:shd w:fill="D9EAF7"/>
          </w:tcPr>
          <w:p>
            <w:pPr>
              <w:spacing w:after="0" w:line="240" w:lineRule="auto"/>
            </w:pPr>
            <w:r/>
            <w:r>
              <w:rPr>
                <w:rFonts w:ascii="Times New Roman" w:hAnsi="Times New Roman" w:eastAsia="Times New Roman"/>
                <w:b/>
                <w:sz w:val="15"/>
              </w:rPr>
              <w:t>Action</w:t>
            </w:r>
          </w:p>
        </w:tc>
      </w:tr>
      <w:tr>
        <w:tc>
          <w:tcPr>
            <w:tcW w:type="dxa" w:w="1080"/>
            <w:vAlign w:val="top"/>
          </w:tcPr>
          <w:p>
            <w:pPr>
              <w:spacing w:after="0" w:line="240" w:lineRule="auto"/>
            </w:pPr>
            <w:r/>
            <w:r>
              <w:rPr>
                <w:rFonts w:ascii="Times New Roman" w:hAnsi="Times New Roman" w:eastAsia="Times New Roman"/>
                <w:b w:val="0"/>
                <w:sz w:val="15"/>
              </w:rPr>
              <w:t>1</w:t>
            </w:r>
          </w:p>
        </w:tc>
        <w:tc>
          <w:tcPr>
            <w:tcW w:type="dxa" w:w="9504"/>
            <w:vAlign w:val="top"/>
          </w:tcPr>
          <w:p>
            <w:pPr>
              <w:spacing w:after="0" w:line="240" w:lineRule="auto"/>
            </w:pPr>
            <w:r/>
            <w:r>
              <w:rPr>
                <w:rFonts w:ascii="Times New Roman" w:hAnsi="Times New Roman" w:eastAsia="Times New Roman"/>
                <w:b w:val="0"/>
                <w:sz w:val="15"/>
              </w:rPr>
              <w:t>Receive assessment, amended assessment, advance ruling or other decision.</w:t>
            </w:r>
          </w:p>
        </w:tc>
      </w:tr>
      <w:tr>
        <w:tc>
          <w:tcPr>
            <w:tcW w:type="dxa" w:w="1080"/>
            <w:vAlign w:val="top"/>
          </w:tcPr>
          <w:p>
            <w:pPr>
              <w:spacing w:after="0" w:line="240" w:lineRule="auto"/>
            </w:pPr>
            <w:r/>
            <w:r>
              <w:rPr>
                <w:rFonts w:ascii="Times New Roman" w:hAnsi="Times New Roman" w:eastAsia="Times New Roman"/>
                <w:b w:val="0"/>
                <w:sz w:val="15"/>
              </w:rPr>
              <w:t>2</w:t>
            </w:r>
          </w:p>
        </w:tc>
        <w:tc>
          <w:tcPr>
            <w:tcW w:type="dxa" w:w="9504"/>
            <w:vAlign w:val="top"/>
          </w:tcPr>
          <w:p>
            <w:pPr>
              <w:spacing w:after="0" w:line="240" w:lineRule="auto"/>
            </w:pPr>
            <w:r/>
            <w:r>
              <w:rPr>
                <w:rFonts w:ascii="Times New Roman" w:hAnsi="Times New Roman" w:eastAsia="Times New Roman"/>
                <w:b w:val="0"/>
                <w:sz w:val="15"/>
              </w:rPr>
              <w:t>File administrative-review application before the Director General within the prescribed time and with required deposit where applicable.</w:t>
            </w:r>
          </w:p>
        </w:tc>
      </w:tr>
      <w:tr>
        <w:tc>
          <w:tcPr>
            <w:tcW w:type="dxa" w:w="1080"/>
            <w:vAlign w:val="top"/>
          </w:tcPr>
          <w:p>
            <w:pPr>
              <w:spacing w:after="0" w:line="240" w:lineRule="auto"/>
            </w:pPr>
            <w:r/>
            <w:r>
              <w:rPr>
                <w:rFonts w:ascii="Times New Roman" w:hAnsi="Times New Roman" w:eastAsia="Times New Roman"/>
                <w:b w:val="0"/>
                <w:sz w:val="15"/>
              </w:rPr>
              <w:t>3</w:t>
            </w:r>
          </w:p>
        </w:tc>
        <w:tc>
          <w:tcPr>
            <w:tcW w:type="dxa" w:w="9504"/>
            <w:vAlign w:val="top"/>
          </w:tcPr>
          <w:p>
            <w:pPr>
              <w:spacing w:after="0" w:line="240" w:lineRule="auto"/>
            </w:pPr>
            <w:r/>
            <w:r>
              <w:rPr>
                <w:rFonts w:ascii="Times New Roman" w:hAnsi="Times New Roman" w:eastAsia="Times New Roman"/>
                <w:b w:val="0"/>
                <w:sz w:val="15"/>
              </w:rPr>
              <w:t>Wait for decision within the period allowed by law.</w:t>
            </w:r>
          </w:p>
        </w:tc>
      </w:tr>
      <w:tr>
        <w:tc>
          <w:tcPr>
            <w:tcW w:type="dxa" w:w="1080"/>
            <w:vAlign w:val="top"/>
          </w:tcPr>
          <w:p>
            <w:pPr>
              <w:spacing w:after="0" w:line="240" w:lineRule="auto"/>
            </w:pPr>
            <w:r/>
            <w:r>
              <w:rPr>
                <w:rFonts w:ascii="Times New Roman" w:hAnsi="Times New Roman" w:eastAsia="Times New Roman"/>
                <w:b w:val="0"/>
                <w:sz w:val="15"/>
              </w:rPr>
              <w:t>4</w:t>
            </w:r>
          </w:p>
        </w:tc>
        <w:tc>
          <w:tcPr>
            <w:tcW w:type="dxa" w:w="9504"/>
            <w:vAlign w:val="top"/>
          </w:tcPr>
          <w:p>
            <w:pPr>
              <w:spacing w:after="0" w:line="240" w:lineRule="auto"/>
            </w:pPr>
            <w:r/>
            <w:r>
              <w:rPr>
                <w:rFonts w:ascii="Times New Roman" w:hAnsi="Times New Roman" w:eastAsia="Times New Roman"/>
                <w:b w:val="0"/>
                <w:sz w:val="15"/>
              </w:rPr>
              <w:t>If dissatisfied with the decision, or if no decision is received within the legal time, file appeal before the Revenue Tribunal within the prescribed period.</w:t>
            </w:r>
          </w:p>
        </w:tc>
      </w:tr>
      <w:tr>
        <w:tc>
          <w:tcPr>
            <w:tcW w:type="dxa" w:w="1080"/>
            <w:vAlign w:val="top"/>
          </w:tcPr>
          <w:p>
            <w:pPr>
              <w:spacing w:after="0" w:line="240" w:lineRule="auto"/>
            </w:pPr>
            <w:r/>
            <w:r>
              <w:rPr>
                <w:rFonts w:ascii="Times New Roman" w:hAnsi="Times New Roman" w:eastAsia="Times New Roman"/>
                <w:b w:val="0"/>
                <w:sz w:val="15"/>
              </w:rPr>
              <w:t>5</w:t>
            </w:r>
          </w:p>
        </w:tc>
        <w:tc>
          <w:tcPr>
            <w:tcW w:type="dxa" w:w="9504"/>
            <w:vAlign w:val="top"/>
          </w:tcPr>
          <w:p>
            <w:pPr>
              <w:spacing w:after="0" w:line="240" w:lineRule="auto"/>
            </w:pPr>
            <w:r/>
            <w:r>
              <w:rPr>
                <w:rFonts w:ascii="Times New Roman" w:hAnsi="Times New Roman" w:eastAsia="Times New Roman"/>
                <w:b w:val="0"/>
                <w:sz w:val="15"/>
              </w:rPr>
              <w:t>Comply with deposit and procedural requirements of appeal.</w:t>
            </w:r>
          </w:p>
        </w:tc>
      </w:tr>
      <w:tr>
        <w:tc>
          <w:tcPr>
            <w:tcW w:type="dxa" w:w="1080"/>
            <w:vAlign w:val="top"/>
          </w:tcPr>
          <w:p>
            <w:pPr>
              <w:spacing w:after="0" w:line="240" w:lineRule="auto"/>
            </w:pPr>
            <w:r/>
            <w:r>
              <w:rPr>
                <w:rFonts w:ascii="Times New Roman" w:hAnsi="Times New Roman" w:eastAsia="Times New Roman"/>
                <w:b w:val="0"/>
                <w:sz w:val="15"/>
              </w:rPr>
              <w:t>6</w:t>
            </w:r>
          </w:p>
        </w:tc>
        <w:tc>
          <w:tcPr>
            <w:tcW w:type="dxa" w:w="9504"/>
            <w:vAlign w:val="top"/>
          </w:tcPr>
          <w:p>
            <w:pPr>
              <w:spacing w:after="0" w:line="240" w:lineRule="auto"/>
            </w:pPr>
            <w:r/>
            <w:r>
              <w:rPr>
                <w:rFonts w:ascii="Times New Roman" w:hAnsi="Times New Roman" w:eastAsia="Times New Roman"/>
                <w:b w:val="0"/>
                <w:sz w:val="15"/>
              </w:rPr>
              <w:t>Give required notice or information of appeal to the Department.</w:t>
            </w:r>
          </w:p>
        </w:tc>
      </w:tr>
      <w:tr>
        <w:tc>
          <w:tcPr>
            <w:tcW w:type="dxa" w:w="1080"/>
            <w:vAlign w:val="top"/>
          </w:tcPr>
          <w:p>
            <w:pPr>
              <w:spacing w:after="0" w:line="240" w:lineRule="auto"/>
            </w:pPr>
            <w:r/>
            <w:r>
              <w:rPr>
                <w:rFonts w:ascii="Times New Roman" w:hAnsi="Times New Roman" w:eastAsia="Times New Roman"/>
                <w:b w:val="0"/>
                <w:sz w:val="15"/>
              </w:rPr>
              <w:t>7</w:t>
            </w:r>
          </w:p>
        </w:tc>
        <w:tc>
          <w:tcPr>
            <w:tcW w:type="dxa" w:w="9504"/>
            <w:vAlign w:val="top"/>
          </w:tcPr>
          <w:p>
            <w:pPr>
              <w:spacing w:after="0" w:line="240" w:lineRule="auto"/>
            </w:pPr>
            <w:r/>
            <w:r>
              <w:rPr>
                <w:rFonts w:ascii="Times New Roman" w:hAnsi="Times New Roman" w:eastAsia="Times New Roman"/>
                <w:b w:val="0"/>
                <w:sz w:val="15"/>
              </w:rPr>
              <w:t>After the Tribunal decision, pay, adjust or seek further legal remedy as permitted by law.</w:t>
            </w:r>
          </w:p>
        </w:tc>
      </w:tr>
    </w:tbl>
    <w:p/>
    <w:p>
      <w:pPr>
        <w:spacing w:after="80" w:line="252" w:lineRule="auto"/>
        <w:jc w:val="center"/>
      </w:pPr>
      <w:r>
        <w:rPr>
          <w:rFonts w:ascii="Times New Roman" w:hAnsi="Times New Roman" w:eastAsia="Times New Roman"/>
          <w:b w:val="0"/>
          <w:i/>
          <w:sz w:val="21"/>
        </w:rPr>
        <w:t>End of Chapter 30</w:t>
      </w:r>
    </w:p>
    <w:p>
      <w:r>
        <w:br w:type="page"/>
      </w:r>
    </w:p>
    <w:p>
      <w:pPr>
        <w:pStyle w:val="Title"/>
        <w:spacing w:after="80" w:line="252" w:lineRule="auto"/>
        <w:jc w:val="center"/>
      </w:pPr>
      <w:r>
        <w:rPr>
          <w:rFonts w:ascii="Times New Roman" w:hAnsi="Times New Roman" w:eastAsia="Times New Roman"/>
          <w:b w:val="0"/>
          <w:i w:val="0"/>
        </w:rPr>
        <w:t>Income Tax Directive, 2066 (with Fifth Amendment, 2081)</w:t>
      </w:r>
    </w:p>
    <w:p>
      <w:pPr>
        <w:pStyle w:val="Title"/>
        <w:spacing w:after="80" w:line="252" w:lineRule="auto"/>
        <w:jc w:val="center"/>
      </w:pPr>
      <w:r>
        <w:rPr>
          <w:rFonts w:ascii="Times New Roman" w:hAnsi="Times New Roman" w:eastAsia="Times New Roman"/>
          <w:b w:val="0"/>
          <w:i w:val="0"/>
        </w:rPr>
        <w:t>English Translation - Part 31</w:t>
      </w:r>
    </w:p>
    <w:p>
      <w:pPr>
        <w:pStyle w:val="Heading1"/>
        <w:spacing w:after="80" w:line="252" w:lineRule="auto"/>
        <w:jc w:val="center"/>
      </w:pPr>
      <w:r>
        <w:rPr>
          <w:rFonts w:ascii="Times New Roman" w:hAnsi="Times New Roman" w:eastAsia="Times New Roman"/>
          <w:b w:val="0"/>
          <w:i w:val="0"/>
        </w:rPr>
        <w:t>Chapter 31: Administration of Income Tax, Official Documents, Records and Information Collection</w:t>
      </w:r>
    </w:p>
    <w:p>
      <w:pPr>
        <w:spacing w:after="80" w:line="252" w:lineRule="auto"/>
        <w:jc w:val="center"/>
      </w:pPr>
      <w:r>
        <w:rPr>
          <w:rFonts w:ascii="Times New Roman" w:hAnsi="Times New Roman" w:eastAsia="Times New Roman"/>
          <w:b w:val="0"/>
          <w:i/>
          <w:sz w:val="21"/>
        </w:rPr>
        <w:t>Source pages: Directive pages 632-652</w:t>
      </w:r>
    </w:p>
    <w:p>
      <w:pPr>
        <w:spacing w:after="80" w:line="252" w:lineRule="auto"/>
      </w:pPr>
      <w:r>
        <w:rPr>
          <w:rFonts w:ascii="Times New Roman" w:hAnsi="Times New Roman" w:eastAsia="Times New Roman"/>
          <w:b w:val="0"/>
          <w:i/>
          <w:sz w:val="21"/>
        </w:rPr>
        <w:t>Note: This working English translation follows the sequence, headings, examples and tabular presentation of the Nepali directive as far as practicable in Word format. Statutory expressions have been aligned with the official English terminology of the Income Tax Act, 2002 (2058) where applicable.</w:t>
      </w:r>
    </w:p>
    <w:p>
      <w:r>
        <w:br w:type="page"/>
      </w:r>
    </w:p>
    <w:p>
      <w:pPr>
        <w:pStyle w:val="Heading1"/>
        <w:spacing w:after="80" w:line="252" w:lineRule="auto"/>
        <w:jc w:val="center"/>
      </w:pPr>
      <w:r>
        <w:rPr>
          <w:rFonts w:ascii="Times New Roman" w:hAnsi="Times New Roman" w:eastAsia="Times New Roman"/>
          <w:b w:val="0"/>
          <w:i w:val="0"/>
        </w:rPr>
        <w:t>Chapter 31</w:t>
      </w:r>
    </w:p>
    <w:p>
      <w:pPr>
        <w:pStyle w:val="Heading1"/>
        <w:spacing w:after="80" w:line="252" w:lineRule="auto"/>
        <w:jc w:val="center"/>
      </w:pPr>
      <w:r>
        <w:rPr>
          <w:rFonts w:ascii="Times New Roman" w:hAnsi="Times New Roman" w:eastAsia="Times New Roman"/>
          <w:b w:val="0"/>
          <w:i w:val="0"/>
        </w:rPr>
        <w:t>Administration of Income Tax, Official Documents, Records and Information Collection</w:t>
      </w:r>
    </w:p>
    <w:p>
      <w:pPr>
        <w:pStyle w:val="Heading2"/>
        <w:spacing w:after="80" w:line="252" w:lineRule="auto"/>
      </w:pPr>
      <w:r>
        <w:rPr>
          <w:rFonts w:ascii="Times New Roman" w:hAnsi="Times New Roman" w:eastAsia="Times New Roman"/>
          <w:b w:val="0"/>
          <w:i w:val="0"/>
        </w:rPr>
        <w:t>31.1 Introduction</w:t>
      </w:r>
    </w:p>
    <w:p>
      <w:pPr>
        <w:spacing w:after="80" w:line="252" w:lineRule="auto"/>
      </w:pPr>
      <w:r>
        <w:rPr>
          <w:rFonts w:ascii="Times New Roman" w:hAnsi="Times New Roman" w:eastAsia="Times New Roman"/>
          <w:b w:val="0"/>
          <w:i w:val="0"/>
          <w:sz w:val="21"/>
        </w:rPr>
        <w:t>The effectiveness of a tax system depends on the administering authority, its organisational structure and administrative powers, the rights and duties of persons within the tax system, the records and documents to be maintained, and the access of tax administration to those records and documents. Chapter 14 of the Act deals with the authority administering income tax, its organisation and powers, identification of taxpayers, and documents required for income tax purposes. Chapter 15 deals with records, confidentiality and access to information. This chapter explains those provisions.</w:t>
      </w:r>
    </w:p>
    <w:p>
      <w:pPr>
        <w:pStyle w:val="Heading2"/>
        <w:spacing w:after="80" w:line="252" w:lineRule="auto"/>
      </w:pPr>
      <w:r>
        <w:rPr>
          <w:rFonts w:ascii="Times New Roman" w:hAnsi="Times New Roman" w:eastAsia="Times New Roman"/>
          <w:b w:val="0"/>
          <w:i w:val="0"/>
        </w:rPr>
        <w:t>31.2 Income tax administration</w:t>
      </w:r>
    </w:p>
    <w:p>
      <w:pPr>
        <w:pStyle w:val="Heading3"/>
        <w:spacing w:after="80" w:line="252" w:lineRule="auto"/>
      </w:pPr>
      <w:r>
        <w:rPr>
          <w:rFonts w:ascii="Times New Roman" w:hAnsi="Times New Roman" w:eastAsia="Times New Roman"/>
          <w:b w:val="0"/>
          <w:i w:val="0"/>
        </w:rPr>
        <w:t>31.2.1 Department</w:t>
      </w:r>
    </w:p>
    <w:p>
      <w:pPr>
        <w:spacing w:after="80" w:line="252" w:lineRule="auto"/>
      </w:pPr>
      <w:r>
        <w:rPr>
          <w:rFonts w:ascii="Times New Roman" w:hAnsi="Times New Roman" w:eastAsia="Times New Roman"/>
          <w:b w:val="0"/>
          <w:i w:val="0"/>
          <w:sz w:val="21"/>
        </w:rPr>
        <w:t>The Inland Revenue Department is the central body responsible for administration of income tax. Offices established under the Department, such as the Large Taxpayer Office, Medium Level Taxpayer Office, Inland Revenue Offices and Taxpayer Service Offices, are integral and supporting parts of the Department. Therefore, when the Act states that the Department performs a function, the relevant subordinate office may perform that function as the representative of the Department where authorised.</w:t>
      </w:r>
    </w:p>
    <w:tbl>
      <w:tblPr>
        <w:tblStyle w:val="TableGrid"/>
        <w:tblW w:type="auto" w:w="0"/>
        <w:jc w:val="center"/>
        <w:tblLook w:firstColumn="1" w:firstRow="1" w:lastColumn="0" w:lastRow="0" w:noHBand="0" w:noVBand="1" w:val="04A0"/>
      </w:tblPr>
      <w:tblGrid>
        <w:gridCol w:w="4946"/>
        <w:gridCol w:w="4946"/>
      </w:tblGrid>
      <w:tr>
        <w:trPr>
          <w:tblHeader w:val="true"/>
        </w:trPr>
        <w:tc>
          <w:tcPr>
            <w:tcW w:type="dxa" w:w="3384"/>
            <w:vAlign w:val="top"/>
            <w:shd w:fill="D9EAF7"/>
          </w:tcPr>
          <w:p>
            <w:pPr>
              <w:spacing w:after="0" w:line="240" w:lineRule="auto"/>
            </w:pPr>
            <w:r/>
            <w:r>
              <w:rPr>
                <w:rFonts w:ascii="Times New Roman" w:hAnsi="Times New Roman" w:eastAsia="Times New Roman"/>
                <w:b/>
                <w:sz w:val="14"/>
              </w:rPr>
              <w:t>Body / officer</w:t>
            </w:r>
          </w:p>
        </w:tc>
        <w:tc>
          <w:tcPr>
            <w:tcW w:type="dxa" w:w="7200"/>
            <w:vAlign w:val="top"/>
            <w:shd w:fill="D9EAF7"/>
          </w:tcPr>
          <w:p>
            <w:pPr>
              <w:spacing w:after="0" w:line="240" w:lineRule="auto"/>
            </w:pPr>
            <w:r/>
            <w:r>
              <w:rPr>
                <w:rFonts w:ascii="Times New Roman" w:hAnsi="Times New Roman" w:eastAsia="Times New Roman"/>
                <w:b/>
                <w:sz w:val="14"/>
              </w:rPr>
              <w:t>Role described in the Directive</w:t>
            </w:r>
          </w:p>
        </w:tc>
      </w:tr>
      <w:tr>
        <w:tc>
          <w:tcPr>
            <w:tcW w:type="dxa" w:w="3384"/>
            <w:vAlign w:val="top"/>
          </w:tcPr>
          <w:p>
            <w:pPr>
              <w:spacing w:after="0" w:line="240" w:lineRule="auto"/>
            </w:pPr>
            <w:r/>
            <w:r>
              <w:rPr>
                <w:rFonts w:ascii="Times New Roman" w:hAnsi="Times New Roman" w:eastAsia="Times New Roman"/>
                <w:b w:val="0"/>
                <w:sz w:val="14"/>
              </w:rPr>
              <w:t>Department</w:t>
            </w:r>
          </w:p>
        </w:tc>
        <w:tc>
          <w:tcPr>
            <w:tcW w:type="dxa" w:w="7200"/>
            <w:vAlign w:val="top"/>
          </w:tcPr>
          <w:p>
            <w:pPr>
              <w:spacing w:after="0" w:line="240" w:lineRule="auto"/>
            </w:pPr>
            <w:r/>
            <w:r>
              <w:rPr>
                <w:rFonts w:ascii="Times New Roman" w:hAnsi="Times New Roman" w:eastAsia="Times New Roman"/>
                <w:b w:val="0"/>
                <w:sz w:val="14"/>
              </w:rPr>
              <w:t>Administers income tax, exercises powers given by the Act, issues public circulars and advance rulings, administers PAN and certificates, and prescribes documents and records.</w:t>
            </w:r>
          </w:p>
        </w:tc>
      </w:tr>
      <w:tr>
        <w:tc>
          <w:tcPr>
            <w:tcW w:type="dxa" w:w="3384"/>
            <w:vAlign w:val="top"/>
          </w:tcPr>
          <w:p>
            <w:pPr>
              <w:spacing w:after="0" w:line="240" w:lineRule="auto"/>
            </w:pPr>
            <w:r/>
            <w:r>
              <w:rPr>
                <w:rFonts w:ascii="Times New Roman" w:hAnsi="Times New Roman" w:eastAsia="Times New Roman"/>
                <w:b w:val="0"/>
                <w:sz w:val="14"/>
              </w:rPr>
              <w:t>Large Taxpayer Office / Medium Level Taxpayer Office</w:t>
            </w:r>
          </w:p>
        </w:tc>
        <w:tc>
          <w:tcPr>
            <w:tcW w:type="dxa" w:w="7200"/>
            <w:vAlign w:val="top"/>
          </w:tcPr>
          <w:p>
            <w:pPr>
              <w:spacing w:after="0" w:line="240" w:lineRule="auto"/>
            </w:pPr>
            <w:r/>
            <w:r>
              <w:rPr>
                <w:rFonts w:ascii="Times New Roman" w:hAnsi="Times New Roman" w:eastAsia="Times New Roman"/>
                <w:b w:val="0"/>
                <w:sz w:val="14"/>
              </w:rPr>
              <w:t>Administers taxpayers falling within its jurisdiction through chief tax administrator, chief tax officers, tax officers and staff.</w:t>
            </w:r>
          </w:p>
        </w:tc>
      </w:tr>
      <w:tr>
        <w:tc>
          <w:tcPr>
            <w:tcW w:type="dxa" w:w="3384"/>
            <w:vAlign w:val="top"/>
          </w:tcPr>
          <w:p>
            <w:pPr>
              <w:spacing w:after="0" w:line="240" w:lineRule="auto"/>
            </w:pPr>
            <w:r/>
            <w:r>
              <w:rPr>
                <w:rFonts w:ascii="Times New Roman" w:hAnsi="Times New Roman" w:eastAsia="Times New Roman"/>
                <w:b w:val="0"/>
                <w:sz w:val="14"/>
              </w:rPr>
              <w:t>Inland Revenue Office / Taxpayer Service Office</w:t>
            </w:r>
          </w:p>
        </w:tc>
        <w:tc>
          <w:tcPr>
            <w:tcW w:type="dxa" w:w="7200"/>
            <w:vAlign w:val="top"/>
          </w:tcPr>
          <w:p>
            <w:pPr>
              <w:spacing w:after="0" w:line="240" w:lineRule="auto"/>
            </w:pPr>
            <w:r/>
            <w:r>
              <w:rPr>
                <w:rFonts w:ascii="Times New Roman" w:hAnsi="Times New Roman" w:eastAsia="Times New Roman"/>
                <w:b w:val="0"/>
                <w:sz w:val="14"/>
              </w:rPr>
              <w:t>Administers taxpayers and services assigned by the Department and performs functions delegated by the Director General or competent authority.</w:t>
            </w:r>
          </w:p>
        </w:tc>
      </w:tr>
      <w:tr>
        <w:tc>
          <w:tcPr>
            <w:tcW w:type="dxa" w:w="3384"/>
            <w:vAlign w:val="top"/>
          </w:tcPr>
          <w:p>
            <w:pPr>
              <w:spacing w:after="0" w:line="240" w:lineRule="auto"/>
            </w:pPr>
            <w:r/>
            <w:r>
              <w:rPr>
                <w:rFonts w:ascii="Times New Roman" w:hAnsi="Times New Roman" w:eastAsia="Times New Roman"/>
                <w:b w:val="0"/>
                <w:sz w:val="14"/>
              </w:rPr>
              <w:t>Director General</w:t>
            </w:r>
          </w:p>
        </w:tc>
        <w:tc>
          <w:tcPr>
            <w:tcW w:type="dxa" w:w="7200"/>
            <w:vAlign w:val="top"/>
          </w:tcPr>
          <w:p>
            <w:pPr>
              <w:spacing w:after="0" w:line="240" w:lineRule="auto"/>
            </w:pPr>
            <w:r/>
            <w:r>
              <w:rPr>
                <w:rFonts w:ascii="Times New Roman" w:hAnsi="Times New Roman" w:eastAsia="Times New Roman"/>
                <w:b w:val="0"/>
                <w:sz w:val="14"/>
              </w:rPr>
              <w:t>Exercises powers of the Department and may delegate powers subject to statutory restrictions.</w:t>
            </w:r>
          </w:p>
        </w:tc>
      </w:tr>
      <w:tr>
        <w:tc>
          <w:tcPr>
            <w:tcW w:type="dxa" w:w="3384"/>
            <w:vAlign w:val="top"/>
          </w:tcPr>
          <w:p>
            <w:pPr>
              <w:spacing w:after="0" w:line="240" w:lineRule="auto"/>
            </w:pPr>
            <w:r/>
            <w:r>
              <w:rPr>
                <w:rFonts w:ascii="Times New Roman" w:hAnsi="Times New Roman" w:eastAsia="Times New Roman"/>
                <w:b w:val="0"/>
                <w:sz w:val="14"/>
              </w:rPr>
              <w:t>Deputy Director General / Director / Chief Tax Administrator / Chief Tax Officer / Tax Officer</w:t>
            </w:r>
          </w:p>
        </w:tc>
        <w:tc>
          <w:tcPr>
            <w:tcW w:type="dxa" w:w="7200"/>
            <w:vAlign w:val="top"/>
          </w:tcPr>
          <w:p>
            <w:pPr>
              <w:spacing w:after="0" w:line="240" w:lineRule="auto"/>
            </w:pPr>
            <w:r/>
            <w:r>
              <w:rPr>
                <w:rFonts w:ascii="Times New Roman" w:hAnsi="Times New Roman" w:eastAsia="Times New Roman"/>
                <w:b w:val="0"/>
                <w:sz w:val="14"/>
              </w:rPr>
              <w:t>Exercises powers delegated or assigned by the Act, Rules, Department or Director General.</w:t>
            </w:r>
          </w:p>
        </w:tc>
      </w:tr>
    </w:tbl>
    <w:p/>
    <w:p>
      <w:pPr>
        <w:pStyle w:val="Heading3"/>
        <w:spacing w:after="80" w:line="252" w:lineRule="auto"/>
      </w:pPr>
      <w:r>
        <w:rPr>
          <w:rFonts w:ascii="Times New Roman" w:hAnsi="Times New Roman" w:eastAsia="Times New Roman"/>
          <w:b w:val="0"/>
          <w:i w:val="0"/>
        </w:rPr>
        <w:t>31.2.2 Powers of officers and 31.2.3 powers of Government of Nepal</w:t>
      </w:r>
    </w:p>
    <w:p>
      <w:pPr>
        <w:spacing w:after="80" w:line="252" w:lineRule="auto"/>
      </w:pPr>
      <w:r>
        <w:rPr>
          <w:rFonts w:ascii="Times New Roman" w:hAnsi="Times New Roman" w:eastAsia="Times New Roman"/>
          <w:b w:val="0"/>
          <w:i w:val="0"/>
          <w:sz w:val="21"/>
        </w:rPr>
        <w:t>The Act and Rules provide different powers to the Government of Nepal, Department, Director General and officers. Government may make rules, issue necessary directions, amend schedules other than Schedule 1 by Gazette notification, and make policy-level arrangements necessary for implementation of the Act. The Director General may exercise Departmental powers and delegate powers to other officers or offices, except powers that cannot be delegated by law.</w:t>
      </w:r>
    </w:p>
    <w:p>
      <w:pPr>
        <w:pStyle w:val="Heading3"/>
        <w:spacing w:after="80" w:line="252" w:lineRule="auto"/>
      </w:pPr>
      <w:r>
        <w:rPr>
          <w:rFonts w:ascii="Times New Roman" w:hAnsi="Times New Roman" w:eastAsia="Times New Roman"/>
          <w:b w:val="0"/>
          <w:i w:val="0"/>
        </w:rPr>
        <w:t>31.2.4 Powers of the Director General and 31.2.5 powers of other senior officers</w:t>
      </w:r>
    </w:p>
    <w:p>
      <w:pPr>
        <w:pStyle w:val="ListBullet"/>
        <w:spacing w:after="80" w:line="252" w:lineRule="auto"/>
      </w:pPr>
      <w:r>
        <w:rPr>
          <w:rFonts w:ascii="Times New Roman" w:hAnsi="Times New Roman" w:eastAsia="Times New Roman"/>
          <w:b w:val="0"/>
          <w:i w:val="0"/>
        </w:rPr>
        <w:t>The Director General may exercise any power conferred on the Department by the Act.</w:t>
      </w:r>
    </w:p>
    <w:p>
      <w:pPr>
        <w:pStyle w:val="ListBullet"/>
        <w:spacing w:after="80" w:line="252" w:lineRule="auto"/>
      </w:pPr>
      <w:r>
        <w:rPr>
          <w:rFonts w:ascii="Times New Roman" w:hAnsi="Times New Roman" w:eastAsia="Times New Roman"/>
          <w:b w:val="0"/>
          <w:i w:val="0"/>
        </w:rPr>
        <w:t>The Director General may delegate powers of the Department to another officer of the Department or an Inland Revenue Office, unless the Act prohibits delegation.</w:t>
      </w:r>
    </w:p>
    <w:p>
      <w:pPr>
        <w:pStyle w:val="ListBullet"/>
        <w:spacing w:after="80" w:line="252" w:lineRule="auto"/>
      </w:pPr>
      <w:r>
        <w:rPr>
          <w:rFonts w:ascii="Times New Roman" w:hAnsi="Times New Roman" w:eastAsia="Times New Roman"/>
          <w:b w:val="0"/>
          <w:i w:val="0"/>
        </w:rPr>
        <w:t>Deputy Directors General, Chief Tax Administrators, Directors, Chief Tax Officers and office chiefs may exercise powers delegated to them and may further delegate where permitted.</w:t>
      </w:r>
    </w:p>
    <w:p>
      <w:pPr>
        <w:pStyle w:val="ListBullet"/>
        <w:spacing w:after="80" w:line="252" w:lineRule="auto"/>
      </w:pPr>
      <w:r>
        <w:rPr>
          <w:rFonts w:ascii="Times New Roman" w:hAnsi="Times New Roman" w:eastAsia="Times New Roman"/>
          <w:b w:val="0"/>
          <w:i w:val="0"/>
        </w:rPr>
        <w:t>An officer of the Department may exercise powers assigned by the Act, Rules, Director General or other competent authority.</w:t>
      </w:r>
    </w:p>
    <w:p>
      <w:pPr>
        <w:pStyle w:val="Heading2"/>
        <w:spacing w:after="80" w:line="252" w:lineRule="auto"/>
      </w:pPr>
      <w:r>
        <w:rPr>
          <w:rFonts w:ascii="Times New Roman" w:hAnsi="Times New Roman" w:eastAsia="Times New Roman"/>
          <w:b w:val="0"/>
          <w:i w:val="0"/>
        </w:rPr>
        <w:t>31.3 Administrative powers of the Department</w:t>
      </w:r>
    </w:p>
    <w:tbl>
      <w:tblPr>
        <w:tblStyle w:val="TableGrid"/>
        <w:tblW w:type="auto" w:w="0"/>
        <w:jc w:val="center"/>
        <w:tblLook w:firstColumn="1" w:firstRow="1" w:lastColumn="0" w:lastRow="0" w:noHBand="0" w:noVBand="1" w:val="04A0"/>
      </w:tblPr>
      <w:tblGrid>
        <w:gridCol w:w="4946"/>
        <w:gridCol w:w="4946"/>
      </w:tblGrid>
      <w:tr>
        <w:trPr>
          <w:tblHeader w:val="true"/>
        </w:trPr>
        <w:tc>
          <w:tcPr>
            <w:tcW w:type="dxa" w:w="3168"/>
            <w:vAlign w:val="top"/>
            <w:shd w:fill="D9EAF7"/>
          </w:tcPr>
          <w:p>
            <w:pPr>
              <w:spacing w:after="0" w:line="240" w:lineRule="auto"/>
            </w:pPr>
            <w:r/>
            <w:r>
              <w:rPr>
                <w:rFonts w:ascii="Times New Roman" w:hAnsi="Times New Roman" w:eastAsia="Times New Roman"/>
                <w:b/>
                <w:sz w:val="14"/>
              </w:rPr>
              <w:t>Topic</w:t>
            </w:r>
          </w:p>
        </w:tc>
        <w:tc>
          <w:tcPr>
            <w:tcW w:type="dxa" w:w="7416"/>
            <w:vAlign w:val="top"/>
            <w:shd w:fill="D9EAF7"/>
          </w:tcPr>
          <w:p>
            <w:pPr>
              <w:spacing w:after="0" w:line="240" w:lineRule="auto"/>
            </w:pPr>
            <w:r/>
            <w:r>
              <w:rPr>
                <w:rFonts w:ascii="Times New Roman" w:hAnsi="Times New Roman" w:eastAsia="Times New Roman"/>
                <w:b/>
                <w:sz w:val="14"/>
              </w:rPr>
              <w:t>Explanation</w:t>
            </w:r>
          </w:p>
        </w:tc>
      </w:tr>
      <w:tr>
        <w:tc>
          <w:tcPr>
            <w:tcW w:type="dxa" w:w="3168"/>
            <w:vAlign w:val="top"/>
          </w:tcPr>
          <w:p>
            <w:pPr>
              <w:spacing w:after="0" w:line="240" w:lineRule="auto"/>
            </w:pPr>
            <w:r/>
            <w:r>
              <w:rPr>
                <w:rFonts w:ascii="Times New Roman" w:hAnsi="Times New Roman" w:eastAsia="Times New Roman"/>
                <w:b w:val="0"/>
                <w:sz w:val="14"/>
              </w:rPr>
              <w:t>31.3.1 Implementation of international agreements</w:t>
            </w:r>
          </w:p>
        </w:tc>
        <w:tc>
          <w:tcPr>
            <w:tcW w:type="dxa" w:w="7416"/>
            <w:vAlign w:val="top"/>
          </w:tcPr>
          <w:p>
            <w:pPr>
              <w:spacing w:after="0" w:line="240" w:lineRule="auto"/>
            </w:pPr>
            <w:r/>
            <w:r>
              <w:rPr>
                <w:rFonts w:ascii="Times New Roman" w:hAnsi="Times New Roman" w:eastAsia="Times New Roman"/>
                <w:b w:val="0"/>
                <w:sz w:val="14"/>
              </w:rPr>
              <w:t>The Department may take necessary steps to implement agreements for avoidance of double taxation, exchange of information and other tax matters. It may respond to competent-authority requests and provide relief or adjustment to the extent required by the agreement and the Act.</w:t>
            </w:r>
          </w:p>
        </w:tc>
      </w:tr>
      <w:tr>
        <w:tc>
          <w:tcPr>
            <w:tcW w:type="dxa" w:w="3168"/>
            <w:vAlign w:val="top"/>
          </w:tcPr>
          <w:p>
            <w:pPr>
              <w:spacing w:after="0" w:line="240" w:lineRule="auto"/>
            </w:pPr>
            <w:r/>
            <w:r>
              <w:rPr>
                <w:rFonts w:ascii="Times New Roman" w:hAnsi="Times New Roman" w:eastAsia="Times New Roman"/>
                <w:b w:val="0"/>
                <w:sz w:val="14"/>
              </w:rPr>
              <w:t>31.3.2 Public circulars</w:t>
            </w:r>
          </w:p>
        </w:tc>
        <w:tc>
          <w:tcPr>
            <w:tcW w:type="dxa" w:w="7416"/>
            <w:vAlign w:val="top"/>
          </w:tcPr>
          <w:p>
            <w:pPr>
              <w:spacing w:after="0" w:line="240" w:lineRule="auto"/>
            </w:pPr>
            <w:r/>
            <w:r>
              <w:rPr>
                <w:rFonts w:ascii="Times New Roman" w:hAnsi="Times New Roman" w:eastAsia="Times New Roman"/>
                <w:b w:val="0"/>
                <w:sz w:val="14"/>
              </w:rPr>
              <w:t>The Department may issue public circulars explaining the administration or interpretation of the Act. A circular guides taxpayers and officers. Where a public circular is later withdrawn or changed, the legal effect is determined according to the Act and the terms of the circular.</w:t>
            </w:r>
          </w:p>
        </w:tc>
      </w:tr>
      <w:tr>
        <w:tc>
          <w:tcPr>
            <w:tcW w:type="dxa" w:w="3168"/>
            <w:vAlign w:val="top"/>
          </w:tcPr>
          <w:p>
            <w:pPr>
              <w:spacing w:after="0" w:line="240" w:lineRule="auto"/>
            </w:pPr>
            <w:r/>
            <w:r>
              <w:rPr>
                <w:rFonts w:ascii="Times New Roman" w:hAnsi="Times New Roman" w:eastAsia="Times New Roman"/>
                <w:b w:val="0"/>
                <w:sz w:val="14"/>
              </w:rPr>
              <w:t>31.3.3 Advance ruling</w:t>
            </w:r>
          </w:p>
        </w:tc>
        <w:tc>
          <w:tcPr>
            <w:tcW w:type="dxa" w:w="7416"/>
            <w:vAlign w:val="top"/>
          </w:tcPr>
          <w:p>
            <w:pPr>
              <w:spacing w:after="0" w:line="240" w:lineRule="auto"/>
            </w:pPr>
            <w:r/>
            <w:r>
              <w:rPr>
                <w:rFonts w:ascii="Times New Roman" w:hAnsi="Times New Roman" w:eastAsia="Times New Roman"/>
                <w:b w:val="0"/>
                <w:sz w:val="14"/>
              </w:rPr>
              <w:t>A person may request an advance ruling where there is doubt about application of tax law to the person’s transaction or proposed transaction. The Department may issue a ruling, except in matters barred by law, such as matters pending before court or already decided.</w:t>
            </w:r>
          </w:p>
        </w:tc>
      </w:tr>
      <w:tr>
        <w:tc>
          <w:tcPr>
            <w:tcW w:type="dxa" w:w="3168"/>
            <w:vAlign w:val="top"/>
          </w:tcPr>
          <w:p>
            <w:pPr>
              <w:spacing w:after="0" w:line="240" w:lineRule="auto"/>
            </w:pPr>
            <w:r/>
            <w:r>
              <w:rPr>
                <w:rFonts w:ascii="Times New Roman" w:hAnsi="Times New Roman" w:eastAsia="Times New Roman"/>
                <w:b w:val="0"/>
                <w:sz w:val="14"/>
              </w:rPr>
              <w:t>31.3.3.1 Duty of applicant</w:t>
            </w:r>
          </w:p>
        </w:tc>
        <w:tc>
          <w:tcPr>
            <w:tcW w:type="dxa" w:w="7416"/>
            <w:vAlign w:val="top"/>
          </w:tcPr>
          <w:p>
            <w:pPr>
              <w:spacing w:after="0" w:line="240" w:lineRule="auto"/>
            </w:pPr>
            <w:r/>
            <w:r>
              <w:rPr>
                <w:rFonts w:ascii="Times New Roman" w:hAnsi="Times New Roman" w:eastAsia="Times New Roman"/>
                <w:b w:val="0"/>
                <w:sz w:val="14"/>
              </w:rPr>
              <w:t>The applicant must submit complete facts, relevant documents, the legal provision creating doubt, the applicant’s own view and the specific ruling sought.</w:t>
            </w:r>
          </w:p>
        </w:tc>
      </w:tr>
      <w:tr>
        <w:tc>
          <w:tcPr>
            <w:tcW w:type="dxa" w:w="3168"/>
            <w:vAlign w:val="top"/>
          </w:tcPr>
          <w:p>
            <w:pPr>
              <w:spacing w:after="0" w:line="240" w:lineRule="auto"/>
            </w:pPr>
            <w:r/>
            <w:r>
              <w:rPr>
                <w:rFonts w:ascii="Times New Roman" w:hAnsi="Times New Roman" w:eastAsia="Times New Roman"/>
                <w:b w:val="0"/>
                <w:sz w:val="14"/>
              </w:rPr>
              <w:t>31.3.3.2 Duty of Department</w:t>
            </w:r>
          </w:p>
        </w:tc>
        <w:tc>
          <w:tcPr>
            <w:tcW w:type="dxa" w:w="7416"/>
            <w:vAlign w:val="top"/>
          </w:tcPr>
          <w:p>
            <w:pPr>
              <w:spacing w:after="0" w:line="240" w:lineRule="auto"/>
            </w:pPr>
            <w:r/>
            <w:r>
              <w:rPr>
                <w:rFonts w:ascii="Times New Roman" w:hAnsi="Times New Roman" w:eastAsia="Times New Roman"/>
                <w:b w:val="0"/>
                <w:sz w:val="14"/>
              </w:rPr>
              <w:t>The Department examines whether the request is maintainable, may seek further information, and issues a written advance ruling where appropriate.</w:t>
            </w:r>
          </w:p>
        </w:tc>
      </w:tr>
      <w:tr>
        <w:tc>
          <w:tcPr>
            <w:tcW w:type="dxa" w:w="3168"/>
            <w:vAlign w:val="top"/>
          </w:tcPr>
          <w:p>
            <w:pPr>
              <w:spacing w:after="0" w:line="240" w:lineRule="auto"/>
            </w:pPr>
            <w:r/>
            <w:r>
              <w:rPr>
                <w:rFonts w:ascii="Times New Roman" w:hAnsi="Times New Roman" w:eastAsia="Times New Roman"/>
                <w:b w:val="0"/>
                <w:sz w:val="14"/>
              </w:rPr>
              <w:t>31.3.3.3 Legal status of ruling</w:t>
            </w:r>
          </w:p>
        </w:tc>
        <w:tc>
          <w:tcPr>
            <w:tcW w:type="dxa" w:w="7416"/>
            <w:vAlign w:val="top"/>
          </w:tcPr>
          <w:p>
            <w:pPr>
              <w:spacing w:after="0" w:line="240" w:lineRule="auto"/>
            </w:pPr>
            <w:r/>
            <w:r>
              <w:rPr>
                <w:rFonts w:ascii="Times New Roman" w:hAnsi="Times New Roman" w:eastAsia="Times New Roman"/>
                <w:b w:val="0"/>
                <w:sz w:val="14"/>
              </w:rPr>
              <w:t>An advance ruling binds the Department in relation to the applicant and the transaction described, subject to correctness and completeness of facts and changes in law.</w:t>
            </w:r>
          </w:p>
        </w:tc>
      </w:tr>
      <w:tr>
        <w:tc>
          <w:tcPr>
            <w:tcW w:type="dxa" w:w="3168"/>
            <w:vAlign w:val="top"/>
          </w:tcPr>
          <w:p>
            <w:pPr>
              <w:spacing w:after="0" w:line="240" w:lineRule="auto"/>
            </w:pPr>
            <w:r/>
            <w:r>
              <w:rPr>
                <w:rFonts w:ascii="Times New Roman" w:hAnsi="Times New Roman" w:eastAsia="Times New Roman"/>
                <w:b w:val="0"/>
                <w:sz w:val="14"/>
              </w:rPr>
              <w:t>31.3.4 Permanent Account Number and certificate</w:t>
            </w:r>
          </w:p>
        </w:tc>
        <w:tc>
          <w:tcPr>
            <w:tcW w:type="dxa" w:w="7416"/>
            <w:vAlign w:val="top"/>
          </w:tcPr>
          <w:p>
            <w:pPr>
              <w:spacing w:after="0" w:line="240" w:lineRule="auto"/>
            </w:pPr>
            <w:r/>
            <w:r>
              <w:rPr>
                <w:rFonts w:ascii="Times New Roman" w:hAnsi="Times New Roman" w:eastAsia="Times New Roman"/>
                <w:b w:val="0"/>
                <w:sz w:val="14"/>
              </w:rPr>
              <w:t>The Department grants PAN and certificate for income-tax purposes and may prescribe procedure for registration, amendment and cancellation.</w:t>
            </w:r>
          </w:p>
        </w:tc>
      </w:tr>
      <w:tr>
        <w:tc>
          <w:tcPr>
            <w:tcW w:type="dxa" w:w="3168"/>
            <w:vAlign w:val="top"/>
          </w:tcPr>
          <w:p>
            <w:pPr>
              <w:spacing w:after="0" w:line="240" w:lineRule="auto"/>
            </w:pPr>
            <w:r/>
            <w:r>
              <w:rPr>
                <w:rFonts w:ascii="Times New Roman" w:hAnsi="Times New Roman" w:eastAsia="Times New Roman"/>
                <w:b w:val="0"/>
                <w:sz w:val="14"/>
              </w:rPr>
              <w:t>31.3.5 Prescribing documents and records</w:t>
            </w:r>
          </w:p>
        </w:tc>
        <w:tc>
          <w:tcPr>
            <w:tcW w:type="dxa" w:w="7416"/>
            <w:vAlign w:val="top"/>
          </w:tcPr>
          <w:p>
            <w:pPr>
              <w:spacing w:after="0" w:line="240" w:lineRule="auto"/>
            </w:pPr>
            <w:r/>
            <w:r>
              <w:rPr>
                <w:rFonts w:ascii="Times New Roman" w:hAnsi="Times New Roman" w:eastAsia="Times New Roman"/>
                <w:b w:val="0"/>
                <w:sz w:val="14"/>
              </w:rPr>
              <w:t>The Department may prescribe types, formats, manner of maintenance, filing and service of documents required for income tax purposes.</w:t>
            </w:r>
          </w:p>
        </w:tc>
      </w:tr>
    </w:tbl>
    <w:p/>
    <w:p>
      <w:pPr>
        <w:pStyle w:val="Heading3"/>
        <w:spacing w:after="80" w:line="252" w:lineRule="auto"/>
      </w:pPr>
      <w:r>
        <w:rPr>
          <w:rFonts w:ascii="Times New Roman" w:hAnsi="Times New Roman" w:eastAsia="Times New Roman"/>
          <w:b w:val="0"/>
          <w:i w:val="0"/>
        </w:rPr>
        <w:t>31.3.5.1 Format of documents</w:t>
      </w:r>
    </w:p>
    <w:p>
      <w:pPr>
        <w:spacing w:after="80" w:line="252" w:lineRule="auto"/>
      </w:pPr>
      <w:r>
        <w:rPr>
          <w:rFonts w:ascii="Times New Roman" w:hAnsi="Times New Roman" w:eastAsia="Times New Roman"/>
          <w:b w:val="0"/>
          <w:i w:val="0"/>
          <w:sz w:val="21"/>
        </w:rPr>
        <w:t>The Directive lists matters normally required in prescribed documents, including taxpayer identity, PAN, name and address, income year or period, transaction details, amount, tax calculation, signature or authentication, date, supporting documents and electronic details where applicable. Documents must be prepared and submitted in the format, medium and manner prescribed by the Department.</w:t>
      </w:r>
    </w:p>
    <w:p>
      <w:pPr>
        <w:pStyle w:val="Heading3"/>
        <w:spacing w:after="80" w:line="252" w:lineRule="auto"/>
      </w:pPr>
      <w:r>
        <w:rPr>
          <w:rFonts w:ascii="Times New Roman" w:hAnsi="Times New Roman" w:eastAsia="Times New Roman"/>
          <w:b w:val="0"/>
          <w:i w:val="0"/>
        </w:rPr>
        <w:t>31.3.5.2 Service of documents</w:t>
      </w:r>
    </w:p>
    <w:p>
      <w:pPr>
        <w:spacing w:after="80" w:line="252" w:lineRule="auto"/>
      </w:pPr>
      <w:r>
        <w:rPr>
          <w:rFonts w:ascii="Times New Roman" w:hAnsi="Times New Roman" w:eastAsia="Times New Roman"/>
          <w:b w:val="0"/>
          <w:i w:val="0"/>
          <w:sz w:val="21"/>
        </w:rPr>
        <w:t>Documents may be served personally, by registered post, through electronic means, by affixing or other legally recognised method. A document served according to the Act or prescribed procedure is treated as served, and limitation periods and obligations run accordingly.</w:t>
      </w:r>
    </w:p>
    <w:p>
      <w:pPr>
        <w:pStyle w:val="Heading3"/>
        <w:spacing w:after="80" w:line="252" w:lineRule="auto"/>
      </w:pPr>
      <w:r>
        <w:rPr>
          <w:rFonts w:ascii="Times New Roman" w:hAnsi="Times New Roman" w:eastAsia="Times New Roman"/>
          <w:b w:val="0"/>
          <w:i w:val="0"/>
        </w:rPr>
        <w:t>31.3.5.3 Defective documents and correction of defects</w:t>
      </w:r>
    </w:p>
    <w:p>
      <w:pPr>
        <w:spacing w:after="80" w:line="252" w:lineRule="auto"/>
      </w:pPr>
      <w:r>
        <w:rPr>
          <w:rFonts w:ascii="Times New Roman" w:hAnsi="Times New Roman" w:eastAsia="Times New Roman"/>
          <w:b w:val="0"/>
          <w:i w:val="0"/>
          <w:sz w:val="21"/>
        </w:rPr>
        <w:t>A document may be defective where required information is incomplete, incorrect, unsigned, unauthenticated, not in the prescribed form, or unsupported by required annexures. The Department may require correction of curable defects. Correction does not validate an act that the law treats as invalid or time-barred unless the Act permits such correction.</w:t>
      </w:r>
    </w:p>
    <w:p>
      <w:pPr>
        <w:pStyle w:val="Heading2"/>
        <w:spacing w:after="80" w:line="252" w:lineRule="auto"/>
      </w:pPr>
      <w:r>
        <w:rPr>
          <w:rFonts w:ascii="Times New Roman" w:hAnsi="Times New Roman" w:eastAsia="Times New Roman"/>
          <w:b w:val="0"/>
          <w:i w:val="0"/>
        </w:rPr>
        <w:t>31.4 Records to be kept for income tax purposes</w:t>
      </w:r>
    </w:p>
    <w:p>
      <w:pPr>
        <w:spacing w:after="80" w:line="252" w:lineRule="auto"/>
      </w:pPr>
      <w:r>
        <w:rPr>
          <w:rFonts w:ascii="Times New Roman" w:hAnsi="Times New Roman" w:eastAsia="Times New Roman"/>
          <w:b w:val="0"/>
          <w:i w:val="0"/>
          <w:sz w:val="21"/>
        </w:rPr>
        <w:t>Every person liable to tax must keep documents and records that enable verification of income, deductions, tax assessment and compliance with the Act. Records include books of account, ledgers, invoices, vouchers, contracts, bank statements, payroll records, withholding details, import/export documents, depreciation schedules, inventory records and any other documents prescribed by the Department. Records must be kept safely for the statutory period, generally five years from the relevant income year, unless another period is required due to dispute, audit or proceedings.</w:t>
      </w:r>
    </w:p>
    <w:tbl>
      <w:tblPr>
        <w:tblStyle w:val="TableGrid"/>
        <w:tblW w:type="auto" w:w="0"/>
        <w:jc w:val="center"/>
        <w:tblLook w:firstColumn="1" w:firstRow="1" w:lastColumn="0" w:lastRow="0" w:noHBand="0" w:noVBand="1" w:val="04A0"/>
      </w:tblPr>
      <w:tblGrid>
        <w:gridCol w:w="4946"/>
        <w:gridCol w:w="4946"/>
      </w:tblGrid>
      <w:tr>
        <w:trPr>
          <w:tblHeader w:val="true"/>
        </w:trPr>
        <w:tc>
          <w:tcPr>
            <w:tcW w:type="dxa" w:w="3168"/>
            <w:vAlign w:val="top"/>
            <w:shd w:fill="D9EAF7"/>
          </w:tcPr>
          <w:p>
            <w:pPr>
              <w:spacing w:after="0" w:line="240" w:lineRule="auto"/>
            </w:pPr>
            <w:r/>
            <w:r>
              <w:rPr>
                <w:rFonts w:ascii="Times New Roman" w:hAnsi="Times New Roman" w:eastAsia="Times New Roman"/>
                <w:b/>
                <w:sz w:val="14"/>
              </w:rPr>
              <w:t>Record category</w:t>
            </w:r>
          </w:p>
        </w:tc>
        <w:tc>
          <w:tcPr>
            <w:tcW w:type="dxa" w:w="7416"/>
            <w:vAlign w:val="top"/>
            <w:shd w:fill="D9EAF7"/>
          </w:tcPr>
          <w:p>
            <w:pPr>
              <w:spacing w:after="0" w:line="240" w:lineRule="auto"/>
            </w:pPr>
            <w:r/>
            <w:r>
              <w:rPr>
                <w:rFonts w:ascii="Times New Roman" w:hAnsi="Times New Roman" w:eastAsia="Times New Roman"/>
                <w:b/>
                <w:sz w:val="14"/>
              </w:rPr>
              <w:t>Examples</w:t>
            </w:r>
          </w:p>
        </w:tc>
      </w:tr>
      <w:tr>
        <w:tc>
          <w:tcPr>
            <w:tcW w:type="dxa" w:w="3168"/>
            <w:vAlign w:val="top"/>
          </w:tcPr>
          <w:p>
            <w:pPr>
              <w:spacing w:after="0" w:line="240" w:lineRule="auto"/>
            </w:pPr>
            <w:r/>
            <w:r>
              <w:rPr>
                <w:rFonts w:ascii="Times New Roman" w:hAnsi="Times New Roman" w:eastAsia="Times New Roman"/>
                <w:b w:val="0"/>
                <w:sz w:val="14"/>
              </w:rPr>
              <w:t>Identity and registration</w:t>
            </w:r>
          </w:p>
        </w:tc>
        <w:tc>
          <w:tcPr>
            <w:tcW w:type="dxa" w:w="7416"/>
            <w:vAlign w:val="top"/>
          </w:tcPr>
          <w:p>
            <w:pPr>
              <w:spacing w:after="0" w:line="240" w:lineRule="auto"/>
            </w:pPr>
            <w:r/>
            <w:r>
              <w:rPr>
                <w:rFonts w:ascii="Times New Roman" w:hAnsi="Times New Roman" w:eastAsia="Times New Roman"/>
                <w:b w:val="0"/>
                <w:sz w:val="14"/>
              </w:rPr>
              <w:t>PAN certificate, registration documents, change in address, branch details, exempt-organisation certificate.</w:t>
            </w:r>
          </w:p>
        </w:tc>
      </w:tr>
      <w:tr>
        <w:tc>
          <w:tcPr>
            <w:tcW w:type="dxa" w:w="3168"/>
            <w:vAlign w:val="top"/>
          </w:tcPr>
          <w:p>
            <w:pPr>
              <w:spacing w:after="0" w:line="240" w:lineRule="auto"/>
            </w:pPr>
            <w:r/>
            <w:r>
              <w:rPr>
                <w:rFonts w:ascii="Times New Roman" w:hAnsi="Times New Roman" w:eastAsia="Times New Roman"/>
                <w:b w:val="0"/>
                <w:sz w:val="14"/>
              </w:rPr>
              <w:t>Accounting records</w:t>
            </w:r>
          </w:p>
        </w:tc>
        <w:tc>
          <w:tcPr>
            <w:tcW w:type="dxa" w:w="7416"/>
            <w:vAlign w:val="top"/>
          </w:tcPr>
          <w:p>
            <w:pPr>
              <w:spacing w:after="0" w:line="240" w:lineRule="auto"/>
            </w:pPr>
            <w:r/>
            <w:r>
              <w:rPr>
                <w:rFonts w:ascii="Times New Roman" w:hAnsi="Times New Roman" w:eastAsia="Times New Roman"/>
                <w:b w:val="0"/>
                <w:sz w:val="14"/>
              </w:rPr>
              <w:t>Cash book, bank book, journal, ledger, trial balance, financial statements, audit report, inventory and fixed asset records.</w:t>
            </w:r>
          </w:p>
        </w:tc>
      </w:tr>
      <w:tr>
        <w:tc>
          <w:tcPr>
            <w:tcW w:type="dxa" w:w="3168"/>
            <w:vAlign w:val="top"/>
          </w:tcPr>
          <w:p>
            <w:pPr>
              <w:spacing w:after="0" w:line="240" w:lineRule="auto"/>
            </w:pPr>
            <w:r/>
            <w:r>
              <w:rPr>
                <w:rFonts w:ascii="Times New Roman" w:hAnsi="Times New Roman" w:eastAsia="Times New Roman"/>
                <w:b w:val="0"/>
                <w:sz w:val="14"/>
              </w:rPr>
              <w:t>Income and transaction records</w:t>
            </w:r>
          </w:p>
        </w:tc>
        <w:tc>
          <w:tcPr>
            <w:tcW w:type="dxa" w:w="7416"/>
            <w:vAlign w:val="top"/>
          </w:tcPr>
          <w:p>
            <w:pPr>
              <w:spacing w:after="0" w:line="240" w:lineRule="auto"/>
            </w:pPr>
            <w:r/>
            <w:r>
              <w:rPr>
                <w:rFonts w:ascii="Times New Roman" w:hAnsi="Times New Roman" w:eastAsia="Times New Roman"/>
                <w:b w:val="0"/>
                <w:sz w:val="14"/>
              </w:rPr>
              <w:t>Sales invoices, receipts, contracts, lease documents, investment income details, business receipts, foreign income records.</w:t>
            </w:r>
          </w:p>
        </w:tc>
      </w:tr>
      <w:tr>
        <w:tc>
          <w:tcPr>
            <w:tcW w:type="dxa" w:w="3168"/>
            <w:vAlign w:val="top"/>
          </w:tcPr>
          <w:p>
            <w:pPr>
              <w:spacing w:after="0" w:line="240" w:lineRule="auto"/>
            </w:pPr>
            <w:r/>
            <w:r>
              <w:rPr>
                <w:rFonts w:ascii="Times New Roman" w:hAnsi="Times New Roman" w:eastAsia="Times New Roman"/>
                <w:b w:val="0"/>
                <w:sz w:val="14"/>
              </w:rPr>
              <w:t>Deduction support</w:t>
            </w:r>
          </w:p>
        </w:tc>
        <w:tc>
          <w:tcPr>
            <w:tcW w:type="dxa" w:w="7416"/>
            <w:vAlign w:val="top"/>
          </w:tcPr>
          <w:p>
            <w:pPr>
              <w:spacing w:after="0" w:line="240" w:lineRule="auto"/>
            </w:pPr>
            <w:r/>
            <w:r>
              <w:rPr>
                <w:rFonts w:ascii="Times New Roman" w:hAnsi="Times New Roman" w:eastAsia="Times New Roman"/>
                <w:b w:val="0"/>
                <w:sz w:val="14"/>
              </w:rPr>
              <w:t>Purchase invoices, expense vouchers, payment evidence, payroll, retirement contribution records, interest and financing documents.</w:t>
            </w:r>
          </w:p>
        </w:tc>
      </w:tr>
      <w:tr>
        <w:tc>
          <w:tcPr>
            <w:tcW w:type="dxa" w:w="3168"/>
            <w:vAlign w:val="top"/>
          </w:tcPr>
          <w:p>
            <w:pPr>
              <w:spacing w:after="0" w:line="240" w:lineRule="auto"/>
            </w:pPr>
            <w:r/>
            <w:r>
              <w:rPr>
                <w:rFonts w:ascii="Times New Roman" w:hAnsi="Times New Roman" w:eastAsia="Times New Roman"/>
                <w:b w:val="0"/>
                <w:sz w:val="14"/>
              </w:rPr>
              <w:t>Withholding and advance tax</w:t>
            </w:r>
          </w:p>
        </w:tc>
        <w:tc>
          <w:tcPr>
            <w:tcW w:type="dxa" w:w="7416"/>
            <w:vAlign w:val="top"/>
          </w:tcPr>
          <w:p>
            <w:pPr>
              <w:spacing w:after="0" w:line="240" w:lineRule="auto"/>
            </w:pPr>
            <w:r/>
            <w:r>
              <w:rPr>
                <w:rFonts w:ascii="Times New Roman" w:hAnsi="Times New Roman" w:eastAsia="Times New Roman"/>
                <w:b w:val="0"/>
                <w:sz w:val="14"/>
              </w:rPr>
              <w:t>TDS statements, challans, withholding certificates, advance tax calculation and deposit evidence.</w:t>
            </w:r>
          </w:p>
        </w:tc>
      </w:tr>
      <w:tr>
        <w:tc>
          <w:tcPr>
            <w:tcW w:type="dxa" w:w="3168"/>
            <w:vAlign w:val="top"/>
          </w:tcPr>
          <w:p>
            <w:pPr>
              <w:spacing w:after="0" w:line="240" w:lineRule="auto"/>
            </w:pPr>
            <w:r/>
            <w:r>
              <w:rPr>
                <w:rFonts w:ascii="Times New Roman" w:hAnsi="Times New Roman" w:eastAsia="Times New Roman"/>
                <w:b w:val="0"/>
                <w:sz w:val="14"/>
              </w:rPr>
              <w:t>Assessment and correspondence</w:t>
            </w:r>
          </w:p>
        </w:tc>
        <w:tc>
          <w:tcPr>
            <w:tcW w:type="dxa" w:w="7416"/>
            <w:vAlign w:val="top"/>
          </w:tcPr>
          <w:p>
            <w:pPr>
              <w:spacing w:after="0" w:line="240" w:lineRule="auto"/>
            </w:pPr>
            <w:r/>
            <w:r>
              <w:rPr>
                <w:rFonts w:ascii="Times New Roman" w:hAnsi="Times New Roman" w:eastAsia="Times New Roman"/>
                <w:b w:val="0"/>
                <w:sz w:val="14"/>
              </w:rPr>
              <w:t>Returns, amended returns, assessment notices, objections, administrative review applications, appeal documents and Departmental correspondence.</w:t>
            </w:r>
          </w:p>
        </w:tc>
      </w:tr>
    </w:tbl>
    <w:p/>
    <w:p>
      <w:pPr>
        <w:pStyle w:val="Heading2"/>
        <w:spacing w:after="80" w:line="252" w:lineRule="auto"/>
      </w:pPr>
      <w:r>
        <w:rPr>
          <w:rFonts w:ascii="Times New Roman" w:hAnsi="Times New Roman" w:eastAsia="Times New Roman"/>
          <w:b w:val="0"/>
          <w:i w:val="0"/>
        </w:rPr>
        <w:t>31.5 Power to obtain information</w:t>
      </w:r>
    </w:p>
    <w:tbl>
      <w:tblPr>
        <w:tblStyle w:val="TableGrid"/>
        <w:tblW w:type="auto" w:w="0"/>
        <w:jc w:val="center"/>
        <w:tblLook w:firstColumn="1" w:firstRow="1" w:lastColumn="0" w:lastRow="0" w:noHBand="0" w:noVBand="1" w:val="04A0"/>
      </w:tblPr>
      <w:tblGrid>
        <w:gridCol w:w="4946"/>
        <w:gridCol w:w="4946"/>
      </w:tblGrid>
      <w:tr>
        <w:trPr>
          <w:tblHeader w:val="true"/>
        </w:trPr>
        <w:tc>
          <w:tcPr>
            <w:tcW w:type="dxa" w:w="2304"/>
            <w:vAlign w:val="top"/>
            <w:shd w:fill="D9EAF7"/>
          </w:tcPr>
          <w:p>
            <w:pPr>
              <w:spacing w:after="0" w:line="240" w:lineRule="auto"/>
            </w:pPr>
            <w:r/>
            <w:r>
              <w:rPr>
                <w:rFonts w:ascii="Times New Roman" w:hAnsi="Times New Roman" w:eastAsia="Times New Roman"/>
                <w:b/>
                <w:sz w:val="14"/>
              </w:rPr>
              <w:t>Sub-section</w:t>
            </w:r>
          </w:p>
        </w:tc>
        <w:tc>
          <w:tcPr>
            <w:tcW w:type="dxa" w:w="8280"/>
            <w:vAlign w:val="top"/>
            <w:shd w:fill="D9EAF7"/>
          </w:tcPr>
          <w:p>
            <w:pPr>
              <w:spacing w:after="0" w:line="240" w:lineRule="auto"/>
            </w:pPr>
            <w:r/>
            <w:r>
              <w:rPr>
                <w:rFonts w:ascii="Times New Roman" w:hAnsi="Times New Roman" w:eastAsia="Times New Roman"/>
                <w:b/>
                <w:sz w:val="14"/>
              </w:rPr>
              <w:t>Power / obligation</w:t>
            </w:r>
          </w:p>
        </w:tc>
      </w:tr>
      <w:tr>
        <w:tc>
          <w:tcPr>
            <w:tcW w:type="dxa" w:w="2304"/>
            <w:vAlign w:val="top"/>
          </w:tcPr>
          <w:p>
            <w:pPr>
              <w:spacing w:after="0" w:line="240" w:lineRule="auto"/>
            </w:pPr>
            <w:r/>
            <w:r>
              <w:rPr>
                <w:rFonts w:ascii="Times New Roman" w:hAnsi="Times New Roman" w:eastAsia="Times New Roman"/>
                <w:b w:val="0"/>
                <w:sz w:val="14"/>
              </w:rPr>
              <w:t>31.5.1 Access without notice</w:t>
            </w:r>
          </w:p>
        </w:tc>
        <w:tc>
          <w:tcPr>
            <w:tcW w:type="dxa" w:w="8280"/>
            <w:vAlign w:val="top"/>
          </w:tcPr>
          <w:p>
            <w:pPr>
              <w:spacing w:after="0" w:line="240" w:lineRule="auto"/>
            </w:pPr>
            <w:r/>
            <w:r>
              <w:rPr>
                <w:rFonts w:ascii="Times New Roman" w:hAnsi="Times New Roman" w:eastAsia="Times New Roman"/>
                <w:b w:val="0"/>
                <w:sz w:val="14"/>
              </w:rPr>
              <w:t>Subject to law, an authorised officer may have full and free access to premises, places, property, books, records and documents in Nepal; may inspect, copy, take extracts and require persons having custody to provide copies. Property or documents taken for examination must be handled according to law.</w:t>
            </w:r>
          </w:p>
        </w:tc>
      </w:tr>
      <w:tr>
        <w:tc>
          <w:tcPr>
            <w:tcW w:type="dxa" w:w="2304"/>
            <w:vAlign w:val="top"/>
          </w:tcPr>
          <w:p>
            <w:pPr>
              <w:spacing w:after="0" w:line="240" w:lineRule="auto"/>
            </w:pPr>
            <w:r/>
            <w:r>
              <w:rPr>
                <w:rFonts w:ascii="Times New Roman" w:hAnsi="Times New Roman" w:eastAsia="Times New Roman"/>
                <w:b w:val="0"/>
                <w:sz w:val="14"/>
              </w:rPr>
              <w:t>31.5.2 Access by notice</w:t>
            </w:r>
          </w:p>
        </w:tc>
        <w:tc>
          <w:tcPr>
            <w:tcW w:type="dxa" w:w="8280"/>
            <w:vAlign w:val="top"/>
          </w:tcPr>
          <w:p>
            <w:pPr>
              <w:spacing w:after="0" w:line="240" w:lineRule="auto"/>
            </w:pPr>
            <w:r/>
            <w:r>
              <w:rPr>
                <w:rFonts w:ascii="Times New Roman" w:hAnsi="Times New Roman" w:eastAsia="Times New Roman"/>
                <w:b w:val="0"/>
                <w:sz w:val="14"/>
              </w:rPr>
              <w:t>The Department may issue notice requiring any person to furnish information, produce documents, attend, answer questions, or provide statements relevant to administration of the Act.</w:t>
            </w:r>
          </w:p>
        </w:tc>
      </w:tr>
      <w:tr>
        <w:tc>
          <w:tcPr>
            <w:tcW w:type="dxa" w:w="2304"/>
            <w:vAlign w:val="top"/>
          </w:tcPr>
          <w:p>
            <w:pPr>
              <w:spacing w:after="0" w:line="240" w:lineRule="auto"/>
            </w:pPr>
            <w:r/>
            <w:r>
              <w:rPr>
                <w:rFonts w:ascii="Times New Roman" w:hAnsi="Times New Roman" w:eastAsia="Times New Roman"/>
                <w:b w:val="0"/>
                <w:sz w:val="14"/>
              </w:rPr>
              <w:t>31.5.3 Confidentiality</w:t>
            </w:r>
          </w:p>
        </w:tc>
        <w:tc>
          <w:tcPr>
            <w:tcW w:type="dxa" w:w="8280"/>
            <w:vAlign w:val="top"/>
          </w:tcPr>
          <w:p>
            <w:pPr>
              <w:spacing w:after="0" w:line="240" w:lineRule="auto"/>
            </w:pPr>
            <w:r/>
            <w:r>
              <w:rPr>
                <w:rFonts w:ascii="Times New Roman" w:hAnsi="Times New Roman" w:eastAsia="Times New Roman"/>
                <w:b w:val="0"/>
                <w:sz w:val="14"/>
              </w:rPr>
              <w:t>Information and documents obtained by officers and other authorised persons must be kept confidential except to the extent disclosure is permitted by section 84, such as for performance of duties, proceedings, disclosure to the Finance Minister, other fiscal laws, revenue/statistical work, Auditor General, or competent authority of a treaty country.</w:t>
            </w:r>
          </w:p>
        </w:tc>
      </w:tr>
    </w:tbl>
    <w:p/>
    <w:p>
      <w:pPr>
        <w:pStyle w:val="Heading2"/>
        <w:spacing w:after="80" w:line="252" w:lineRule="auto"/>
      </w:pPr>
      <w:r>
        <w:rPr>
          <w:rFonts w:ascii="Times New Roman" w:hAnsi="Times New Roman" w:eastAsia="Times New Roman"/>
          <w:b w:val="0"/>
          <w:i w:val="0"/>
        </w:rPr>
        <w:t>31.6 Tax clearance certificate</w:t>
      </w:r>
    </w:p>
    <w:p>
      <w:pPr>
        <w:spacing w:after="80" w:line="252" w:lineRule="auto"/>
      </w:pPr>
      <w:r>
        <w:rPr>
          <w:rFonts w:ascii="Times New Roman" w:hAnsi="Times New Roman" w:eastAsia="Times New Roman"/>
          <w:b w:val="0"/>
          <w:i w:val="0"/>
          <w:sz w:val="21"/>
        </w:rPr>
        <w:t>A tax clearance certificate is issued according to the Rules where the taxpayer has fulfilled filing and payment obligations for the relevant period. The Directive treats the certificate as an official document issued by the tax office after examination of returns, assessments, arrears and other compliance status. It is used for business, licensing, tender, loan, renewal and other administrative purposes.</w:t>
      </w:r>
    </w:p>
    <w:p>
      <w:pPr>
        <w:pStyle w:val="Heading2"/>
        <w:spacing w:after="80" w:line="252" w:lineRule="auto"/>
      </w:pPr>
      <w:r>
        <w:rPr>
          <w:rFonts w:ascii="Times New Roman" w:hAnsi="Times New Roman" w:eastAsia="Times New Roman"/>
          <w:b w:val="0"/>
          <w:i w:val="0"/>
        </w:rPr>
        <w:t>31.7 Registration of organization entitled to enjoy exemption and exemption certificate</w:t>
      </w:r>
    </w:p>
    <w:p>
      <w:pPr>
        <w:spacing w:after="80" w:line="252" w:lineRule="auto"/>
      </w:pPr>
      <w:r>
        <w:rPr>
          <w:rFonts w:ascii="Times New Roman" w:hAnsi="Times New Roman" w:eastAsia="Times New Roman"/>
          <w:b w:val="0"/>
          <w:i w:val="0"/>
          <w:sz w:val="21"/>
        </w:rPr>
        <w:t>An organisation seeking status as a organization entitled to enjoy exemption must apply with its constitution, registration documents, objectives, details of office bearers, financial statements and other documents prescribed by the Department. If the conditions under the Act and Rules are satisfied, the office may register the organisation as tax-exempt and issue a certificate. Renewal must be obtained within the time prescribed, and exemption applies only to eligible amounts such as donations or contributions connected with the organisation’s exempt purpose where no consideration is expected.</w:t>
      </w:r>
    </w:p>
    <w:p>
      <w:pPr>
        <w:pStyle w:val="Heading2"/>
        <w:spacing w:after="80" w:line="252" w:lineRule="auto"/>
      </w:pPr>
      <w:r>
        <w:rPr>
          <w:rFonts w:ascii="Times New Roman" w:hAnsi="Times New Roman" w:eastAsia="Times New Roman"/>
          <w:b w:val="0"/>
          <w:i w:val="0"/>
        </w:rPr>
        <w:t>31.8 Rights of taxpayers</w:t>
      </w:r>
    </w:p>
    <w:p>
      <w:pPr>
        <w:pStyle w:val="ListBullet"/>
        <w:spacing w:after="80" w:line="252" w:lineRule="auto"/>
      </w:pPr>
      <w:r>
        <w:rPr>
          <w:rFonts w:ascii="Times New Roman" w:hAnsi="Times New Roman" w:eastAsia="Times New Roman"/>
          <w:b w:val="0"/>
          <w:i w:val="0"/>
        </w:rPr>
        <w:t>Right to clear information about tax obligations, filing requirements, payment and procedures.</w:t>
      </w:r>
    </w:p>
    <w:p>
      <w:pPr>
        <w:pStyle w:val="ListBullet"/>
        <w:spacing w:after="80" w:line="252" w:lineRule="auto"/>
      </w:pPr>
      <w:r>
        <w:rPr>
          <w:rFonts w:ascii="Times New Roman" w:hAnsi="Times New Roman" w:eastAsia="Times New Roman"/>
          <w:b w:val="0"/>
          <w:i w:val="0"/>
        </w:rPr>
        <w:t>Right to receive notices, certificates, decisions and reasons for assessment according to law.</w:t>
      </w:r>
    </w:p>
    <w:p>
      <w:pPr>
        <w:pStyle w:val="ListBullet"/>
        <w:spacing w:after="80" w:line="252" w:lineRule="auto"/>
      </w:pPr>
      <w:r>
        <w:rPr>
          <w:rFonts w:ascii="Times New Roman" w:hAnsi="Times New Roman" w:eastAsia="Times New Roman"/>
          <w:b w:val="0"/>
          <w:i w:val="0"/>
        </w:rPr>
        <w:t>Right to confidentiality of information provided to the tax administration.</w:t>
      </w:r>
    </w:p>
    <w:p>
      <w:pPr>
        <w:pStyle w:val="ListBullet"/>
        <w:spacing w:after="80" w:line="252" w:lineRule="auto"/>
      </w:pPr>
      <w:r>
        <w:rPr>
          <w:rFonts w:ascii="Times New Roman" w:hAnsi="Times New Roman" w:eastAsia="Times New Roman"/>
          <w:b w:val="0"/>
          <w:i w:val="0"/>
        </w:rPr>
        <w:t>Right to natural justice, including opportunity to submit explanation where required.</w:t>
      </w:r>
    </w:p>
    <w:p>
      <w:pPr>
        <w:pStyle w:val="ListBullet"/>
        <w:spacing w:after="80" w:line="252" w:lineRule="auto"/>
      </w:pPr>
      <w:r>
        <w:rPr>
          <w:rFonts w:ascii="Times New Roman" w:hAnsi="Times New Roman" w:eastAsia="Times New Roman"/>
          <w:b w:val="0"/>
          <w:i w:val="0"/>
        </w:rPr>
        <w:t>Right to administrative review and appeal according to the Act.</w:t>
      </w:r>
    </w:p>
    <w:p>
      <w:pPr>
        <w:pStyle w:val="ListBullet"/>
        <w:spacing w:after="80" w:line="252" w:lineRule="auto"/>
      </w:pPr>
      <w:r>
        <w:rPr>
          <w:rFonts w:ascii="Times New Roman" w:hAnsi="Times New Roman" w:eastAsia="Times New Roman"/>
          <w:b w:val="0"/>
          <w:i w:val="0"/>
        </w:rPr>
        <w:t>Right to refund or adjustment where tax is paid in excess of liability.</w:t>
      </w:r>
    </w:p>
    <w:p>
      <w:pPr>
        <w:pStyle w:val="ListBullet"/>
        <w:spacing w:after="80" w:line="252" w:lineRule="auto"/>
      </w:pPr>
      <w:r>
        <w:rPr>
          <w:rFonts w:ascii="Times New Roman" w:hAnsi="Times New Roman" w:eastAsia="Times New Roman"/>
          <w:b w:val="0"/>
          <w:i w:val="0"/>
        </w:rPr>
        <w:t>Right to obtain services from the Department and its offices without unnecessary delay.</w:t>
      </w:r>
    </w:p>
    <w:p>
      <w:pPr>
        <w:spacing w:after="80" w:line="252" w:lineRule="auto"/>
        <w:jc w:val="center"/>
      </w:pPr>
      <w:r>
        <w:rPr>
          <w:rFonts w:ascii="Times New Roman" w:hAnsi="Times New Roman" w:eastAsia="Times New Roman"/>
          <w:b w:val="0"/>
          <w:i/>
          <w:sz w:val="21"/>
        </w:rPr>
        <w:t>End of Chapter 31</w:t>
      </w:r>
    </w:p>
    <w:p>
      <w:r>
        <w:br w:type="page"/>
      </w:r>
    </w:p>
    <w:p>
      <w:pPr>
        <w:pStyle w:val="Title"/>
        <w:spacing w:after="80" w:line="252" w:lineRule="auto"/>
        <w:jc w:val="center"/>
      </w:pPr>
      <w:r>
        <w:rPr>
          <w:rFonts w:ascii="Times New Roman" w:hAnsi="Times New Roman" w:eastAsia="Times New Roman"/>
          <w:b w:val="0"/>
          <w:i w:val="0"/>
        </w:rPr>
        <w:t>Income Tax Directive, 2066 (with Fifth Amendment, 2081)</w:t>
      </w:r>
    </w:p>
    <w:p>
      <w:pPr>
        <w:pStyle w:val="Title"/>
        <w:spacing w:after="80" w:line="252" w:lineRule="auto"/>
        <w:jc w:val="center"/>
      </w:pPr>
      <w:r>
        <w:rPr>
          <w:rFonts w:ascii="Times New Roman" w:hAnsi="Times New Roman" w:eastAsia="Times New Roman"/>
          <w:b w:val="0"/>
          <w:i w:val="0"/>
        </w:rPr>
        <w:t>English Translation - Part 32</w:t>
      </w:r>
    </w:p>
    <w:p>
      <w:pPr>
        <w:pStyle w:val="Heading1"/>
        <w:spacing w:after="80" w:line="252" w:lineRule="auto"/>
        <w:jc w:val="center"/>
      </w:pPr>
      <w:r>
        <w:rPr>
          <w:rFonts w:ascii="Times New Roman" w:hAnsi="Times New Roman" w:eastAsia="Times New Roman"/>
          <w:b w:val="0"/>
          <w:i w:val="0"/>
        </w:rPr>
        <w:t>Chapter 32: Miscellaneous</w:t>
      </w:r>
    </w:p>
    <w:p>
      <w:pPr>
        <w:spacing w:after="80" w:line="252" w:lineRule="auto"/>
        <w:jc w:val="center"/>
      </w:pPr>
      <w:r>
        <w:rPr>
          <w:rFonts w:ascii="Times New Roman" w:hAnsi="Times New Roman" w:eastAsia="Times New Roman"/>
          <w:b w:val="0"/>
          <w:i/>
          <w:sz w:val="21"/>
        </w:rPr>
        <w:t>Source pages: Directive pages 653-660</w:t>
      </w:r>
    </w:p>
    <w:p>
      <w:pPr>
        <w:spacing w:after="80" w:line="252" w:lineRule="auto"/>
      </w:pPr>
      <w:r>
        <w:rPr>
          <w:rFonts w:ascii="Times New Roman" w:hAnsi="Times New Roman" w:eastAsia="Times New Roman"/>
          <w:b w:val="0"/>
          <w:i/>
          <w:sz w:val="21"/>
        </w:rPr>
        <w:t>Note: This working English translation follows the sequence, headings, examples and tabular presentation of the Nepali directive as far as practicable in Word format. Statutory expressions have been aligned with the official English terminology of the Income Tax Act, 2002 (2058) where applicable.</w:t>
      </w:r>
    </w:p>
    <w:p>
      <w:r>
        <w:br w:type="page"/>
      </w:r>
    </w:p>
    <w:p>
      <w:pPr>
        <w:pStyle w:val="Heading1"/>
        <w:spacing w:after="80" w:line="252" w:lineRule="auto"/>
        <w:jc w:val="center"/>
      </w:pPr>
      <w:r>
        <w:rPr>
          <w:rFonts w:ascii="Times New Roman" w:hAnsi="Times New Roman" w:eastAsia="Times New Roman"/>
          <w:b w:val="0"/>
          <w:i w:val="0"/>
        </w:rPr>
        <w:t>Chapter 32</w:t>
      </w:r>
    </w:p>
    <w:p>
      <w:pPr>
        <w:pStyle w:val="Heading1"/>
        <w:spacing w:after="80" w:line="252" w:lineRule="auto"/>
        <w:jc w:val="center"/>
      </w:pPr>
      <w:r>
        <w:rPr>
          <w:rFonts w:ascii="Times New Roman" w:hAnsi="Times New Roman" w:eastAsia="Times New Roman"/>
          <w:b w:val="0"/>
          <w:i w:val="0"/>
        </w:rPr>
        <w:t>Miscellaneous</w:t>
      </w:r>
    </w:p>
    <w:p>
      <w:pPr>
        <w:pStyle w:val="Heading2"/>
        <w:spacing w:after="80" w:line="252" w:lineRule="auto"/>
      </w:pPr>
      <w:r>
        <w:rPr>
          <w:rFonts w:ascii="Times New Roman" w:hAnsi="Times New Roman" w:eastAsia="Times New Roman"/>
          <w:b w:val="0"/>
          <w:i w:val="0"/>
        </w:rPr>
        <w:t>32.1 Introduction</w:t>
      </w:r>
    </w:p>
    <w:p>
      <w:pPr>
        <w:spacing w:after="80" w:line="252" w:lineRule="auto"/>
      </w:pPr>
      <w:r>
        <w:rPr>
          <w:rFonts w:ascii="Times New Roman" w:hAnsi="Times New Roman" w:eastAsia="Times New Roman"/>
          <w:b w:val="0"/>
          <w:i w:val="0"/>
          <w:sz w:val="21"/>
        </w:rPr>
        <w:t>The Income Tax Act, 2058 intends that all income-tax matters be governed through the Act itself. Chapter 24 of the Act contains miscellaneous provisions required for effective implementation, including engagement of experts, departmental action, identity cards of officers, powers equivalent to court, Government directions, rule-making and directive-making powers, amendment of schedules, police assistance, supremacy of the Act in income-tax matters, repeal, amendment, saving and transitional provisions. This chapter explains those miscellaneous matters.</w:t>
      </w:r>
    </w:p>
    <w:p>
      <w:pPr>
        <w:pStyle w:val="Heading2"/>
        <w:spacing w:after="80" w:line="252" w:lineRule="auto"/>
      </w:pPr>
      <w:r>
        <w:rPr>
          <w:rFonts w:ascii="Times New Roman" w:hAnsi="Times New Roman" w:eastAsia="Times New Roman"/>
          <w:b w:val="0"/>
          <w:i w:val="0"/>
        </w:rPr>
        <w:t>32.2 Service of experts</w:t>
      </w:r>
    </w:p>
    <w:p>
      <w:pPr>
        <w:spacing w:after="80" w:line="252" w:lineRule="auto"/>
      </w:pPr>
      <w:r>
        <w:rPr>
          <w:rFonts w:ascii="Times New Roman" w:hAnsi="Times New Roman" w:eastAsia="Times New Roman"/>
          <w:b w:val="0"/>
          <w:i w:val="0"/>
          <w:sz w:val="21"/>
        </w:rPr>
        <w:t>Government of Nepal or the Department may obtain services of concerned experts for tax audit or related work. Experts engaged for such work are also bound by official secrecy under section 84. Expert assistance may be necessary in accounting, valuation, technology, banking, insurance, construction contracts, transfer pricing, international taxation or specialised business areas.</w:t>
      </w:r>
    </w:p>
    <w:p>
      <w:pPr>
        <w:pStyle w:val="Heading2"/>
        <w:spacing w:after="80" w:line="252" w:lineRule="auto"/>
      </w:pPr>
      <w:r>
        <w:rPr>
          <w:rFonts w:ascii="Times New Roman" w:hAnsi="Times New Roman" w:eastAsia="Times New Roman"/>
          <w:b w:val="0"/>
          <w:i w:val="0"/>
        </w:rPr>
        <w:t>32.3 Provisions relating to punishment and reward</w:t>
      </w:r>
    </w:p>
    <w:tbl>
      <w:tblPr>
        <w:tblStyle w:val="TableGrid"/>
        <w:tblW w:type="auto" w:w="0"/>
        <w:jc w:val="center"/>
        <w:tblLook w:firstColumn="1" w:firstRow="1" w:lastColumn="0" w:lastRow="0" w:noHBand="0" w:noVBand="1" w:val="04A0"/>
      </w:tblPr>
      <w:tblGrid>
        <w:gridCol w:w="4946"/>
        <w:gridCol w:w="4946"/>
      </w:tblGrid>
      <w:tr>
        <w:trPr>
          <w:tblHeader w:val="true"/>
        </w:trPr>
        <w:tc>
          <w:tcPr>
            <w:tcW w:type="dxa" w:w="3168"/>
            <w:vAlign w:val="top"/>
            <w:shd w:fill="D9EAF7"/>
          </w:tcPr>
          <w:p>
            <w:pPr>
              <w:spacing w:after="0" w:line="240" w:lineRule="auto"/>
            </w:pPr>
            <w:r/>
            <w:r>
              <w:rPr>
                <w:rFonts w:ascii="Times New Roman" w:hAnsi="Times New Roman" w:eastAsia="Times New Roman"/>
                <w:b/>
                <w:sz w:val="14"/>
              </w:rPr>
              <w:t>Topic</w:t>
            </w:r>
          </w:p>
        </w:tc>
        <w:tc>
          <w:tcPr>
            <w:tcW w:type="dxa" w:w="7416"/>
            <w:vAlign w:val="top"/>
            <w:shd w:fill="D9EAF7"/>
          </w:tcPr>
          <w:p>
            <w:pPr>
              <w:spacing w:after="0" w:line="240" w:lineRule="auto"/>
            </w:pPr>
            <w:r/>
            <w:r>
              <w:rPr>
                <w:rFonts w:ascii="Times New Roman" w:hAnsi="Times New Roman" w:eastAsia="Times New Roman"/>
                <w:b/>
                <w:sz w:val="14"/>
              </w:rPr>
              <w:t>Directive explanation</w:t>
            </w:r>
          </w:p>
        </w:tc>
      </w:tr>
      <w:tr>
        <w:tc>
          <w:tcPr>
            <w:tcW w:type="dxa" w:w="3168"/>
            <w:vAlign w:val="top"/>
          </w:tcPr>
          <w:p>
            <w:pPr>
              <w:spacing w:after="0" w:line="240" w:lineRule="auto"/>
            </w:pPr>
            <w:r/>
            <w:r>
              <w:rPr>
                <w:rFonts w:ascii="Times New Roman" w:hAnsi="Times New Roman" w:eastAsia="Times New Roman"/>
                <w:b w:val="0"/>
                <w:sz w:val="14"/>
              </w:rPr>
              <w:t>32.3.1 Departmental action</w:t>
            </w:r>
          </w:p>
        </w:tc>
        <w:tc>
          <w:tcPr>
            <w:tcW w:type="dxa" w:w="7416"/>
            <w:vAlign w:val="top"/>
          </w:tcPr>
          <w:p>
            <w:pPr>
              <w:spacing w:after="0" w:line="240" w:lineRule="auto"/>
            </w:pPr>
            <w:r/>
            <w:r>
              <w:rPr>
                <w:rFonts w:ascii="Times New Roman" w:hAnsi="Times New Roman" w:eastAsia="Times New Roman"/>
                <w:b w:val="0"/>
                <w:sz w:val="14"/>
              </w:rPr>
              <w:t>Where a tax assessment is found to have been made negligently, causing increase or decrease in the taxpayer’s liability, or where amended assessment is not made within the time allowed under section 101(3), the Director General may initiate departmental action against the concerned officer under the prevailing service law.</w:t>
            </w:r>
          </w:p>
        </w:tc>
      </w:tr>
      <w:tr>
        <w:tc>
          <w:tcPr>
            <w:tcW w:type="dxa" w:w="3168"/>
            <w:vAlign w:val="top"/>
          </w:tcPr>
          <w:p>
            <w:pPr>
              <w:spacing w:after="0" w:line="240" w:lineRule="auto"/>
            </w:pPr>
            <w:r/>
            <w:r>
              <w:rPr>
                <w:rFonts w:ascii="Times New Roman" w:hAnsi="Times New Roman" w:eastAsia="Times New Roman"/>
                <w:b w:val="0"/>
                <w:sz w:val="14"/>
              </w:rPr>
              <w:t>32.3.2 Good faith protection</w:t>
            </w:r>
          </w:p>
        </w:tc>
        <w:tc>
          <w:tcPr>
            <w:tcW w:type="dxa" w:w="7416"/>
            <w:vAlign w:val="top"/>
          </w:tcPr>
          <w:p>
            <w:pPr>
              <w:spacing w:after="0" w:line="240" w:lineRule="auto"/>
            </w:pPr>
            <w:r/>
            <w:r>
              <w:rPr>
                <w:rFonts w:ascii="Times New Roman" w:hAnsi="Times New Roman" w:eastAsia="Times New Roman"/>
                <w:b w:val="0"/>
                <w:sz w:val="14"/>
              </w:rPr>
              <w:t>An officer is not personally liable for an act done in good faith while performing official duty. This protection applies notwithstanding other provisions, provided the act was performed with good intention in the course of duty.</w:t>
            </w:r>
          </w:p>
        </w:tc>
      </w:tr>
      <w:tr>
        <w:tc>
          <w:tcPr>
            <w:tcW w:type="dxa" w:w="3168"/>
            <w:vAlign w:val="top"/>
          </w:tcPr>
          <w:p>
            <w:pPr>
              <w:spacing w:after="0" w:line="240" w:lineRule="auto"/>
            </w:pPr>
            <w:r/>
            <w:r>
              <w:rPr>
                <w:rFonts w:ascii="Times New Roman" w:hAnsi="Times New Roman" w:eastAsia="Times New Roman"/>
                <w:b w:val="0"/>
                <w:sz w:val="14"/>
              </w:rPr>
              <w:t>32.3.3 Reward</w:t>
            </w:r>
          </w:p>
        </w:tc>
        <w:tc>
          <w:tcPr>
            <w:tcW w:type="dxa" w:w="7416"/>
            <w:vAlign w:val="top"/>
          </w:tcPr>
          <w:p>
            <w:pPr>
              <w:spacing w:after="0" w:line="240" w:lineRule="auto"/>
            </w:pPr>
            <w:r/>
            <w:r>
              <w:rPr>
                <w:rFonts w:ascii="Times New Roman" w:hAnsi="Times New Roman" w:eastAsia="Times New Roman"/>
                <w:b w:val="0"/>
                <w:sz w:val="14"/>
              </w:rPr>
              <w:t>A person giving information with evidence that another person has evaded, or attempted to evade, whole or part of tax liability may receive, by decision of the Director General, a reward up to twenty per cent of the tax recovered on the basis of that evidence. Where there are multiple informants, reward is distributed proportionately. The Department may also provide informer expenses up to Rs. 10,000 according to procedure. Identity of the informant is kept confidential.</w:t>
            </w:r>
          </w:p>
        </w:tc>
      </w:tr>
    </w:tbl>
    <w:p/>
    <w:p>
      <w:pPr>
        <w:spacing w:after="80" w:line="252" w:lineRule="auto"/>
      </w:pPr>
      <w:r>
        <w:rPr>
          <w:rFonts w:ascii="Times New Roman" w:hAnsi="Times New Roman" w:eastAsia="Times New Roman"/>
          <w:b w:val="0"/>
          <w:i w:val="0"/>
          <w:sz w:val="21"/>
        </w:rPr>
        <w:t>The Directive gives an example where information about omitted insurance-claim income results in assessment and recovery of tax, fee and interest. The informant may receive twenty per cent of the recovered tax amount as reward by decision of the Director General.</w:t>
      </w:r>
    </w:p>
    <w:p>
      <w:pPr>
        <w:pStyle w:val="Heading2"/>
        <w:spacing w:after="80" w:line="252" w:lineRule="auto"/>
      </w:pPr>
      <w:r>
        <w:rPr>
          <w:rFonts w:ascii="Times New Roman" w:hAnsi="Times New Roman" w:eastAsia="Times New Roman"/>
          <w:b w:val="0"/>
          <w:i w:val="0"/>
        </w:rPr>
        <w:t>32.4 Identity card of officer</w:t>
      </w:r>
    </w:p>
    <w:p>
      <w:pPr>
        <w:spacing w:after="80" w:line="252" w:lineRule="auto"/>
      </w:pPr>
      <w:r>
        <w:rPr>
          <w:rFonts w:ascii="Times New Roman" w:hAnsi="Times New Roman" w:eastAsia="Times New Roman"/>
          <w:b w:val="0"/>
          <w:i w:val="0"/>
          <w:sz w:val="21"/>
        </w:rPr>
        <w:t>Every officer must carry the identity card in the prescribed format and show it when a concerned person requests to see it during performance of duty. Rule 28 provides that the identity-card format is as prescribed in Schedule 1 of the Rules.</w:t>
      </w:r>
    </w:p>
    <w:p>
      <w:pPr>
        <w:pStyle w:val="Heading2"/>
        <w:spacing w:after="80" w:line="252" w:lineRule="auto"/>
      </w:pPr>
      <w:r>
        <w:rPr>
          <w:rFonts w:ascii="Times New Roman" w:hAnsi="Times New Roman" w:eastAsia="Times New Roman"/>
          <w:b w:val="0"/>
          <w:i w:val="0"/>
        </w:rPr>
        <w:t>32.5 Powers equivalent to a court</w:t>
      </w:r>
    </w:p>
    <w:p>
      <w:pPr>
        <w:spacing w:after="80" w:line="252" w:lineRule="auto"/>
      </w:pPr>
      <w:r>
        <w:rPr>
          <w:rFonts w:ascii="Times New Roman" w:hAnsi="Times New Roman" w:eastAsia="Times New Roman"/>
          <w:b w:val="0"/>
          <w:i w:val="0"/>
          <w:sz w:val="21"/>
        </w:rPr>
        <w:t>For purposes of the Act, the Department has powers equivalent to a court under prevailing law for summoning concerned persons, recording statements, receiving evidence and requiring production of documents. These powers support tax assessment, verification and investigation.</w:t>
      </w:r>
    </w:p>
    <w:p>
      <w:pPr>
        <w:pStyle w:val="Heading2"/>
        <w:spacing w:after="80" w:line="252" w:lineRule="auto"/>
      </w:pPr>
      <w:r>
        <w:rPr>
          <w:rFonts w:ascii="Times New Roman" w:hAnsi="Times New Roman" w:eastAsia="Times New Roman"/>
          <w:b w:val="0"/>
          <w:i w:val="0"/>
        </w:rPr>
        <w:t>32.6 Government of Nepal may issue orders or directions</w:t>
      </w:r>
    </w:p>
    <w:p>
      <w:pPr>
        <w:spacing w:after="80" w:line="252" w:lineRule="auto"/>
      </w:pPr>
      <w:r>
        <w:rPr>
          <w:rFonts w:ascii="Times New Roman" w:hAnsi="Times New Roman" w:eastAsia="Times New Roman"/>
          <w:b w:val="0"/>
          <w:i w:val="0"/>
          <w:sz w:val="21"/>
        </w:rPr>
        <w:t>Government of Nepal may issue necessary orders or directions to the Department to make tax administration effective. The Department has the duty to comply with such directions, normally received through the Ministry of Finance.</w:t>
      </w:r>
    </w:p>
    <w:p>
      <w:pPr>
        <w:pStyle w:val="Heading2"/>
        <w:spacing w:after="80" w:line="252" w:lineRule="auto"/>
      </w:pPr>
      <w:r>
        <w:rPr>
          <w:rFonts w:ascii="Times New Roman" w:hAnsi="Times New Roman" w:eastAsia="Times New Roman"/>
          <w:b w:val="0"/>
          <w:i w:val="0"/>
        </w:rPr>
        <w:t>32.7 Power to make Rules and issue Directives</w:t>
      </w:r>
    </w:p>
    <w:tbl>
      <w:tblPr>
        <w:tblStyle w:val="TableGrid"/>
        <w:tblW w:type="auto" w:w="0"/>
        <w:jc w:val="center"/>
        <w:tblLook w:firstColumn="1" w:firstRow="1" w:lastColumn="0" w:lastRow="0" w:noHBand="0" w:noVBand="1" w:val="04A0"/>
      </w:tblPr>
      <w:tblGrid>
        <w:gridCol w:w="4946"/>
        <w:gridCol w:w="4946"/>
      </w:tblGrid>
      <w:tr>
        <w:trPr>
          <w:tblHeader w:val="true"/>
        </w:trPr>
        <w:tc>
          <w:tcPr>
            <w:tcW w:type="dxa" w:w="3600"/>
            <w:vAlign w:val="top"/>
            <w:shd w:fill="D9EAF7"/>
          </w:tcPr>
          <w:p>
            <w:pPr>
              <w:spacing w:after="0" w:line="240" w:lineRule="auto"/>
            </w:pPr>
            <w:r/>
            <w:r>
              <w:rPr>
                <w:rFonts w:ascii="Times New Roman" w:hAnsi="Times New Roman" w:eastAsia="Times New Roman"/>
                <w:b/>
                <w:sz w:val="14"/>
              </w:rPr>
              <w:t>Provision</w:t>
            </w:r>
          </w:p>
        </w:tc>
        <w:tc>
          <w:tcPr>
            <w:tcW w:type="dxa" w:w="6984"/>
            <w:vAlign w:val="top"/>
            <w:shd w:fill="D9EAF7"/>
          </w:tcPr>
          <w:p>
            <w:pPr>
              <w:spacing w:after="0" w:line="240" w:lineRule="auto"/>
            </w:pPr>
            <w:r/>
            <w:r>
              <w:rPr>
                <w:rFonts w:ascii="Times New Roman" w:hAnsi="Times New Roman" w:eastAsia="Times New Roman"/>
                <w:b/>
                <w:sz w:val="14"/>
              </w:rPr>
              <w:t>Explanation</w:t>
            </w:r>
          </w:p>
        </w:tc>
      </w:tr>
      <w:tr>
        <w:tc>
          <w:tcPr>
            <w:tcW w:type="dxa" w:w="3600"/>
            <w:vAlign w:val="top"/>
          </w:tcPr>
          <w:p>
            <w:pPr>
              <w:spacing w:after="0" w:line="240" w:lineRule="auto"/>
            </w:pPr>
            <w:r/>
            <w:r>
              <w:rPr>
                <w:rFonts w:ascii="Times New Roman" w:hAnsi="Times New Roman" w:eastAsia="Times New Roman"/>
                <w:b w:val="0"/>
                <w:sz w:val="14"/>
              </w:rPr>
              <w:t>32.7.1 Power to make Rules - section 138</w:t>
            </w:r>
          </w:p>
        </w:tc>
        <w:tc>
          <w:tcPr>
            <w:tcW w:type="dxa" w:w="6984"/>
            <w:vAlign w:val="top"/>
          </w:tcPr>
          <w:p>
            <w:pPr>
              <w:spacing w:after="0" w:line="240" w:lineRule="auto"/>
            </w:pPr>
            <w:r/>
            <w:r>
              <w:rPr>
                <w:rFonts w:ascii="Times New Roman" w:hAnsi="Times New Roman" w:eastAsia="Times New Roman"/>
                <w:b w:val="0"/>
                <w:sz w:val="14"/>
              </w:rPr>
              <w:t>Government of Nepal may make necessary rules to implement the purposes of the Act. The Income Tax Rules, 2059 were issued under this authority.</w:t>
            </w:r>
          </w:p>
        </w:tc>
      </w:tr>
      <w:tr>
        <w:tc>
          <w:tcPr>
            <w:tcW w:type="dxa" w:w="3600"/>
            <w:vAlign w:val="top"/>
          </w:tcPr>
          <w:p>
            <w:pPr>
              <w:spacing w:after="0" w:line="240" w:lineRule="auto"/>
            </w:pPr>
            <w:r/>
            <w:r>
              <w:rPr>
                <w:rFonts w:ascii="Times New Roman" w:hAnsi="Times New Roman" w:eastAsia="Times New Roman"/>
                <w:b w:val="0"/>
                <w:sz w:val="14"/>
              </w:rPr>
              <w:t>32.7.2 Power to issue Directives - section 139</w:t>
            </w:r>
          </w:p>
        </w:tc>
        <w:tc>
          <w:tcPr>
            <w:tcW w:type="dxa" w:w="6984"/>
            <w:vAlign w:val="top"/>
          </w:tcPr>
          <w:p>
            <w:pPr>
              <w:spacing w:after="0" w:line="240" w:lineRule="auto"/>
            </w:pPr>
            <w:r/>
            <w:r>
              <w:rPr>
                <w:rFonts w:ascii="Times New Roman" w:hAnsi="Times New Roman" w:eastAsia="Times New Roman"/>
                <w:b w:val="0"/>
                <w:sz w:val="14"/>
              </w:rPr>
              <w:t>Subject to the Act and Rules, the Department may prepare and issue necessary directives. The Income Tax Directive, 2066 has been issued under this authority. To the extent a directive conflicts with the Act or Rules, it becomes ineffective. Public circulars inconsistent with this Directive also become ineffective to that extent. Interpretations and examples in this Directive are to be followed in administration, subject to the Act and Rules.</w:t>
            </w:r>
          </w:p>
        </w:tc>
      </w:tr>
    </w:tbl>
    <w:p/>
    <w:p>
      <w:pPr>
        <w:pStyle w:val="Heading2"/>
        <w:spacing w:after="80" w:line="252" w:lineRule="auto"/>
      </w:pPr>
      <w:r>
        <w:rPr>
          <w:rFonts w:ascii="Times New Roman" w:hAnsi="Times New Roman" w:eastAsia="Times New Roman"/>
          <w:b w:val="0"/>
          <w:i w:val="0"/>
        </w:rPr>
        <w:t>32.8 Addition, deletion and alteration in Schedules</w:t>
      </w:r>
    </w:p>
    <w:p>
      <w:pPr>
        <w:spacing w:after="80" w:line="252" w:lineRule="auto"/>
      </w:pPr>
      <w:r>
        <w:rPr>
          <w:rFonts w:ascii="Times New Roman" w:hAnsi="Times New Roman" w:eastAsia="Times New Roman"/>
          <w:b w:val="0"/>
          <w:i w:val="0"/>
          <w:sz w:val="21"/>
        </w:rPr>
        <w:t>Government of Nepal may, by notification published in the Nepal Gazette, make necessary additions, deletions or alterations in Schedules other than Schedule 1 of the Act. Schedule 1, which contains tax rates, cannot be altered through this mechanism.</w:t>
      </w:r>
    </w:p>
    <w:p>
      <w:pPr>
        <w:pStyle w:val="Heading2"/>
        <w:spacing w:after="80" w:line="252" w:lineRule="auto"/>
      </w:pPr>
      <w:r>
        <w:rPr>
          <w:rFonts w:ascii="Times New Roman" w:hAnsi="Times New Roman" w:eastAsia="Times New Roman"/>
          <w:b w:val="0"/>
          <w:i w:val="0"/>
        </w:rPr>
        <w:t>32.9 Police assistance</w:t>
      </w:r>
    </w:p>
    <w:p>
      <w:pPr>
        <w:spacing w:after="80" w:line="252" w:lineRule="auto"/>
      </w:pPr>
      <w:r>
        <w:rPr>
          <w:rFonts w:ascii="Times New Roman" w:hAnsi="Times New Roman" w:eastAsia="Times New Roman"/>
          <w:b w:val="0"/>
          <w:i w:val="0"/>
          <w:sz w:val="21"/>
        </w:rPr>
        <w:t>It is the duty of the police to provide assistance requested by the Department for implementation of the Act or Rules. Local administration and police must assist where the Department requests support in lawful tax administration functions.</w:t>
      </w:r>
    </w:p>
    <w:p>
      <w:pPr>
        <w:pStyle w:val="Heading2"/>
        <w:spacing w:after="80" w:line="252" w:lineRule="auto"/>
      </w:pPr>
      <w:r>
        <w:rPr>
          <w:rFonts w:ascii="Times New Roman" w:hAnsi="Times New Roman" w:eastAsia="Times New Roman"/>
          <w:b w:val="0"/>
          <w:i w:val="0"/>
        </w:rPr>
        <w:t>32.10 Tax matters to be governed by this Act</w:t>
      </w:r>
    </w:p>
    <w:p>
      <w:pPr>
        <w:spacing w:after="80" w:line="252" w:lineRule="auto"/>
      </w:pPr>
      <w:r>
        <w:rPr>
          <w:rFonts w:ascii="Times New Roman" w:hAnsi="Times New Roman" w:eastAsia="Times New Roman"/>
          <w:b w:val="0"/>
          <w:i w:val="0"/>
          <w:sz w:val="21"/>
        </w:rPr>
        <w:t>After commencement of the Income Tax Act, 2058, income-tax provisions, concessions and exemptions are to be governed by this Act. Except where the annual Finance Act amends this Act to impose, assess, increase, reduce, exempt or remit tax, no other Act may amend, change or make other tax-related provisions under this Act.</w:t>
      </w:r>
    </w:p>
    <w:p>
      <w:pPr>
        <w:pStyle w:val="ListBullet"/>
        <w:spacing w:after="80" w:line="252" w:lineRule="auto"/>
      </w:pPr>
      <w:r>
        <w:rPr>
          <w:rFonts w:ascii="Times New Roman" w:hAnsi="Times New Roman" w:eastAsia="Times New Roman"/>
          <w:b w:val="0"/>
          <w:i w:val="0"/>
        </w:rPr>
        <w:t>The Act may be amended through the annual Finance Act.</w:t>
      </w:r>
    </w:p>
    <w:p>
      <w:pPr>
        <w:pStyle w:val="ListBullet"/>
        <w:spacing w:after="80" w:line="252" w:lineRule="auto"/>
      </w:pPr>
      <w:r>
        <w:rPr>
          <w:rFonts w:ascii="Times New Roman" w:hAnsi="Times New Roman" w:eastAsia="Times New Roman"/>
          <w:b w:val="0"/>
          <w:i w:val="0"/>
        </w:rPr>
        <w:t>The Act may be amended by an Act specifically enacted to amend the Income Tax Act, 2058.</w:t>
      </w:r>
    </w:p>
    <w:p>
      <w:pPr>
        <w:pStyle w:val="ListBullet"/>
        <w:spacing w:after="80" w:line="252" w:lineRule="auto"/>
      </w:pPr>
      <w:r>
        <w:rPr>
          <w:rFonts w:ascii="Times New Roman" w:hAnsi="Times New Roman" w:eastAsia="Times New Roman"/>
          <w:b w:val="0"/>
          <w:i w:val="0"/>
        </w:rPr>
        <w:t>It may also be amended through a Some Nepal Acts Amendment Act.</w:t>
      </w:r>
    </w:p>
    <w:p>
      <w:pPr>
        <w:pStyle w:val="ListBullet"/>
        <w:spacing w:after="80" w:line="252" w:lineRule="auto"/>
      </w:pPr>
      <w:r>
        <w:rPr>
          <w:rFonts w:ascii="Times New Roman" w:hAnsi="Times New Roman" w:eastAsia="Times New Roman"/>
          <w:b w:val="0"/>
          <w:i w:val="0"/>
        </w:rPr>
        <w:t>Finance Act amendments are normally used for immediate or annual matters such as tax rates, exemptions, inclusion or deduction rules and other budgetary provisions.</w:t>
      </w:r>
    </w:p>
    <w:p>
      <w:pPr>
        <w:pStyle w:val="Heading2"/>
        <w:spacing w:after="80" w:line="252" w:lineRule="auto"/>
      </w:pPr>
      <w:r>
        <w:rPr>
          <w:rFonts w:ascii="Times New Roman" w:hAnsi="Times New Roman" w:eastAsia="Times New Roman"/>
          <w:b w:val="0"/>
          <w:i w:val="0"/>
        </w:rPr>
        <w:t>32.11 Repeal, amendment and saving</w:t>
      </w:r>
    </w:p>
    <w:p>
      <w:pPr>
        <w:spacing w:after="80" w:line="252" w:lineRule="auto"/>
      </w:pPr>
      <w:r>
        <w:rPr>
          <w:rFonts w:ascii="Times New Roman" w:hAnsi="Times New Roman" w:eastAsia="Times New Roman"/>
          <w:b w:val="0"/>
          <w:i w:val="0"/>
          <w:sz w:val="21"/>
        </w:rPr>
        <w:t>Repeal and saving provisions preserve actions, liabilities, proceedings and rights arising under earlier income-tax law to the extent provided by the Act. They also ensure that references, assessments, recovery and proceedings under repealed law are handled consistently with the current Act where applicable.</w:t>
      </w:r>
    </w:p>
    <w:p>
      <w:pPr>
        <w:pStyle w:val="Heading2"/>
        <w:spacing w:after="80" w:line="252" w:lineRule="auto"/>
      </w:pPr>
      <w:r>
        <w:rPr>
          <w:rFonts w:ascii="Times New Roman" w:hAnsi="Times New Roman" w:eastAsia="Times New Roman"/>
          <w:b w:val="0"/>
          <w:i w:val="0"/>
        </w:rPr>
        <w:t>32.12 Transitional provisions</w:t>
      </w:r>
    </w:p>
    <w:p>
      <w:pPr>
        <w:spacing w:after="80" w:line="252" w:lineRule="auto"/>
      </w:pPr>
      <w:r>
        <w:rPr>
          <w:rFonts w:ascii="Times New Roman" w:hAnsi="Times New Roman" w:eastAsia="Times New Roman"/>
          <w:b w:val="0"/>
          <w:i w:val="0"/>
          <w:sz w:val="21"/>
        </w:rPr>
        <w:t>The transitional provisions deal with situations arising when the Act came into force, including treatment of income years, assessments, losses, depreciation, tax credits, accounts, pending proceedings, exemptions and other matters carried from previous law. The purpose is to avoid gaps in administration while moving from the previous income-tax regime to the modern Act.</w:t>
      </w:r>
    </w:p>
    <w:tbl>
      <w:tblPr>
        <w:tblStyle w:val="TableGrid"/>
        <w:tblW w:type="auto" w:w="0"/>
        <w:jc w:val="center"/>
        <w:tblLook w:firstColumn="1" w:firstRow="1" w:lastColumn="0" w:lastRow="0" w:noHBand="0" w:noVBand="1" w:val="04A0"/>
      </w:tblPr>
      <w:tblGrid>
        <w:gridCol w:w="4946"/>
        <w:gridCol w:w="4946"/>
      </w:tblGrid>
      <w:tr>
        <w:trPr>
          <w:tblHeader w:val="true"/>
        </w:trPr>
        <w:tc>
          <w:tcPr>
            <w:tcW w:type="dxa" w:w="3456"/>
            <w:vAlign w:val="top"/>
            <w:shd w:fill="D9EAF7"/>
          </w:tcPr>
          <w:p>
            <w:pPr>
              <w:spacing w:after="0" w:line="240" w:lineRule="auto"/>
            </w:pPr>
            <w:r/>
            <w:r>
              <w:rPr>
                <w:rFonts w:ascii="Times New Roman" w:hAnsi="Times New Roman" w:eastAsia="Times New Roman"/>
                <w:b/>
                <w:sz w:val="14"/>
              </w:rPr>
              <w:t>Transitional theme</w:t>
            </w:r>
          </w:p>
        </w:tc>
        <w:tc>
          <w:tcPr>
            <w:tcW w:type="dxa" w:w="7128"/>
            <w:vAlign w:val="top"/>
            <w:shd w:fill="D9EAF7"/>
          </w:tcPr>
          <w:p>
            <w:pPr>
              <w:spacing w:after="0" w:line="240" w:lineRule="auto"/>
            </w:pPr>
            <w:r/>
            <w:r>
              <w:rPr>
                <w:rFonts w:ascii="Times New Roman" w:hAnsi="Times New Roman" w:eastAsia="Times New Roman"/>
                <w:b/>
                <w:sz w:val="14"/>
              </w:rPr>
              <w:t>Treatment explained in the Directive</w:t>
            </w:r>
          </w:p>
        </w:tc>
      </w:tr>
      <w:tr>
        <w:tc>
          <w:tcPr>
            <w:tcW w:type="dxa" w:w="3456"/>
            <w:vAlign w:val="top"/>
          </w:tcPr>
          <w:p>
            <w:pPr>
              <w:spacing w:after="0" w:line="240" w:lineRule="auto"/>
            </w:pPr>
            <w:r/>
            <w:r>
              <w:rPr>
                <w:rFonts w:ascii="Times New Roman" w:hAnsi="Times New Roman" w:eastAsia="Times New Roman"/>
                <w:b w:val="0"/>
                <w:sz w:val="14"/>
              </w:rPr>
              <w:t>Existing assessments and liabilities</w:t>
            </w:r>
          </w:p>
        </w:tc>
        <w:tc>
          <w:tcPr>
            <w:tcW w:type="dxa" w:w="7128"/>
            <w:vAlign w:val="top"/>
          </w:tcPr>
          <w:p>
            <w:pPr>
              <w:spacing w:after="0" w:line="240" w:lineRule="auto"/>
            </w:pPr>
            <w:r/>
            <w:r>
              <w:rPr>
                <w:rFonts w:ascii="Times New Roman" w:hAnsi="Times New Roman" w:eastAsia="Times New Roman"/>
                <w:b w:val="0"/>
                <w:sz w:val="14"/>
              </w:rPr>
              <w:t>Tax, fees, interest, penalty and recovery proceedings under previous law are preserved according to the saving provisions.</w:t>
            </w:r>
          </w:p>
        </w:tc>
      </w:tr>
      <w:tr>
        <w:tc>
          <w:tcPr>
            <w:tcW w:type="dxa" w:w="3456"/>
            <w:vAlign w:val="top"/>
          </w:tcPr>
          <w:p>
            <w:pPr>
              <w:spacing w:after="0" w:line="240" w:lineRule="auto"/>
            </w:pPr>
            <w:r/>
            <w:r>
              <w:rPr>
                <w:rFonts w:ascii="Times New Roman" w:hAnsi="Times New Roman" w:eastAsia="Times New Roman"/>
                <w:b w:val="0"/>
                <w:sz w:val="14"/>
              </w:rPr>
              <w:t>Accounting and income years</w:t>
            </w:r>
          </w:p>
        </w:tc>
        <w:tc>
          <w:tcPr>
            <w:tcW w:type="dxa" w:w="7128"/>
            <w:vAlign w:val="top"/>
          </w:tcPr>
          <w:p>
            <w:pPr>
              <w:spacing w:after="0" w:line="240" w:lineRule="auto"/>
            </w:pPr>
            <w:r/>
            <w:r>
              <w:rPr>
                <w:rFonts w:ascii="Times New Roman" w:hAnsi="Times New Roman" w:eastAsia="Times New Roman"/>
                <w:b w:val="0"/>
                <w:sz w:val="14"/>
              </w:rPr>
              <w:t>Amounts and periods are brought into the framework of the new Act to the extent required for computation after commencement.</w:t>
            </w:r>
          </w:p>
        </w:tc>
      </w:tr>
      <w:tr>
        <w:tc>
          <w:tcPr>
            <w:tcW w:type="dxa" w:w="3456"/>
            <w:vAlign w:val="top"/>
          </w:tcPr>
          <w:p>
            <w:pPr>
              <w:spacing w:after="0" w:line="240" w:lineRule="auto"/>
            </w:pPr>
            <w:r/>
            <w:r>
              <w:rPr>
                <w:rFonts w:ascii="Times New Roman" w:hAnsi="Times New Roman" w:eastAsia="Times New Roman"/>
                <w:b w:val="0"/>
                <w:sz w:val="14"/>
              </w:rPr>
              <w:t>Depreciation, assets and losses</w:t>
            </w:r>
          </w:p>
        </w:tc>
        <w:tc>
          <w:tcPr>
            <w:tcW w:type="dxa" w:w="7128"/>
            <w:vAlign w:val="top"/>
          </w:tcPr>
          <w:p>
            <w:pPr>
              <w:spacing w:after="0" w:line="240" w:lineRule="auto"/>
            </w:pPr>
            <w:r/>
            <w:r>
              <w:rPr>
                <w:rFonts w:ascii="Times New Roman" w:hAnsi="Times New Roman" w:eastAsia="Times New Roman"/>
                <w:b w:val="0"/>
                <w:sz w:val="14"/>
              </w:rPr>
              <w:t>Opening written-down values, pools, losses and other balances are carried forward only as permitted by the Act and transitional rules.</w:t>
            </w:r>
          </w:p>
        </w:tc>
      </w:tr>
      <w:tr>
        <w:tc>
          <w:tcPr>
            <w:tcW w:type="dxa" w:w="3456"/>
            <w:vAlign w:val="top"/>
          </w:tcPr>
          <w:p>
            <w:pPr>
              <w:spacing w:after="0" w:line="240" w:lineRule="auto"/>
            </w:pPr>
            <w:r/>
            <w:r>
              <w:rPr>
                <w:rFonts w:ascii="Times New Roman" w:hAnsi="Times New Roman" w:eastAsia="Times New Roman"/>
                <w:b w:val="0"/>
                <w:sz w:val="14"/>
              </w:rPr>
              <w:t>Pending matters</w:t>
            </w:r>
          </w:p>
        </w:tc>
        <w:tc>
          <w:tcPr>
            <w:tcW w:type="dxa" w:w="7128"/>
            <w:vAlign w:val="top"/>
          </w:tcPr>
          <w:p>
            <w:pPr>
              <w:spacing w:after="0" w:line="240" w:lineRule="auto"/>
            </w:pPr>
            <w:r/>
            <w:r>
              <w:rPr>
                <w:rFonts w:ascii="Times New Roman" w:hAnsi="Times New Roman" w:eastAsia="Times New Roman"/>
                <w:b w:val="0"/>
                <w:sz w:val="14"/>
              </w:rPr>
              <w:t>Appeals, reviews, assessments or proceedings pending under previous law continue or are disposed of as provided by law.</w:t>
            </w:r>
          </w:p>
        </w:tc>
      </w:tr>
      <w:tr>
        <w:tc>
          <w:tcPr>
            <w:tcW w:type="dxa" w:w="3456"/>
            <w:vAlign w:val="top"/>
          </w:tcPr>
          <w:p>
            <w:pPr>
              <w:spacing w:after="0" w:line="240" w:lineRule="auto"/>
            </w:pPr>
            <w:r/>
            <w:r>
              <w:rPr>
                <w:rFonts w:ascii="Times New Roman" w:hAnsi="Times New Roman" w:eastAsia="Times New Roman"/>
                <w:b w:val="0"/>
                <w:sz w:val="14"/>
              </w:rPr>
              <w:t>Existing concessions</w:t>
            </w:r>
          </w:p>
        </w:tc>
        <w:tc>
          <w:tcPr>
            <w:tcW w:type="dxa" w:w="7128"/>
            <w:vAlign w:val="top"/>
          </w:tcPr>
          <w:p>
            <w:pPr>
              <w:spacing w:after="0" w:line="240" w:lineRule="auto"/>
            </w:pPr>
            <w:r/>
            <w:r>
              <w:rPr>
                <w:rFonts w:ascii="Times New Roman" w:hAnsi="Times New Roman" w:eastAsia="Times New Roman"/>
                <w:b w:val="0"/>
                <w:sz w:val="14"/>
              </w:rPr>
              <w:t>Exemptions or concessions continue only where preserved by the Act or subsequent Finance Act.</w:t>
            </w:r>
          </w:p>
        </w:tc>
      </w:tr>
    </w:tbl>
    <w:p/>
    <w:p>
      <w:pPr>
        <w:spacing w:after="80" w:line="252" w:lineRule="auto"/>
        <w:jc w:val="center"/>
      </w:pPr>
      <w:r>
        <w:rPr>
          <w:rFonts w:ascii="Times New Roman" w:hAnsi="Times New Roman" w:eastAsia="Times New Roman"/>
          <w:b w:val="0"/>
          <w:i/>
          <w:sz w:val="21"/>
        </w:rPr>
        <w:t>End of Chapter 32</w:t>
      </w:r>
    </w:p>
    <w:p>
      <w:r>
        <w:br w:type="page"/>
      </w:r>
    </w:p>
    <w:p>
      <w:pPr>
        <w:pStyle w:val="Title"/>
        <w:spacing w:after="80" w:line="252" w:lineRule="auto"/>
        <w:jc w:val="center"/>
      </w:pPr>
      <w:r>
        <w:rPr>
          <w:rFonts w:ascii="Times New Roman" w:hAnsi="Times New Roman" w:eastAsia="Times New Roman"/>
          <w:b w:val="0"/>
          <w:i w:val="0"/>
        </w:rPr>
        <w:t>Income Tax Directive, 2066 (with Fifth Amendment, 2081)</w:t>
      </w:r>
    </w:p>
    <w:p>
      <w:pPr>
        <w:pStyle w:val="Title"/>
        <w:spacing w:after="80" w:line="252" w:lineRule="auto"/>
        <w:jc w:val="center"/>
      </w:pPr>
      <w:r>
        <w:rPr>
          <w:rFonts w:ascii="Times New Roman" w:hAnsi="Times New Roman" w:eastAsia="Times New Roman"/>
          <w:b w:val="0"/>
          <w:i w:val="0"/>
        </w:rPr>
        <w:t>English Translation - Part 33</w:t>
      </w:r>
    </w:p>
    <w:p>
      <w:pPr>
        <w:pStyle w:val="Heading1"/>
        <w:spacing w:after="80" w:line="252" w:lineRule="auto"/>
        <w:jc w:val="center"/>
      </w:pPr>
      <w:r>
        <w:rPr>
          <w:rFonts w:ascii="Times New Roman" w:hAnsi="Times New Roman" w:eastAsia="Times New Roman"/>
          <w:b w:val="0"/>
          <w:i w:val="0"/>
        </w:rPr>
        <w:t>Schedules</w:t>
      </w:r>
    </w:p>
    <w:p>
      <w:pPr>
        <w:spacing w:after="80" w:line="252" w:lineRule="auto"/>
        <w:jc w:val="center"/>
      </w:pPr>
      <w:r>
        <w:rPr>
          <w:rFonts w:ascii="Times New Roman" w:hAnsi="Times New Roman" w:eastAsia="Times New Roman"/>
          <w:b w:val="0"/>
          <w:i/>
          <w:sz w:val="21"/>
        </w:rPr>
        <w:t>Source pages: Directive pages 661-683</w:t>
      </w:r>
    </w:p>
    <w:p>
      <w:pPr>
        <w:spacing w:after="80" w:line="252" w:lineRule="auto"/>
      </w:pPr>
      <w:r>
        <w:rPr>
          <w:rFonts w:ascii="Times New Roman" w:hAnsi="Times New Roman" w:eastAsia="Times New Roman"/>
          <w:b w:val="0"/>
          <w:i/>
          <w:sz w:val="21"/>
        </w:rPr>
        <w:t>Note: This working English translation follows the sequence, headings, examples and tabular presentation of the Nepali directive as far as practicable in Word format. Statutory expressions have been aligned with the official English terminology of the Income Tax Act, 2002 (2058) where applicable.</w:t>
      </w:r>
    </w:p>
    <w:p>
      <w:r>
        <w:br w:type="page"/>
      </w:r>
    </w:p>
    <w:p>
      <w:pPr>
        <w:pStyle w:val="Heading1"/>
        <w:spacing w:after="80" w:line="252" w:lineRule="auto"/>
        <w:jc w:val="center"/>
      </w:pPr>
      <w:r>
        <w:rPr>
          <w:rFonts w:ascii="Times New Roman" w:hAnsi="Times New Roman" w:eastAsia="Times New Roman"/>
          <w:b w:val="0"/>
          <w:i w:val="0"/>
        </w:rPr>
        <w:t>Schedules</w:t>
      </w:r>
    </w:p>
    <w:p>
      <w:pPr>
        <w:pStyle w:val="Heading2"/>
        <w:spacing w:after="80" w:line="252" w:lineRule="auto"/>
      </w:pPr>
      <w:r>
        <w:rPr>
          <w:rFonts w:ascii="Times New Roman" w:hAnsi="Times New Roman" w:eastAsia="Times New Roman"/>
          <w:b w:val="0"/>
          <w:i w:val="0"/>
        </w:rPr>
        <w:t>Schedule 1 - Revenue heads applicable in fiscal year 2081/82</w:t>
      </w:r>
    </w:p>
    <w:tbl>
      <w:tblPr>
        <w:tblStyle w:val="TableGrid"/>
        <w:tblW w:type="auto" w:w="0"/>
        <w:jc w:val="center"/>
        <w:tblLook w:firstColumn="1" w:firstRow="1" w:lastColumn="0" w:lastRow="0" w:noHBand="0" w:noVBand="1" w:val="04A0"/>
      </w:tblPr>
      <w:tblGrid>
        <w:gridCol w:w="2473"/>
        <w:gridCol w:w="2473"/>
        <w:gridCol w:w="2473"/>
        <w:gridCol w:w="2473"/>
      </w:tblGrid>
      <w:tr>
        <w:trPr>
          <w:tblHeader w:val="true"/>
        </w:trPr>
        <w:tc>
          <w:tcPr>
            <w:tcW w:type="dxa" w:w="648"/>
            <w:vAlign w:val="top"/>
            <w:shd w:fill="D9EAF7"/>
          </w:tcPr>
          <w:p>
            <w:pPr>
              <w:spacing w:after="0" w:line="240" w:lineRule="auto"/>
            </w:pPr>
            <w:r/>
            <w:r>
              <w:rPr>
                <w:rFonts w:ascii="Times New Roman" w:hAnsi="Times New Roman" w:eastAsia="Times New Roman"/>
                <w:b/>
                <w:sz w:val="13"/>
              </w:rPr>
              <w:t>S.N.</w:t>
            </w:r>
          </w:p>
        </w:tc>
        <w:tc>
          <w:tcPr>
            <w:tcW w:type="dxa" w:w="1296"/>
            <w:vAlign w:val="top"/>
            <w:shd w:fill="D9EAF7"/>
          </w:tcPr>
          <w:p>
            <w:pPr>
              <w:spacing w:after="0" w:line="240" w:lineRule="auto"/>
            </w:pPr>
            <w:r/>
            <w:r>
              <w:rPr>
                <w:rFonts w:ascii="Times New Roman" w:hAnsi="Times New Roman" w:eastAsia="Times New Roman"/>
                <w:b/>
                <w:sz w:val="13"/>
              </w:rPr>
              <w:t>Revenue code</w:t>
            </w:r>
          </w:p>
        </w:tc>
        <w:tc>
          <w:tcPr>
            <w:tcW w:type="dxa" w:w="3168"/>
            <w:vAlign w:val="top"/>
            <w:shd w:fill="D9EAF7"/>
          </w:tcPr>
          <w:p>
            <w:pPr>
              <w:spacing w:after="0" w:line="240" w:lineRule="auto"/>
            </w:pPr>
            <w:r/>
            <w:r>
              <w:rPr>
                <w:rFonts w:ascii="Times New Roman" w:hAnsi="Times New Roman" w:eastAsia="Times New Roman"/>
                <w:b/>
                <w:sz w:val="13"/>
              </w:rPr>
              <w:t>Heading</w:t>
            </w:r>
          </w:p>
        </w:tc>
        <w:tc>
          <w:tcPr>
            <w:tcW w:type="dxa" w:w="5472"/>
            <w:vAlign w:val="top"/>
            <w:shd w:fill="D9EAF7"/>
          </w:tcPr>
          <w:p>
            <w:pPr>
              <w:spacing w:after="0" w:line="240" w:lineRule="auto"/>
            </w:pPr>
            <w:r/>
            <w:r>
              <w:rPr>
                <w:rFonts w:ascii="Times New Roman" w:hAnsi="Times New Roman" w:eastAsia="Times New Roman"/>
                <w:b/>
                <w:sz w:val="13"/>
              </w:rPr>
              <w:t>Explanation</w:t>
            </w:r>
          </w:p>
        </w:tc>
      </w:tr>
      <w:tr>
        <w:tc>
          <w:tcPr>
            <w:tcW w:type="dxa" w:w="648"/>
            <w:vAlign w:val="top"/>
          </w:tcPr>
          <w:p>
            <w:pPr>
              <w:spacing w:after="0" w:line="240" w:lineRule="auto"/>
            </w:pPr>
            <w:r/>
            <w:r>
              <w:rPr>
                <w:rFonts w:ascii="Times New Roman" w:hAnsi="Times New Roman" w:eastAsia="Times New Roman"/>
                <w:b w:val="0"/>
                <w:sz w:val="13"/>
              </w:rPr>
              <w:t>1</w:t>
            </w:r>
          </w:p>
        </w:tc>
        <w:tc>
          <w:tcPr>
            <w:tcW w:type="dxa" w:w="1296"/>
            <w:vAlign w:val="top"/>
          </w:tcPr>
          <w:p>
            <w:pPr>
              <w:spacing w:after="0" w:line="240" w:lineRule="auto"/>
            </w:pPr>
            <w:r/>
            <w:r>
              <w:rPr>
                <w:rFonts w:ascii="Times New Roman" w:hAnsi="Times New Roman" w:eastAsia="Times New Roman"/>
                <w:b w:val="0"/>
                <w:sz w:val="13"/>
              </w:rPr>
              <w:t>11111</w:t>
            </w:r>
          </w:p>
        </w:tc>
        <w:tc>
          <w:tcPr>
            <w:tcW w:type="dxa" w:w="3168"/>
            <w:vAlign w:val="top"/>
          </w:tcPr>
          <w:p>
            <w:pPr>
              <w:spacing w:after="0" w:line="240" w:lineRule="auto"/>
            </w:pPr>
            <w:r/>
            <w:r>
              <w:rPr>
                <w:rFonts w:ascii="Times New Roman" w:hAnsi="Times New Roman" w:eastAsia="Times New Roman"/>
                <w:b w:val="0"/>
                <w:sz w:val="13"/>
              </w:rPr>
              <w:t>Tax on sole proprietorship firm and personal income</w:t>
            </w:r>
          </w:p>
        </w:tc>
        <w:tc>
          <w:tcPr>
            <w:tcW w:type="dxa" w:w="5472"/>
            <w:vAlign w:val="top"/>
          </w:tcPr>
          <w:p>
            <w:pPr>
              <w:spacing w:after="0" w:line="240" w:lineRule="auto"/>
            </w:pPr>
            <w:r/>
            <w:r>
              <w:rPr>
                <w:rFonts w:ascii="Times New Roman" w:hAnsi="Times New Roman" w:eastAsia="Times New Roman"/>
                <w:b w:val="0"/>
                <w:sz w:val="13"/>
              </w:rPr>
              <w:t>Tax on income of sole proprietorship firms and individuals.</w:t>
            </w:r>
          </w:p>
        </w:tc>
      </w:tr>
      <w:tr>
        <w:tc>
          <w:tcPr>
            <w:tcW w:type="dxa" w:w="648"/>
            <w:vAlign w:val="top"/>
          </w:tcPr>
          <w:p>
            <w:pPr>
              <w:spacing w:after="0" w:line="240" w:lineRule="auto"/>
            </w:pPr>
            <w:r/>
            <w:r>
              <w:rPr>
                <w:rFonts w:ascii="Times New Roman" w:hAnsi="Times New Roman" w:eastAsia="Times New Roman"/>
                <w:b w:val="0"/>
                <w:sz w:val="13"/>
              </w:rPr>
              <w:t>2</w:t>
            </w:r>
          </w:p>
        </w:tc>
        <w:tc>
          <w:tcPr>
            <w:tcW w:type="dxa" w:w="1296"/>
            <w:vAlign w:val="top"/>
          </w:tcPr>
          <w:p>
            <w:pPr>
              <w:spacing w:after="0" w:line="240" w:lineRule="auto"/>
            </w:pPr>
            <w:r/>
            <w:r>
              <w:rPr>
                <w:rFonts w:ascii="Times New Roman" w:hAnsi="Times New Roman" w:eastAsia="Times New Roman"/>
                <w:b w:val="0"/>
                <w:sz w:val="13"/>
              </w:rPr>
              <w:t>11112</w:t>
            </w:r>
          </w:p>
        </w:tc>
        <w:tc>
          <w:tcPr>
            <w:tcW w:type="dxa" w:w="3168"/>
            <w:vAlign w:val="top"/>
          </w:tcPr>
          <w:p>
            <w:pPr>
              <w:spacing w:after="0" w:line="240" w:lineRule="auto"/>
            </w:pPr>
            <w:r/>
            <w:r>
              <w:rPr>
                <w:rFonts w:ascii="Times New Roman" w:hAnsi="Times New Roman" w:eastAsia="Times New Roman"/>
                <w:b w:val="0"/>
                <w:sz w:val="13"/>
              </w:rPr>
              <w:t>Remuneration tax</w:t>
            </w:r>
          </w:p>
        </w:tc>
        <w:tc>
          <w:tcPr>
            <w:tcW w:type="dxa" w:w="5472"/>
            <w:vAlign w:val="top"/>
          </w:tcPr>
          <w:p>
            <w:pPr>
              <w:spacing w:after="0" w:line="240" w:lineRule="auto"/>
            </w:pPr>
            <w:r/>
            <w:r>
              <w:rPr>
                <w:rFonts w:ascii="Times New Roman" w:hAnsi="Times New Roman" w:eastAsia="Times New Roman"/>
                <w:b w:val="0"/>
                <w:sz w:val="13"/>
              </w:rPr>
              <w:t>Tax on salary, wages, remuneration, allowances, benefits, retirement payments and other employment-related payments of a natural person.</w:t>
            </w:r>
          </w:p>
        </w:tc>
      </w:tr>
      <w:tr>
        <w:tc>
          <w:tcPr>
            <w:tcW w:type="dxa" w:w="648"/>
            <w:vAlign w:val="top"/>
          </w:tcPr>
          <w:p>
            <w:pPr>
              <w:spacing w:after="0" w:line="240" w:lineRule="auto"/>
            </w:pPr>
            <w:r/>
            <w:r>
              <w:rPr>
                <w:rFonts w:ascii="Times New Roman" w:hAnsi="Times New Roman" w:eastAsia="Times New Roman"/>
                <w:b w:val="0"/>
                <w:sz w:val="13"/>
              </w:rPr>
              <w:t>3</w:t>
            </w:r>
          </w:p>
        </w:tc>
        <w:tc>
          <w:tcPr>
            <w:tcW w:type="dxa" w:w="1296"/>
            <w:vAlign w:val="top"/>
          </w:tcPr>
          <w:p>
            <w:pPr>
              <w:spacing w:after="0" w:line="240" w:lineRule="auto"/>
            </w:pPr>
            <w:r/>
            <w:r>
              <w:rPr>
                <w:rFonts w:ascii="Times New Roman" w:hAnsi="Times New Roman" w:eastAsia="Times New Roman"/>
                <w:b w:val="0"/>
                <w:sz w:val="13"/>
              </w:rPr>
              <w:t>11113</w:t>
            </w:r>
          </w:p>
        </w:tc>
        <w:tc>
          <w:tcPr>
            <w:tcW w:type="dxa" w:w="3168"/>
            <w:vAlign w:val="top"/>
          </w:tcPr>
          <w:p>
            <w:pPr>
              <w:spacing w:after="0" w:line="240" w:lineRule="auto"/>
            </w:pPr>
            <w:r/>
            <w:r>
              <w:rPr>
                <w:rFonts w:ascii="Times New Roman" w:hAnsi="Times New Roman" w:eastAsia="Times New Roman"/>
                <w:b w:val="0"/>
                <w:sz w:val="13"/>
              </w:rPr>
              <w:t>Capital gains tax</w:t>
            </w:r>
          </w:p>
        </w:tc>
        <w:tc>
          <w:tcPr>
            <w:tcW w:type="dxa" w:w="5472"/>
            <w:vAlign w:val="top"/>
          </w:tcPr>
          <w:p>
            <w:pPr>
              <w:spacing w:after="0" w:line="240" w:lineRule="auto"/>
            </w:pPr>
            <w:r/>
            <w:r>
              <w:rPr>
                <w:rFonts w:ascii="Times New Roman" w:hAnsi="Times New Roman" w:eastAsia="Times New Roman"/>
                <w:b w:val="0"/>
                <w:sz w:val="13"/>
              </w:rPr>
              <w:t>Capital gains tax on natural persons and sole proprietorship firms from sale, lease, transfer or other disposal of houses, land, shares and similar assets.</w:t>
            </w:r>
          </w:p>
        </w:tc>
      </w:tr>
      <w:tr>
        <w:tc>
          <w:tcPr>
            <w:tcW w:type="dxa" w:w="648"/>
            <w:vAlign w:val="top"/>
          </w:tcPr>
          <w:p>
            <w:pPr>
              <w:spacing w:after="0" w:line="240" w:lineRule="auto"/>
            </w:pPr>
            <w:r/>
            <w:r>
              <w:rPr>
                <w:rFonts w:ascii="Times New Roman" w:hAnsi="Times New Roman" w:eastAsia="Times New Roman"/>
                <w:b w:val="0"/>
                <w:sz w:val="13"/>
              </w:rPr>
              <w:t>4</w:t>
            </w:r>
          </w:p>
        </w:tc>
        <w:tc>
          <w:tcPr>
            <w:tcW w:type="dxa" w:w="1296"/>
            <w:vAlign w:val="top"/>
          </w:tcPr>
          <w:p>
            <w:pPr>
              <w:spacing w:after="0" w:line="240" w:lineRule="auto"/>
            </w:pPr>
            <w:r/>
            <w:r>
              <w:rPr>
                <w:rFonts w:ascii="Times New Roman" w:hAnsi="Times New Roman" w:eastAsia="Times New Roman"/>
                <w:b w:val="0"/>
                <w:sz w:val="13"/>
              </w:rPr>
              <w:t>11115</w:t>
            </w:r>
          </w:p>
        </w:tc>
        <w:tc>
          <w:tcPr>
            <w:tcW w:type="dxa" w:w="3168"/>
            <w:vAlign w:val="top"/>
          </w:tcPr>
          <w:p>
            <w:pPr>
              <w:spacing w:after="0" w:line="240" w:lineRule="auto"/>
            </w:pPr>
            <w:r/>
            <w:r>
              <w:rPr>
                <w:rFonts w:ascii="Times New Roman" w:hAnsi="Times New Roman" w:eastAsia="Times New Roman"/>
                <w:b w:val="0"/>
                <w:sz w:val="13"/>
              </w:rPr>
              <w:t>Windfall gain tax</w:t>
            </w:r>
          </w:p>
        </w:tc>
        <w:tc>
          <w:tcPr>
            <w:tcW w:type="dxa" w:w="5472"/>
            <w:vAlign w:val="top"/>
          </w:tcPr>
          <w:p>
            <w:pPr>
              <w:spacing w:after="0" w:line="240" w:lineRule="auto"/>
            </w:pPr>
            <w:r/>
            <w:r>
              <w:rPr>
                <w:rFonts w:ascii="Times New Roman" w:hAnsi="Times New Roman" w:eastAsia="Times New Roman"/>
                <w:b w:val="0"/>
                <w:sz w:val="13"/>
              </w:rPr>
              <w:t>Tax on income from gambling, lottery, betting, gifts, donation, inheritance, informant rewards, prizes and similar windfall sources.</w:t>
            </w:r>
          </w:p>
        </w:tc>
      </w:tr>
      <w:tr>
        <w:tc>
          <w:tcPr>
            <w:tcW w:type="dxa" w:w="648"/>
            <w:vAlign w:val="top"/>
          </w:tcPr>
          <w:p>
            <w:pPr>
              <w:spacing w:after="0" w:line="240" w:lineRule="auto"/>
            </w:pPr>
            <w:r/>
            <w:r>
              <w:rPr>
                <w:rFonts w:ascii="Times New Roman" w:hAnsi="Times New Roman" w:eastAsia="Times New Roman"/>
                <w:b w:val="0"/>
                <w:sz w:val="13"/>
              </w:rPr>
              <w:t>5</w:t>
            </w:r>
          </w:p>
        </w:tc>
        <w:tc>
          <w:tcPr>
            <w:tcW w:type="dxa" w:w="1296"/>
            <w:vAlign w:val="top"/>
          </w:tcPr>
          <w:p>
            <w:pPr>
              <w:spacing w:after="0" w:line="240" w:lineRule="auto"/>
            </w:pPr>
            <w:r/>
            <w:r>
              <w:rPr>
                <w:rFonts w:ascii="Times New Roman" w:hAnsi="Times New Roman" w:eastAsia="Times New Roman"/>
                <w:b w:val="0"/>
                <w:sz w:val="13"/>
              </w:rPr>
              <w:t>11119</w:t>
            </w:r>
          </w:p>
        </w:tc>
        <w:tc>
          <w:tcPr>
            <w:tcW w:type="dxa" w:w="3168"/>
            <w:vAlign w:val="top"/>
          </w:tcPr>
          <w:p>
            <w:pPr>
              <w:spacing w:after="0" w:line="240" w:lineRule="auto"/>
            </w:pPr>
            <w:r/>
            <w:r>
              <w:rPr>
                <w:rFonts w:ascii="Times New Roman" w:hAnsi="Times New Roman" w:eastAsia="Times New Roman"/>
                <w:b w:val="0"/>
                <w:sz w:val="13"/>
              </w:rPr>
              <w:t>Other tax on income of sole business</w:t>
            </w:r>
          </w:p>
        </w:tc>
        <w:tc>
          <w:tcPr>
            <w:tcW w:type="dxa" w:w="5472"/>
            <w:vAlign w:val="top"/>
          </w:tcPr>
          <w:p>
            <w:pPr>
              <w:spacing w:after="0" w:line="240" w:lineRule="auto"/>
            </w:pPr>
            <w:r/>
            <w:r>
              <w:rPr>
                <w:rFonts w:ascii="Times New Roman" w:hAnsi="Times New Roman" w:eastAsia="Times New Roman"/>
                <w:b w:val="0"/>
                <w:sz w:val="13"/>
              </w:rPr>
              <w:t>Other taxes falling under this base heading but not included in the headings above.</w:t>
            </w:r>
          </w:p>
        </w:tc>
      </w:tr>
      <w:tr>
        <w:tc>
          <w:tcPr>
            <w:tcW w:type="dxa" w:w="648"/>
            <w:vAlign w:val="top"/>
          </w:tcPr>
          <w:p>
            <w:pPr>
              <w:spacing w:after="0" w:line="240" w:lineRule="auto"/>
            </w:pPr>
            <w:r/>
            <w:r>
              <w:rPr>
                <w:rFonts w:ascii="Times New Roman" w:hAnsi="Times New Roman" w:eastAsia="Times New Roman"/>
                <w:b w:val="0"/>
                <w:sz w:val="13"/>
              </w:rPr>
              <w:t>6</w:t>
            </w:r>
          </w:p>
        </w:tc>
        <w:tc>
          <w:tcPr>
            <w:tcW w:type="dxa" w:w="1296"/>
            <w:vAlign w:val="top"/>
          </w:tcPr>
          <w:p>
            <w:pPr>
              <w:spacing w:after="0" w:line="240" w:lineRule="auto"/>
            </w:pPr>
            <w:r/>
            <w:r>
              <w:rPr>
                <w:rFonts w:ascii="Times New Roman" w:hAnsi="Times New Roman" w:eastAsia="Times New Roman"/>
                <w:b w:val="0"/>
                <w:sz w:val="13"/>
              </w:rPr>
              <w:t>11120</w:t>
            </w:r>
          </w:p>
        </w:tc>
        <w:tc>
          <w:tcPr>
            <w:tcW w:type="dxa" w:w="3168"/>
            <w:vAlign w:val="top"/>
          </w:tcPr>
          <w:p>
            <w:pPr>
              <w:spacing w:after="0" w:line="240" w:lineRule="auto"/>
            </w:pPr>
            <w:r/>
            <w:r>
              <w:rPr>
                <w:rFonts w:ascii="Times New Roman" w:hAnsi="Times New Roman" w:eastAsia="Times New Roman"/>
                <w:b w:val="0"/>
                <w:sz w:val="13"/>
              </w:rPr>
              <w:t>Tax on income of entity</w:t>
            </w:r>
          </w:p>
        </w:tc>
        <w:tc>
          <w:tcPr>
            <w:tcW w:type="dxa" w:w="5472"/>
            <w:vAlign w:val="top"/>
          </w:tcPr>
          <w:p>
            <w:pPr>
              <w:spacing w:after="0" w:line="240" w:lineRule="auto"/>
            </w:pPr>
            <w:r/>
            <w:r>
              <w:rPr>
                <w:rFonts w:ascii="Times New Roman" w:hAnsi="Times New Roman" w:eastAsia="Times New Roman"/>
                <w:b w:val="0"/>
                <w:sz w:val="13"/>
              </w:rPr>
              <w:t>Tax on income of business entities and institutions; amount is not deposited directly under this umbrella heading.</w:t>
            </w:r>
          </w:p>
        </w:tc>
      </w:tr>
      <w:tr>
        <w:tc>
          <w:tcPr>
            <w:tcW w:type="dxa" w:w="648"/>
            <w:vAlign w:val="top"/>
          </w:tcPr>
          <w:p>
            <w:pPr>
              <w:spacing w:after="0" w:line="240" w:lineRule="auto"/>
            </w:pPr>
            <w:r/>
            <w:r>
              <w:rPr>
                <w:rFonts w:ascii="Times New Roman" w:hAnsi="Times New Roman" w:eastAsia="Times New Roman"/>
                <w:b w:val="0"/>
                <w:sz w:val="13"/>
              </w:rPr>
              <w:t>7</w:t>
            </w:r>
          </w:p>
        </w:tc>
        <w:tc>
          <w:tcPr>
            <w:tcW w:type="dxa" w:w="1296"/>
            <w:vAlign w:val="top"/>
          </w:tcPr>
          <w:p>
            <w:pPr>
              <w:spacing w:after="0" w:line="240" w:lineRule="auto"/>
            </w:pPr>
            <w:r/>
            <w:r>
              <w:rPr>
                <w:rFonts w:ascii="Times New Roman" w:hAnsi="Times New Roman" w:eastAsia="Times New Roman"/>
                <w:b w:val="0"/>
                <w:sz w:val="13"/>
              </w:rPr>
              <w:t>11121</w:t>
            </w:r>
          </w:p>
        </w:tc>
        <w:tc>
          <w:tcPr>
            <w:tcW w:type="dxa" w:w="3168"/>
            <w:vAlign w:val="top"/>
          </w:tcPr>
          <w:p>
            <w:pPr>
              <w:spacing w:after="0" w:line="240" w:lineRule="auto"/>
            </w:pPr>
            <w:r/>
            <w:r>
              <w:rPr>
                <w:rFonts w:ascii="Times New Roman" w:hAnsi="Times New Roman" w:eastAsia="Times New Roman"/>
                <w:b w:val="0"/>
                <w:sz w:val="13"/>
              </w:rPr>
              <w:t>Tax on profit of entity - Government enterprise</w:t>
            </w:r>
          </w:p>
        </w:tc>
        <w:tc>
          <w:tcPr>
            <w:tcW w:type="dxa" w:w="5472"/>
            <w:vAlign w:val="top"/>
          </w:tcPr>
          <w:p>
            <w:pPr>
              <w:spacing w:after="0" w:line="240" w:lineRule="auto"/>
            </w:pPr>
            <w:r/>
            <w:r>
              <w:rPr>
                <w:rFonts w:ascii="Times New Roman" w:hAnsi="Times New Roman" w:eastAsia="Times New Roman"/>
                <w:b w:val="0"/>
                <w:sz w:val="13"/>
              </w:rPr>
              <w:t>Tax on income of government entities or entities owned or controlled by Government by more than fifty per cent.</w:t>
            </w:r>
          </w:p>
        </w:tc>
      </w:tr>
      <w:tr>
        <w:tc>
          <w:tcPr>
            <w:tcW w:type="dxa" w:w="648"/>
            <w:vAlign w:val="top"/>
          </w:tcPr>
          <w:p>
            <w:pPr>
              <w:spacing w:after="0" w:line="240" w:lineRule="auto"/>
            </w:pPr>
            <w:r/>
            <w:r>
              <w:rPr>
                <w:rFonts w:ascii="Times New Roman" w:hAnsi="Times New Roman" w:eastAsia="Times New Roman"/>
                <w:b w:val="0"/>
                <w:sz w:val="13"/>
              </w:rPr>
              <w:t>8</w:t>
            </w:r>
          </w:p>
        </w:tc>
        <w:tc>
          <w:tcPr>
            <w:tcW w:type="dxa" w:w="1296"/>
            <w:vAlign w:val="top"/>
          </w:tcPr>
          <w:p>
            <w:pPr>
              <w:spacing w:after="0" w:line="240" w:lineRule="auto"/>
            </w:pPr>
            <w:r/>
            <w:r>
              <w:rPr>
                <w:rFonts w:ascii="Times New Roman" w:hAnsi="Times New Roman" w:eastAsia="Times New Roman"/>
                <w:b w:val="0"/>
                <w:sz w:val="13"/>
              </w:rPr>
              <w:t>11122</w:t>
            </w:r>
          </w:p>
        </w:tc>
        <w:tc>
          <w:tcPr>
            <w:tcW w:type="dxa" w:w="3168"/>
            <w:vAlign w:val="top"/>
          </w:tcPr>
          <w:p>
            <w:pPr>
              <w:spacing w:after="0" w:line="240" w:lineRule="auto"/>
            </w:pPr>
            <w:r/>
            <w:r>
              <w:rPr>
                <w:rFonts w:ascii="Times New Roman" w:hAnsi="Times New Roman" w:eastAsia="Times New Roman"/>
                <w:b w:val="0"/>
                <w:sz w:val="13"/>
              </w:rPr>
              <w:t>Tax on profit of entity - public limited company</w:t>
            </w:r>
          </w:p>
        </w:tc>
        <w:tc>
          <w:tcPr>
            <w:tcW w:type="dxa" w:w="5472"/>
            <w:vAlign w:val="top"/>
          </w:tcPr>
          <w:p>
            <w:pPr>
              <w:spacing w:after="0" w:line="240" w:lineRule="auto"/>
            </w:pPr>
            <w:r/>
            <w:r>
              <w:rPr>
                <w:rFonts w:ascii="Times New Roman" w:hAnsi="Times New Roman" w:eastAsia="Times New Roman"/>
                <w:b w:val="0"/>
                <w:sz w:val="13"/>
              </w:rPr>
              <w:t>Tax on income of public limited companies and companies in which Government ownership is below fifty per cent.</w:t>
            </w:r>
          </w:p>
        </w:tc>
      </w:tr>
      <w:tr>
        <w:tc>
          <w:tcPr>
            <w:tcW w:type="dxa" w:w="648"/>
            <w:vAlign w:val="top"/>
          </w:tcPr>
          <w:p>
            <w:pPr>
              <w:spacing w:after="0" w:line="240" w:lineRule="auto"/>
            </w:pPr>
            <w:r/>
            <w:r>
              <w:rPr>
                <w:rFonts w:ascii="Times New Roman" w:hAnsi="Times New Roman" w:eastAsia="Times New Roman"/>
                <w:b w:val="0"/>
                <w:sz w:val="13"/>
              </w:rPr>
              <w:t>9</w:t>
            </w:r>
          </w:p>
        </w:tc>
        <w:tc>
          <w:tcPr>
            <w:tcW w:type="dxa" w:w="1296"/>
            <w:vAlign w:val="top"/>
          </w:tcPr>
          <w:p>
            <w:pPr>
              <w:spacing w:after="0" w:line="240" w:lineRule="auto"/>
            </w:pPr>
            <w:r/>
            <w:r>
              <w:rPr>
                <w:rFonts w:ascii="Times New Roman" w:hAnsi="Times New Roman" w:eastAsia="Times New Roman"/>
                <w:b w:val="0"/>
                <w:sz w:val="13"/>
              </w:rPr>
              <w:t>11123</w:t>
            </w:r>
          </w:p>
        </w:tc>
        <w:tc>
          <w:tcPr>
            <w:tcW w:type="dxa" w:w="3168"/>
            <w:vAlign w:val="top"/>
          </w:tcPr>
          <w:p>
            <w:pPr>
              <w:spacing w:after="0" w:line="240" w:lineRule="auto"/>
            </w:pPr>
            <w:r/>
            <w:r>
              <w:rPr>
                <w:rFonts w:ascii="Times New Roman" w:hAnsi="Times New Roman" w:eastAsia="Times New Roman"/>
                <w:b w:val="0"/>
                <w:sz w:val="13"/>
              </w:rPr>
              <w:t>Tax on profit of entity - private limited company</w:t>
            </w:r>
          </w:p>
        </w:tc>
        <w:tc>
          <w:tcPr>
            <w:tcW w:type="dxa" w:w="5472"/>
            <w:vAlign w:val="top"/>
          </w:tcPr>
          <w:p>
            <w:pPr>
              <w:spacing w:after="0" w:line="240" w:lineRule="auto"/>
            </w:pPr>
            <w:r/>
            <w:r>
              <w:rPr>
                <w:rFonts w:ascii="Times New Roman" w:hAnsi="Times New Roman" w:eastAsia="Times New Roman"/>
                <w:b w:val="0"/>
                <w:sz w:val="13"/>
              </w:rPr>
              <w:t>Tax on income of private limited companies and companies treated as companies under income tax law.</w:t>
            </w:r>
          </w:p>
        </w:tc>
      </w:tr>
      <w:tr>
        <w:tc>
          <w:tcPr>
            <w:tcW w:type="dxa" w:w="648"/>
            <w:vAlign w:val="top"/>
          </w:tcPr>
          <w:p>
            <w:pPr>
              <w:spacing w:after="0" w:line="240" w:lineRule="auto"/>
            </w:pPr>
            <w:r/>
            <w:r>
              <w:rPr>
                <w:rFonts w:ascii="Times New Roman" w:hAnsi="Times New Roman" w:eastAsia="Times New Roman"/>
                <w:b w:val="0"/>
                <w:sz w:val="13"/>
              </w:rPr>
              <w:t>10</w:t>
            </w:r>
          </w:p>
        </w:tc>
        <w:tc>
          <w:tcPr>
            <w:tcW w:type="dxa" w:w="1296"/>
            <w:vAlign w:val="top"/>
          </w:tcPr>
          <w:p>
            <w:pPr>
              <w:spacing w:after="0" w:line="240" w:lineRule="auto"/>
            </w:pPr>
            <w:r/>
            <w:r>
              <w:rPr>
                <w:rFonts w:ascii="Times New Roman" w:hAnsi="Times New Roman" w:eastAsia="Times New Roman"/>
                <w:b w:val="0"/>
                <w:sz w:val="13"/>
              </w:rPr>
              <w:t>11124</w:t>
            </w:r>
          </w:p>
        </w:tc>
        <w:tc>
          <w:tcPr>
            <w:tcW w:type="dxa" w:w="3168"/>
            <w:vAlign w:val="top"/>
          </w:tcPr>
          <w:p>
            <w:pPr>
              <w:spacing w:after="0" w:line="240" w:lineRule="auto"/>
            </w:pPr>
            <w:r/>
            <w:r>
              <w:rPr>
                <w:rFonts w:ascii="Times New Roman" w:hAnsi="Times New Roman" w:eastAsia="Times New Roman"/>
                <w:b w:val="0"/>
                <w:sz w:val="13"/>
              </w:rPr>
              <w:t>Tax on profit of entity - other institution</w:t>
            </w:r>
          </w:p>
        </w:tc>
        <w:tc>
          <w:tcPr>
            <w:tcW w:type="dxa" w:w="5472"/>
            <w:vAlign w:val="top"/>
          </w:tcPr>
          <w:p>
            <w:pPr>
              <w:spacing w:after="0" w:line="240" w:lineRule="auto"/>
            </w:pPr>
            <w:r/>
            <w:r>
              <w:rPr>
                <w:rFonts w:ascii="Times New Roman" w:hAnsi="Times New Roman" w:eastAsia="Times New Roman"/>
                <w:b w:val="0"/>
                <w:sz w:val="13"/>
              </w:rPr>
              <w:t>Tax on income of partnerships, cooperatives, trusts, unit trusts, associations, foreign companies and other entities not falling under 11121 to 11123.</w:t>
            </w:r>
          </w:p>
        </w:tc>
      </w:tr>
      <w:tr>
        <w:tc>
          <w:tcPr>
            <w:tcW w:type="dxa" w:w="648"/>
            <w:vAlign w:val="top"/>
          </w:tcPr>
          <w:p>
            <w:pPr>
              <w:spacing w:after="0" w:line="240" w:lineRule="auto"/>
            </w:pPr>
            <w:r/>
            <w:r>
              <w:rPr>
                <w:rFonts w:ascii="Times New Roman" w:hAnsi="Times New Roman" w:eastAsia="Times New Roman"/>
                <w:b w:val="0"/>
                <w:sz w:val="13"/>
              </w:rPr>
              <w:t>11</w:t>
            </w:r>
          </w:p>
        </w:tc>
        <w:tc>
          <w:tcPr>
            <w:tcW w:type="dxa" w:w="1296"/>
            <w:vAlign w:val="top"/>
          </w:tcPr>
          <w:p>
            <w:pPr>
              <w:spacing w:after="0" w:line="240" w:lineRule="auto"/>
            </w:pPr>
            <w:r/>
            <w:r>
              <w:rPr>
                <w:rFonts w:ascii="Times New Roman" w:hAnsi="Times New Roman" w:eastAsia="Times New Roman"/>
                <w:b w:val="0"/>
                <w:sz w:val="13"/>
              </w:rPr>
              <w:t>11125</w:t>
            </w:r>
          </w:p>
        </w:tc>
        <w:tc>
          <w:tcPr>
            <w:tcW w:type="dxa" w:w="3168"/>
            <w:vAlign w:val="top"/>
          </w:tcPr>
          <w:p>
            <w:pPr>
              <w:spacing w:after="0" w:line="240" w:lineRule="auto"/>
            </w:pPr>
            <w:r/>
            <w:r>
              <w:rPr>
                <w:rFonts w:ascii="Times New Roman" w:hAnsi="Times New Roman" w:eastAsia="Times New Roman"/>
                <w:b w:val="0"/>
                <w:sz w:val="13"/>
              </w:rPr>
              <w:t>Capital gains tax - entity</w:t>
            </w:r>
          </w:p>
        </w:tc>
        <w:tc>
          <w:tcPr>
            <w:tcW w:type="dxa" w:w="5472"/>
            <w:vAlign w:val="top"/>
          </w:tcPr>
          <w:p>
            <w:pPr>
              <w:spacing w:after="0" w:line="240" w:lineRule="auto"/>
            </w:pPr>
            <w:r/>
            <w:r>
              <w:rPr>
                <w:rFonts w:ascii="Times New Roman" w:hAnsi="Times New Roman" w:eastAsia="Times New Roman"/>
                <w:b w:val="0"/>
                <w:sz w:val="13"/>
              </w:rPr>
              <w:t>Capital gains tax on entities from disposal of house, land, shares and other assets.</w:t>
            </w:r>
          </w:p>
        </w:tc>
      </w:tr>
      <w:tr>
        <w:tc>
          <w:tcPr>
            <w:tcW w:type="dxa" w:w="648"/>
            <w:vAlign w:val="top"/>
          </w:tcPr>
          <w:p>
            <w:pPr>
              <w:spacing w:after="0" w:line="240" w:lineRule="auto"/>
            </w:pPr>
            <w:r/>
            <w:r>
              <w:rPr>
                <w:rFonts w:ascii="Times New Roman" w:hAnsi="Times New Roman" w:eastAsia="Times New Roman"/>
                <w:b w:val="0"/>
                <w:sz w:val="13"/>
              </w:rPr>
              <w:t>12</w:t>
            </w:r>
          </w:p>
        </w:tc>
        <w:tc>
          <w:tcPr>
            <w:tcW w:type="dxa" w:w="1296"/>
            <w:vAlign w:val="top"/>
          </w:tcPr>
          <w:p>
            <w:pPr>
              <w:spacing w:after="0" w:line="240" w:lineRule="auto"/>
            </w:pPr>
            <w:r/>
            <w:r>
              <w:rPr>
                <w:rFonts w:ascii="Times New Roman" w:hAnsi="Times New Roman" w:eastAsia="Times New Roman"/>
                <w:b w:val="0"/>
                <w:sz w:val="13"/>
              </w:rPr>
              <w:t>11126</w:t>
            </w:r>
          </w:p>
        </w:tc>
        <w:tc>
          <w:tcPr>
            <w:tcW w:type="dxa" w:w="3168"/>
            <w:vAlign w:val="top"/>
          </w:tcPr>
          <w:p>
            <w:pPr>
              <w:spacing w:after="0" w:line="240" w:lineRule="auto"/>
            </w:pPr>
            <w:r/>
            <w:r>
              <w:rPr>
                <w:rFonts w:ascii="Times New Roman" w:hAnsi="Times New Roman" w:eastAsia="Times New Roman"/>
                <w:b w:val="0"/>
                <w:sz w:val="13"/>
              </w:rPr>
              <w:t>Windfall gain tax - entity</w:t>
            </w:r>
          </w:p>
        </w:tc>
        <w:tc>
          <w:tcPr>
            <w:tcW w:type="dxa" w:w="5472"/>
            <w:vAlign w:val="top"/>
          </w:tcPr>
          <w:p>
            <w:pPr>
              <w:spacing w:after="0" w:line="240" w:lineRule="auto"/>
            </w:pPr>
            <w:r/>
            <w:r>
              <w:rPr>
                <w:rFonts w:ascii="Times New Roman" w:hAnsi="Times New Roman" w:eastAsia="Times New Roman"/>
                <w:b w:val="0"/>
                <w:sz w:val="13"/>
              </w:rPr>
              <w:t>Tax on windfall income of an entity from lottery, gifts, donation, inheritance, prizes and similar sources.</w:t>
            </w:r>
          </w:p>
        </w:tc>
      </w:tr>
      <w:tr>
        <w:tc>
          <w:tcPr>
            <w:tcW w:type="dxa" w:w="648"/>
            <w:vAlign w:val="top"/>
          </w:tcPr>
          <w:p>
            <w:pPr>
              <w:spacing w:after="0" w:line="240" w:lineRule="auto"/>
            </w:pPr>
            <w:r/>
            <w:r>
              <w:rPr>
                <w:rFonts w:ascii="Times New Roman" w:hAnsi="Times New Roman" w:eastAsia="Times New Roman"/>
                <w:b w:val="0"/>
                <w:sz w:val="13"/>
              </w:rPr>
              <w:t>13</w:t>
            </w:r>
          </w:p>
        </w:tc>
        <w:tc>
          <w:tcPr>
            <w:tcW w:type="dxa" w:w="1296"/>
            <w:vAlign w:val="top"/>
          </w:tcPr>
          <w:p>
            <w:pPr>
              <w:spacing w:after="0" w:line="240" w:lineRule="auto"/>
            </w:pPr>
            <w:r/>
            <w:r>
              <w:rPr>
                <w:rFonts w:ascii="Times New Roman" w:hAnsi="Times New Roman" w:eastAsia="Times New Roman"/>
                <w:b w:val="0"/>
                <w:sz w:val="13"/>
              </w:rPr>
              <w:t>11129</w:t>
            </w:r>
          </w:p>
        </w:tc>
        <w:tc>
          <w:tcPr>
            <w:tcW w:type="dxa" w:w="3168"/>
            <w:vAlign w:val="top"/>
          </w:tcPr>
          <w:p>
            <w:pPr>
              <w:spacing w:after="0" w:line="240" w:lineRule="auto"/>
            </w:pPr>
            <w:r/>
            <w:r>
              <w:rPr>
                <w:rFonts w:ascii="Times New Roman" w:hAnsi="Times New Roman" w:eastAsia="Times New Roman"/>
                <w:b w:val="0"/>
                <w:sz w:val="13"/>
              </w:rPr>
              <w:t>Other taxes on income of entity</w:t>
            </w:r>
          </w:p>
        </w:tc>
        <w:tc>
          <w:tcPr>
            <w:tcW w:type="dxa" w:w="5472"/>
            <w:vAlign w:val="top"/>
          </w:tcPr>
          <w:p>
            <w:pPr>
              <w:spacing w:after="0" w:line="240" w:lineRule="auto"/>
            </w:pPr>
            <w:r/>
            <w:r>
              <w:rPr>
                <w:rFonts w:ascii="Times New Roman" w:hAnsi="Times New Roman" w:eastAsia="Times New Roman"/>
                <w:b w:val="0"/>
                <w:sz w:val="13"/>
              </w:rPr>
              <w:t>Other entity income taxes not falling in the headings above.</w:t>
            </w:r>
          </w:p>
        </w:tc>
      </w:tr>
      <w:tr>
        <w:tc>
          <w:tcPr>
            <w:tcW w:type="dxa" w:w="648"/>
            <w:vAlign w:val="top"/>
          </w:tcPr>
          <w:p>
            <w:pPr>
              <w:spacing w:after="0" w:line="240" w:lineRule="auto"/>
            </w:pPr>
            <w:r/>
            <w:r>
              <w:rPr>
                <w:rFonts w:ascii="Times New Roman" w:hAnsi="Times New Roman" w:eastAsia="Times New Roman"/>
                <w:b w:val="0"/>
                <w:sz w:val="13"/>
              </w:rPr>
              <w:t>14</w:t>
            </w:r>
          </w:p>
        </w:tc>
        <w:tc>
          <w:tcPr>
            <w:tcW w:type="dxa" w:w="1296"/>
            <w:vAlign w:val="top"/>
          </w:tcPr>
          <w:p>
            <w:pPr>
              <w:spacing w:after="0" w:line="240" w:lineRule="auto"/>
            </w:pPr>
            <w:r/>
            <w:r>
              <w:rPr>
                <w:rFonts w:ascii="Times New Roman" w:hAnsi="Times New Roman" w:eastAsia="Times New Roman"/>
                <w:b w:val="0"/>
                <w:sz w:val="13"/>
              </w:rPr>
              <w:t>11130</w:t>
            </w:r>
          </w:p>
        </w:tc>
        <w:tc>
          <w:tcPr>
            <w:tcW w:type="dxa" w:w="3168"/>
            <w:vAlign w:val="top"/>
          </w:tcPr>
          <w:p>
            <w:pPr>
              <w:spacing w:after="0" w:line="240" w:lineRule="auto"/>
            </w:pPr>
            <w:r/>
            <w:r>
              <w:rPr>
                <w:rFonts w:ascii="Times New Roman" w:hAnsi="Times New Roman" w:eastAsia="Times New Roman"/>
                <w:b w:val="0"/>
                <w:sz w:val="13"/>
              </w:rPr>
              <w:t>Tax on investment income and other income</w:t>
            </w:r>
          </w:p>
        </w:tc>
        <w:tc>
          <w:tcPr>
            <w:tcW w:type="dxa" w:w="5472"/>
            <w:vAlign w:val="top"/>
          </w:tcPr>
          <w:p>
            <w:pPr>
              <w:spacing w:after="0" w:line="240" w:lineRule="auto"/>
            </w:pPr>
            <w:r/>
            <w:r>
              <w:rPr>
                <w:rFonts w:ascii="Times New Roman" w:hAnsi="Times New Roman" w:eastAsia="Times New Roman"/>
                <w:b w:val="0"/>
                <w:sz w:val="13"/>
              </w:rPr>
              <w:t>Umbrella heading for taxes on property, rent, lease, interest, dividend and other investment income not covered by earlier headings; amount is not deposited directly under this heading.</w:t>
            </w:r>
          </w:p>
        </w:tc>
      </w:tr>
      <w:tr>
        <w:tc>
          <w:tcPr>
            <w:tcW w:type="dxa" w:w="648"/>
            <w:vAlign w:val="top"/>
          </w:tcPr>
          <w:p>
            <w:pPr>
              <w:spacing w:after="0" w:line="240" w:lineRule="auto"/>
            </w:pPr>
            <w:r/>
            <w:r>
              <w:rPr>
                <w:rFonts w:ascii="Times New Roman" w:hAnsi="Times New Roman" w:eastAsia="Times New Roman"/>
                <w:b w:val="0"/>
                <w:sz w:val="13"/>
              </w:rPr>
              <w:t>15</w:t>
            </w:r>
          </w:p>
        </w:tc>
        <w:tc>
          <w:tcPr>
            <w:tcW w:type="dxa" w:w="1296"/>
            <w:vAlign w:val="top"/>
          </w:tcPr>
          <w:p>
            <w:pPr>
              <w:spacing w:after="0" w:line="240" w:lineRule="auto"/>
            </w:pPr>
            <w:r/>
            <w:r>
              <w:rPr>
                <w:rFonts w:ascii="Times New Roman" w:hAnsi="Times New Roman" w:eastAsia="Times New Roman"/>
                <w:b w:val="0"/>
                <w:sz w:val="13"/>
              </w:rPr>
              <w:t>11131</w:t>
            </w:r>
          </w:p>
        </w:tc>
        <w:tc>
          <w:tcPr>
            <w:tcW w:type="dxa" w:w="3168"/>
            <w:vAlign w:val="top"/>
          </w:tcPr>
          <w:p>
            <w:pPr>
              <w:spacing w:after="0" w:line="240" w:lineRule="auto"/>
            </w:pPr>
            <w:r/>
            <w:r>
              <w:rPr>
                <w:rFonts w:ascii="Times New Roman" w:hAnsi="Times New Roman" w:eastAsia="Times New Roman"/>
                <w:b w:val="0"/>
                <w:sz w:val="13"/>
              </w:rPr>
              <w:t>Tax on income from property, rent and lease</w:t>
            </w:r>
          </w:p>
        </w:tc>
        <w:tc>
          <w:tcPr>
            <w:tcW w:type="dxa" w:w="5472"/>
            <w:vAlign w:val="top"/>
          </w:tcPr>
          <w:p>
            <w:pPr>
              <w:spacing w:after="0" w:line="240" w:lineRule="auto"/>
            </w:pPr>
            <w:r/>
            <w:r>
              <w:rPr>
                <w:rFonts w:ascii="Times New Roman" w:hAnsi="Times New Roman" w:eastAsia="Times New Roman"/>
                <w:b w:val="0"/>
                <w:sz w:val="13"/>
              </w:rPr>
              <w:t>Tax on income from house/land rent, vehicle rent and lease of movable or immovable property or long-term contract.</w:t>
            </w:r>
          </w:p>
        </w:tc>
      </w:tr>
      <w:tr>
        <w:tc>
          <w:tcPr>
            <w:tcW w:type="dxa" w:w="648"/>
            <w:vAlign w:val="top"/>
          </w:tcPr>
          <w:p>
            <w:pPr>
              <w:spacing w:after="0" w:line="240" w:lineRule="auto"/>
            </w:pPr>
            <w:r/>
            <w:r>
              <w:rPr>
                <w:rFonts w:ascii="Times New Roman" w:hAnsi="Times New Roman" w:eastAsia="Times New Roman"/>
                <w:b w:val="0"/>
                <w:sz w:val="13"/>
              </w:rPr>
              <w:t>16</w:t>
            </w:r>
          </w:p>
        </w:tc>
        <w:tc>
          <w:tcPr>
            <w:tcW w:type="dxa" w:w="1296"/>
            <w:vAlign w:val="top"/>
          </w:tcPr>
          <w:p>
            <w:pPr>
              <w:spacing w:after="0" w:line="240" w:lineRule="auto"/>
            </w:pPr>
            <w:r/>
            <w:r>
              <w:rPr>
                <w:rFonts w:ascii="Times New Roman" w:hAnsi="Times New Roman" w:eastAsia="Times New Roman"/>
                <w:b w:val="0"/>
                <w:sz w:val="13"/>
              </w:rPr>
              <w:t>11132</w:t>
            </w:r>
          </w:p>
        </w:tc>
        <w:tc>
          <w:tcPr>
            <w:tcW w:type="dxa" w:w="3168"/>
            <w:vAlign w:val="top"/>
          </w:tcPr>
          <w:p>
            <w:pPr>
              <w:spacing w:after="0" w:line="240" w:lineRule="auto"/>
            </w:pPr>
            <w:r/>
            <w:r>
              <w:rPr>
                <w:rFonts w:ascii="Times New Roman" w:hAnsi="Times New Roman" w:eastAsia="Times New Roman"/>
                <w:b w:val="0"/>
                <w:sz w:val="13"/>
              </w:rPr>
              <w:t>Tax on interest</w:t>
            </w:r>
          </w:p>
        </w:tc>
        <w:tc>
          <w:tcPr>
            <w:tcW w:type="dxa" w:w="5472"/>
            <w:vAlign w:val="top"/>
          </w:tcPr>
          <w:p>
            <w:pPr>
              <w:spacing w:after="0" w:line="240" w:lineRule="auto"/>
            </w:pPr>
            <w:r/>
            <w:r>
              <w:rPr>
                <w:rFonts w:ascii="Times New Roman" w:hAnsi="Times New Roman" w:eastAsia="Times New Roman"/>
                <w:b w:val="0"/>
                <w:sz w:val="13"/>
              </w:rPr>
              <w:t>Tax on interest paid or received from banks, finance companies, entities or persons.</w:t>
            </w:r>
          </w:p>
        </w:tc>
      </w:tr>
      <w:tr>
        <w:tc>
          <w:tcPr>
            <w:tcW w:type="dxa" w:w="648"/>
            <w:vAlign w:val="top"/>
          </w:tcPr>
          <w:p>
            <w:pPr>
              <w:spacing w:after="0" w:line="240" w:lineRule="auto"/>
            </w:pPr>
            <w:r/>
            <w:r>
              <w:rPr>
                <w:rFonts w:ascii="Times New Roman" w:hAnsi="Times New Roman" w:eastAsia="Times New Roman"/>
                <w:b w:val="0"/>
                <w:sz w:val="13"/>
              </w:rPr>
              <w:t>17</w:t>
            </w:r>
          </w:p>
        </w:tc>
        <w:tc>
          <w:tcPr>
            <w:tcW w:type="dxa" w:w="1296"/>
            <w:vAlign w:val="top"/>
          </w:tcPr>
          <w:p>
            <w:pPr>
              <w:spacing w:after="0" w:line="240" w:lineRule="auto"/>
            </w:pPr>
            <w:r/>
            <w:r>
              <w:rPr>
                <w:rFonts w:ascii="Times New Roman" w:hAnsi="Times New Roman" w:eastAsia="Times New Roman"/>
                <w:b w:val="0"/>
                <w:sz w:val="13"/>
              </w:rPr>
              <w:t>11133</w:t>
            </w:r>
          </w:p>
        </w:tc>
        <w:tc>
          <w:tcPr>
            <w:tcW w:type="dxa" w:w="3168"/>
            <w:vAlign w:val="top"/>
          </w:tcPr>
          <w:p>
            <w:pPr>
              <w:spacing w:after="0" w:line="240" w:lineRule="auto"/>
            </w:pPr>
            <w:r/>
            <w:r>
              <w:rPr>
                <w:rFonts w:ascii="Times New Roman" w:hAnsi="Times New Roman" w:eastAsia="Times New Roman"/>
                <w:b w:val="0"/>
                <w:sz w:val="13"/>
              </w:rPr>
              <w:t>Tax on dividend</w:t>
            </w:r>
          </w:p>
        </w:tc>
        <w:tc>
          <w:tcPr>
            <w:tcW w:type="dxa" w:w="5472"/>
            <w:vAlign w:val="top"/>
          </w:tcPr>
          <w:p>
            <w:pPr>
              <w:spacing w:after="0" w:line="240" w:lineRule="auto"/>
            </w:pPr>
            <w:r/>
            <w:r>
              <w:rPr>
                <w:rFonts w:ascii="Times New Roman" w:hAnsi="Times New Roman" w:eastAsia="Times New Roman"/>
                <w:b w:val="0"/>
                <w:sz w:val="13"/>
              </w:rPr>
              <w:t>Tax on dividends received from investment in a company or entity.</w:t>
            </w:r>
          </w:p>
        </w:tc>
      </w:tr>
      <w:tr>
        <w:tc>
          <w:tcPr>
            <w:tcW w:type="dxa" w:w="648"/>
            <w:vAlign w:val="top"/>
          </w:tcPr>
          <w:p>
            <w:pPr>
              <w:spacing w:after="0" w:line="240" w:lineRule="auto"/>
            </w:pPr>
            <w:r/>
            <w:r>
              <w:rPr>
                <w:rFonts w:ascii="Times New Roman" w:hAnsi="Times New Roman" w:eastAsia="Times New Roman"/>
                <w:b w:val="0"/>
                <w:sz w:val="13"/>
              </w:rPr>
              <w:t>18</w:t>
            </w:r>
          </w:p>
        </w:tc>
        <w:tc>
          <w:tcPr>
            <w:tcW w:type="dxa" w:w="1296"/>
            <w:vAlign w:val="top"/>
          </w:tcPr>
          <w:p>
            <w:pPr>
              <w:spacing w:after="0" w:line="240" w:lineRule="auto"/>
            </w:pPr>
            <w:r/>
            <w:r>
              <w:rPr>
                <w:rFonts w:ascii="Times New Roman" w:hAnsi="Times New Roman" w:eastAsia="Times New Roman"/>
                <w:b w:val="0"/>
                <w:sz w:val="13"/>
              </w:rPr>
              <w:t>11134</w:t>
            </w:r>
          </w:p>
        </w:tc>
        <w:tc>
          <w:tcPr>
            <w:tcW w:type="dxa" w:w="3168"/>
            <w:vAlign w:val="top"/>
          </w:tcPr>
          <w:p>
            <w:pPr>
              <w:spacing w:after="0" w:line="240" w:lineRule="auto"/>
            </w:pPr>
            <w:r/>
            <w:r>
              <w:rPr>
                <w:rFonts w:ascii="Times New Roman" w:hAnsi="Times New Roman" w:eastAsia="Times New Roman"/>
                <w:b w:val="0"/>
                <w:sz w:val="13"/>
              </w:rPr>
              <w:t>Tax on other investment income</w:t>
            </w:r>
          </w:p>
        </w:tc>
        <w:tc>
          <w:tcPr>
            <w:tcW w:type="dxa" w:w="5472"/>
            <w:vAlign w:val="top"/>
          </w:tcPr>
          <w:p>
            <w:pPr>
              <w:spacing w:after="0" w:line="240" w:lineRule="auto"/>
            </w:pPr>
            <w:r/>
            <w:r>
              <w:rPr>
                <w:rFonts w:ascii="Times New Roman" w:hAnsi="Times New Roman" w:eastAsia="Times New Roman"/>
                <w:b w:val="0"/>
                <w:sz w:val="13"/>
              </w:rPr>
              <w:t>Tax on other investment-related income.</w:t>
            </w:r>
          </w:p>
        </w:tc>
      </w:tr>
      <w:tr>
        <w:tc>
          <w:tcPr>
            <w:tcW w:type="dxa" w:w="648"/>
            <w:vAlign w:val="top"/>
          </w:tcPr>
          <w:p>
            <w:pPr>
              <w:spacing w:after="0" w:line="240" w:lineRule="auto"/>
            </w:pPr>
            <w:r/>
            <w:r>
              <w:rPr>
                <w:rFonts w:ascii="Times New Roman" w:hAnsi="Times New Roman" w:eastAsia="Times New Roman"/>
                <w:b w:val="0"/>
                <w:sz w:val="13"/>
              </w:rPr>
              <w:t>19</w:t>
            </w:r>
          </w:p>
        </w:tc>
        <w:tc>
          <w:tcPr>
            <w:tcW w:type="dxa" w:w="1296"/>
            <w:vAlign w:val="top"/>
          </w:tcPr>
          <w:p>
            <w:pPr>
              <w:spacing w:after="0" w:line="240" w:lineRule="auto"/>
            </w:pPr>
            <w:r/>
            <w:r>
              <w:rPr>
                <w:rFonts w:ascii="Times New Roman" w:hAnsi="Times New Roman" w:eastAsia="Times New Roman"/>
                <w:b w:val="0"/>
                <w:sz w:val="13"/>
              </w:rPr>
              <w:t>11135</w:t>
            </w:r>
          </w:p>
        </w:tc>
        <w:tc>
          <w:tcPr>
            <w:tcW w:type="dxa" w:w="3168"/>
            <w:vAlign w:val="top"/>
          </w:tcPr>
          <w:p>
            <w:pPr>
              <w:spacing w:after="0" w:line="240" w:lineRule="auto"/>
            </w:pPr>
            <w:r/>
            <w:r>
              <w:rPr>
                <w:rFonts w:ascii="Times New Roman" w:hAnsi="Times New Roman" w:eastAsia="Times New Roman"/>
                <w:b w:val="0"/>
                <w:sz w:val="13"/>
              </w:rPr>
              <w:t>Deleted</w:t>
            </w:r>
          </w:p>
        </w:tc>
        <w:tc>
          <w:tcPr>
            <w:tcW w:type="dxa" w:w="5472"/>
            <w:vAlign w:val="top"/>
          </w:tcPr>
          <w:p>
            <w:pPr>
              <w:spacing w:after="0" w:line="240" w:lineRule="auto"/>
            </w:pPr>
            <w:r/>
            <w:r>
              <w:rPr>
                <w:rFonts w:ascii="Times New Roman" w:hAnsi="Times New Roman" w:eastAsia="Times New Roman"/>
                <w:b w:val="0"/>
                <w:sz w:val="13"/>
              </w:rPr>
              <w:t>Moved to headings 11115 and 11126.</w:t>
            </w:r>
          </w:p>
        </w:tc>
      </w:tr>
      <w:tr>
        <w:tc>
          <w:tcPr>
            <w:tcW w:type="dxa" w:w="648"/>
            <w:vAlign w:val="top"/>
          </w:tcPr>
          <w:p>
            <w:pPr>
              <w:spacing w:after="0" w:line="240" w:lineRule="auto"/>
            </w:pPr>
            <w:r/>
            <w:r>
              <w:rPr>
                <w:rFonts w:ascii="Times New Roman" w:hAnsi="Times New Roman" w:eastAsia="Times New Roman"/>
                <w:b w:val="0"/>
                <w:sz w:val="13"/>
              </w:rPr>
              <w:t>20</w:t>
            </w:r>
          </w:p>
        </w:tc>
        <w:tc>
          <w:tcPr>
            <w:tcW w:type="dxa" w:w="1296"/>
            <w:vAlign w:val="top"/>
          </w:tcPr>
          <w:p>
            <w:pPr>
              <w:spacing w:after="0" w:line="240" w:lineRule="auto"/>
            </w:pPr>
            <w:r/>
            <w:r>
              <w:rPr>
                <w:rFonts w:ascii="Times New Roman" w:hAnsi="Times New Roman" w:eastAsia="Times New Roman"/>
                <w:b w:val="0"/>
                <w:sz w:val="13"/>
              </w:rPr>
              <w:t>11139</w:t>
            </w:r>
          </w:p>
        </w:tc>
        <w:tc>
          <w:tcPr>
            <w:tcW w:type="dxa" w:w="3168"/>
            <w:vAlign w:val="top"/>
          </w:tcPr>
          <w:p>
            <w:pPr>
              <w:spacing w:after="0" w:line="240" w:lineRule="auto"/>
            </w:pPr>
            <w:r/>
            <w:r>
              <w:rPr>
                <w:rFonts w:ascii="Times New Roman" w:hAnsi="Times New Roman" w:eastAsia="Times New Roman"/>
                <w:b w:val="0"/>
                <w:sz w:val="13"/>
              </w:rPr>
              <w:t>Tax on other income</w:t>
            </w:r>
          </w:p>
        </w:tc>
        <w:tc>
          <w:tcPr>
            <w:tcW w:type="dxa" w:w="5472"/>
            <w:vAlign w:val="top"/>
          </w:tcPr>
          <w:p>
            <w:pPr>
              <w:spacing w:after="0" w:line="240" w:lineRule="auto"/>
            </w:pPr>
            <w:r/>
            <w:r>
              <w:rPr>
                <w:rFonts w:ascii="Times New Roman" w:hAnsi="Times New Roman" w:eastAsia="Times New Roman"/>
                <w:b w:val="0"/>
                <w:sz w:val="13"/>
              </w:rPr>
              <w:t>Tax on other income not falling under the headings above.</w:t>
            </w:r>
          </w:p>
        </w:tc>
      </w:tr>
      <w:tr>
        <w:tc>
          <w:tcPr>
            <w:tcW w:type="dxa" w:w="648"/>
            <w:vAlign w:val="top"/>
          </w:tcPr>
          <w:p>
            <w:pPr>
              <w:spacing w:after="0" w:line="240" w:lineRule="auto"/>
            </w:pPr>
            <w:r/>
            <w:r>
              <w:rPr>
                <w:rFonts w:ascii="Times New Roman" w:hAnsi="Times New Roman" w:eastAsia="Times New Roman"/>
                <w:b w:val="0"/>
                <w:sz w:val="13"/>
              </w:rPr>
              <w:t>21</w:t>
            </w:r>
          </w:p>
        </w:tc>
        <w:tc>
          <w:tcPr>
            <w:tcW w:type="dxa" w:w="1296"/>
            <w:vAlign w:val="top"/>
          </w:tcPr>
          <w:p>
            <w:pPr>
              <w:spacing w:after="0" w:line="240" w:lineRule="auto"/>
            </w:pPr>
            <w:r/>
            <w:r>
              <w:rPr>
                <w:rFonts w:ascii="Times New Roman" w:hAnsi="Times New Roman" w:eastAsia="Times New Roman"/>
                <w:b w:val="0"/>
                <w:sz w:val="13"/>
              </w:rPr>
              <w:t>11211</w:t>
            </w:r>
          </w:p>
        </w:tc>
        <w:tc>
          <w:tcPr>
            <w:tcW w:type="dxa" w:w="3168"/>
            <w:vAlign w:val="top"/>
          </w:tcPr>
          <w:p>
            <w:pPr>
              <w:spacing w:after="0" w:line="240" w:lineRule="auto"/>
            </w:pPr>
            <w:r/>
            <w:r>
              <w:rPr>
                <w:rFonts w:ascii="Times New Roman" w:hAnsi="Times New Roman" w:eastAsia="Times New Roman"/>
                <w:b w:val="0"/>
                <w:sz w:val="13"/>
              </w:rPr>
              <w:t>Social security tax based on remuneration</w:t>
            </w:r>
          </w:p>
        </w:tc>
        <w:tc>
          <w:tcPr>
            <w:tcW w:type="dxa" w:w="5472"/>
            <w:vAlign w:val="top"/>
          </w:tcPr>
          <w:p>
            <w:pPr>
              <w:spacing w:after="0" w:line="240" w:lineRule="auto"/>
            </w:pPr>
            <w:r/>
            <w:r>
              <w:rPr>
                <w:rFonts w:ascii="Times New Roman" w:hAnsi="Times New Roman" w:eastAsia="Times New Roman"/>
                <w:b w:val="0"/>
                <w:sz w:val="13"/>
              </w:rPr>
              <w:t>Social security tax collected on total employment income of a natural person as prescribed.</w:t>
            </w:r>
          </w:p>
        </w:tc>
      </w:tr>
      <w:tr>
        <w:tc>
          <w:tcPr>
            <w:tcW w:type="dxa" w:w="648"/>
            <w:vAlign w:val="top"/>
          </w:tcPr>
          <w:p>
            <w:pPr>
              <w:spacing w:after="0" w:line="240" w:lineRule="auto"/>
            </w:pPr>
            <w:r/>
            <w:r>
              <w:rPr>
                <w:rFonts w:ascii="Times New Roman" w:hAnsi="Times New Roman" w:eastAsia="Times New Roman"/>
                <w:b w:val="0"/>
                <w:sz w:val="13"/>
              </w:rPr>
              <w:t>22</w:t>
            </w:r>
          </w:p>
        </w:tc>
        <w:tc>
          <w:tcPr>
            <w:tcW w:type="dxa" w:w="1296"/>
            <w:vAlign w:val="top"/>
          </w:tcPr>
          <w:p>
            <w:pPr>
              <w:spacing w:after="0" w:line="240" w:lineRule="auto"/>
            </w:pPr>
            <w:r/>
            <w:r>
              <w:rPr>
                <w:rFonts w:ascii="Times New Roman" w:hAnsi="Times New Roman" w:eastAsia="Times New Roman"/>
                <w:b w:val="0"/>
                <w:sz w:val="13"/>
              </w:rPr>
              <w:t>11412</w:t>
            </w:r>
          </w:p>
        </w:tc>
        <w:tc>
          <w:tcPr>
            <w:tcW w:type="dxa" w:w="3168"/>
            <w:vAlign w:val="top"/>
          </w:tcPr>
          <w:p>
            <w:pPr>
              <w:spacing w:after="0" w:line="240" w:lineRule="auto"/>
            </w:pPr>
            <w:r/>
            <w:r>
              <w:rPr>
                <w:rFonts w:ascii="Times New Roman" w:hAnsi="Times New Roman" w:eastAsia="Times New Roman"/>
                <w:b w:val="0"/>
                <w:sz w:val="13"/>
              </w:rPr>
              <w:t>Luxury fee</w:t>
            </w:r>
          </w:p>
        </w:tc>
        <w:tc>
          <w:tcPr>
            <w:tcW w:type="dxa" w:w="5472"/>
            <w:vAlign w:val="top"/>
          </w:tcPr>
          <w:p>
            <w:pPr>
              <w:spacing w:after="0" w:line="240" w:lineRule="auto"/>
            </w:pPr>
            <w:r/>
            <w:r>
              <w:rPr>
                <w:rFonts w:ascii="Times New Roman" w:hAnsi="Times New Roman" w:eastAsia="Times New Roman"/>
                <w:b w:val="0"/>
                <w:sz w:val="13"/>
              </w:rPr>
              <w:t>Fee on services of five-star or higher hotels and luxury resorts, imported liquor, diamond, pearl, stone-set gold and other luxury goods/services above prescribed value.</w:t>
            </w:r>
          </w:p>
        </w:tc>
      </w:tr>
      <w:tr>
        <w:tc>
          <w:tcPr>
            <w:tcW w:type="dxa" w:w="648"/>
            <w:vAlign w:val="top"/>
          </w:tcPr>
          <w:p>
            <w:pPr>
              <w:spacing w:after="0" w:line="240" w:lineRule="auto"/>
            </w:pPr>
            <w:r/>
            <w:r>
              <w:rPr>
                <w:rFonts w:ascii="Times New Roman" w:hAnsi="Times New Roman" w:eastAsia="Times New Roman"/>
                <w:b w:val="0"/>
                <w:sz w:val="13"/>
              </w:rPr>
              <w:t>23</w:t>
            </w:r>
          </w:p>
        </w:tc>
        <w:tc>
          <w:tcPr>
            <w:tcW w:type="dxa" w:w="1296"/>
            <w:vAlign w:val="top"/>
          </w:tcPr>
          <w:p>
            <w:pPr>
              <w:spacing w:after="0" w:line="240" w:lineRule="auto"/>
            </w:pPr>
            <w:r/>
            <w:r>
              <w:rPr>
                <w:rFonts w:ascii="Times New Roman" w:hAnsi="Times New Roman" w:eastAsia="Times New Roman"/>
                <w:b w:val="0"/>
                <w:sz w:val="13"/>
              </w:rPr>
              <w:t>11423</w:t>
            </w:r>
          </w:p>
        </w:tc>
        <w:tc>
          <w:tcPr>
            <w:tcW w:type="dxa" w:w="3168"/>
            <w:vAlign w:val="top"/>
          </w:tcPr>
          <w:p>
            <w:pPr>
              <w:spacing w:after="0" w:line="240" w:lineRule="auto"/>
            </w:pPr>
            <w:r/>
            <w:r>
              <w:rPr>
                <w:rFonts w:ascii="Times New Roman" w:hAnsi="Times New Roman" w:eastAsia="Times New Roman"/>
                <w:b w:val="0"/>
                <w:sz w:val="13"/>
              </w:rPr>
              <w:t>Health risk tax - domestic production</w:t>
            </w:r>
          </w:p>
        </w:tc>
        <w:tc>
          <w:tcPr>
            <w:tcW w:type="dxa" w:w="5472"/>
            <w:vAlign w:val="top"/>
          </w:tcPr>
          <w:p>
            <w:pPr>
              <w:spacing w:after="0" w:line="240" w:lineRule="auto"/>
            </w:pPr>
            <w:r/>
            <w:r>
              <w:rPr>
                <w:rFonts w:ascii="Times New Roman" w:hAnsi="Times New Roman" w:eastAsia="Times New Roman"/>
                <w:b w:val="0"/>
                <w:sz w:val="13"/>
              </w:rPr>
              <w:t>Health risk tax collected on domestic cigarettes, bidi, cigars, chewing tobacco, khaini, gutkha, pan masala and similar products.</w:t>
            </w:r>
          </w:p>
        </w:tc>
      </w:tr>
      <w:tr>
        <w:tc>
          <w:tcPr>
            <w:tcW w:type="dxa" w:w="648"/>
            <w:vAlign w:val="top"/>
          </w:tcPr>
          <w:p>
            <w:pPr>
              <w:spacing w:after="0" w:line="240" w:lineRule="auto"/>
            </w:pPr>
            <w:r/>
            <w:r>
              <w:rPr>
                <w:rFonts w:ascii="Times New Roman" w:hAnsi="Times New Roman" w:eastAsia="Times New Roman"/>
                <w:b w:val="0"/>
                <w:sz w:val="13"/>
              </w:rPr>
              <w:t>24</w:t>
            </w:r>
          </w:p>
        </w:tc>
        <w:tc>
          <w:tcPr>
            <w:tcW w:type="dxa" w:w="1296"/>
            <w:vAlign w:val="top"/>
          </w:tcPr>
          <w:p>
            <w:pPr>
              <w:spacing w:after="0" w:line="240" w:lineRule="auto"/>
            </w:pPr>
            <w:r/>
            <w:r>
              <w:rPr>
                <w:rFonts w:ascii="Times New Roman" w:hAnsi="Times New Roman" w:eastAsia="Times New Roman"/>
                <w:b w:val="0"/>
                <w:sz w:val="13"/>
              </w:rPr>
              <w:t>11442</w:t>
            </w:r>
          </w:p>
        </w:tc>
        <w:tc>
          <w:tcPr>
            <w:tcW w:type="dxa" w:w="3168"/>
            <w:vAlign w:val="top"/>
          </w:tcPr>
          <w:p>
            <w:pPr>
              <w:spacing w:after="0" w:line="240" w:lineRule="auto"/>
            </w:pPr>
            <w:r/>
            <w:r>
              <w:rPr>
                <w:rFonts w:ascii="Times New Roman" w:hAnsi="Times New Roman" w:eastAsia="Times New Roman"/>
                <w:b w:val="0"/>
                <w:sz w:val="13"/>
              </w:rPr>
              <w:t>Health service tax</w:t>
            </w:r>
          </w:p>
        </w:tc>
        <w:tc>
          <w:tcPr>
            <w:tcW w:type="dxa" w:w="5472"/>
            <w:vAlign w:val="top"/>
          </w:tcPr>
          <w:p>
            <w:pPr>
              <w:spacing w:after="0" w:line="240" w:lineRule="auto"/>
            </w:pPr>
            <w:r/>
            <w:r>
              <w:rPr>
                <w:rFonts w:ascii="Times New Roman" w:hAnsi="Times New Roman" w:eastAsia="Times New Roman"/>
                <w:b w:val="0"/>
                <w:sz w:val="13"/>
              </w:rPr>
              <w:t>Tax on health services provided by health institutions other than government and community hospitals.</w:t>
            </w:r>
          </w:p>
        </w:tc>
      </w:tr>
      <w:tr>
        <w:tc>
          <w:tcPr>
            <w:tcW w:type="dxa" w:w="648"/>
            <w:vAlign w:val="top"/>
          </w:tcPr>
          <w:p>
            <w:pPr>
              <w:spacing w:after="0" w:line="240" w:lineRule="auto"/>
            </w:pPr>
            <w:r/>
            <w:r>
              <w:rPr>
                <w:rFonts w:ascii="Times New Roman" w:hAnsi="Times New Roman" w:eastAsia="Times New Roman"/>
                <w:b w:val="0"/>
                <w:sz w:val="13"/>
              </w:rPr>
              <w:t>25</w:t>
            </w:r>
          </w:p>
        </w:tc>
        <w:tc>
          <w:tcPr>
            <w:tcW w:type="dxa" w:w="1296"/>
            <w:vAlign w:val="top"/>
          </w:tcPr>
          <w:p>
            <w:pPr>
              <w:spacing w:after="0" w:line="240" w:lineRule="auto"/>
            </w:pPr>
            <w:r/>
            <w:r>
              <w:rPr>
                <w:rFonts w:ascii="Times New Roman" w:hAnsi="Times New Roman" w:eastAsia="Times New Roman"/>
                <w:b w:val="0"/>
                <w:sz w:val="13"/>
              </w:rPr>
              <w:t>11443</w:t>
            </w:r>
          </w:p>
        </w:tc>
        <w:tc>
          <w:tcPr>
            <w:tcW w:type="dxa" w:w="3168"/>
            <w:vAlign w:val="top"/>
          </w:tcPr>
          <w:p>
            <w:pPr>
              <w:spacing w:after="0" w:line="240" w:lineRule="auto"/>
            </w:pPr>
            <w:r/>
            <w:r>
              <w:rPr>
                <w:rFonts w:ascii="Times New Roman" w:hAnsi="Times New Roman" w:eastAsia="Times New Roman"/>
                <w:b w:val="0"/>
                <w:sz w:val="13"/>
              </w:rPr>
              <w:t>Education service tax - educational institution</w:t>
            </w:r>
          </w:p>
        </w:tc>
        <w:tc>
          <w:tcPr>
            <w:tcW w:type="dxa" w:w="5472"/>
            <w:vAlign w:val="top"/>
          </w:tcPr>
          <w:p>
            <w:pPr>
              <w:spacing w:after="0" w:line="240" w:lineRule="auto"/>
            </w:pPr>
            <w:r>
              <w:t>Education service charge on prescribed educational services provided by private educational institutions.</w:t>
            </w:r>
            <w:r>
              <w:rPr>
                <w:rFonts w:ascii="Times New Roman" w:hAnsi="Times New Roman" w:eastAsia="Times New Roman"/>
                <w:b w:val="0"/>
                <w:sz w:val="13"/>
              </w:rPr>
            </w:r>
          </w:p>
        </w:tc>
      </w:tr>
      <w:tr>
        <w:tc>
          <w:tcPr>
            <w:tcW w:type="dxa" w:w="648"/>
            <w:vAlign w:val="top"/>
          </w:tcPr>
          <w:p>
            <w:pPr>
              <w:spacing w:after="0" w:line="240" w:lineRule="auto"/>
            </w:pPr>
            <w:r/>
            <w:r>
              <w:rPr>
                <w:rFonts w:ascii="Times New Roman" w:hAnsi="Times New Roman" w:eastAsia="Times New Roman"/>
                <w:b w:val="0"/>
                <w:sz w:val="13"/>
              </w:rPr>
              <w:t>26</w:t>
            </w:r>
          </w:p>
        </w:tc>
        <w:tc>
          <w:tcPr>
            <w:tcW w:type="dxa" w:w="1296"/>
            <w:vAlign w:val="top"/>
          </w:tcPr>
          <w:p>
            <w:pPr>
              <w:spacing w:after="0" w:line="240" w:lineRule="auto"/>
            </w:pPr>
            <w:r/>
            <w:r>
              <w:rPr>
                <w:rFonts w:ascii="Times New Roman" w:hAnsi="Times New Roman" w:eastAsia="Times New Roman"/>
                <w:b w:val="0"/>
                <w:sz w:val="13"/>
              </w:rPr>
              <w:t>11444</w:t>
            </w:r>
          </w:p>
        </w:tc>
        <w:tc>
          <w:tcPr>
            <w:tcW w:type="dxa" w:w="3168"/>
            <w:vAlign w:val="top"/>
          </w:tcPr>
          <w:p>
            <w:pPr>
              <w:spacing w:after="0" w:line="240" w:lineRule="auto"/>
            </w:pPr>
            <w:r/>
            <w:r>
              <w:rPr>
                <w:rFonts w:ascii="Times New Roman" w:hAnsi="Times New Roman" w:eastAsia="Times New Roman"/>
                <w:b w:val="0"/>
                <w:sz w:val="13"/>
              </w:rPr>
              <w:t>Education service tax - foreign study</w:t>
            </w:r>
          </w:p>
        </w:tc>
        <w:tc>
          <w:tcPr>
            <w:tcW w:type="dxa" w:w="5472"/>
            <w:vAlign w:val="top"/>
          </w:tcPr>
          <w:p>
            <w:pPr>
              <w:spacing w:after="0" w:line="240" w:lineRule="auto"/>
            </w:pPr>
            <w:r>
              <w:t>Service charge on tuition fee paid by students going abroad for study.</w:t>
            </w:r>
            <w:r>
              <w:rPr>
                <w:rFonts w:ascii="Times New Roman" w:hAnsi="Times New Roman" w:eastAsia="Times New Roman"/>
                <w:b w:val="0"/>
                <w:sz w:val="13"/>
              </w:rPr>
            </w:r>
          </w:p>
        </w:tc>
      </w:tr>
      <w:tr>
        <w:tc>
          <w:tcPr>
            <w:tcW w:type="dxa" w:w="648"/>
            <w:vAlign w:val="top"/>
          </w:tcPr>
          <w:p>
            <w:pPr>
              <w:spacing w:after="0" w:line="240" w:lineRule="auto"/>
            </w:pPr>
            <w:r/>
            <w:r>
              <w:rPr>
                <w:rFonts w:ascii="Times New Roman" w:hAnsi="Times New Roman" w:eastAsia="Times New Roman"/>
                <w:b w:val="0"/>
                <w:sz w:val="13"/>
              </w:rPr>
              <w:t>27</w:t>
            </w:r>
          </w:p>
        </w:tc>
        <w:tc>
          <w:tcPr>
            <w:tcW w:type="dxa" w:w="1296"/>
            <w:vAlign w:val="top"/>
          </w:tcPr>
          <w:p>
            <w:pPr>
              <w:spacing w:after="0" w:line="240" w:lineRule="auto"/>
            </w:pPr>
            <w:r/>
            <w:r>
              <w:rPr>
                <w:rFonts w:ascii="Times New Roman" w:hAnsi="Times New Roman" w:eastAsia="Times New Roman"/>
                <w:b w:val="0"/>
                <w:sz w:val="13"/>
              </w:rPr>
              <w:t>11445</w:t>
            </w:r>
          </w:p>
        </w:tc>
        <w:tc>
          <w:tcPr>
            <w:tcW w:type="dxa" w:w="3168"/>
            <w:vAlign w:val="top"/>
          </w:tcPr>
          <w:p>
            <w:pPr>
              <w:spacing w:after="0" w:line="240" w:lineRule="auto"/>
            </w:pPr>
            <w:r/>
            <w:r>
              <w:rPr>
                <w:rFonts w:ascii="Times New Roman" w:hAnsi="Times New Roman" w:eastAsia="Times New Roman"/>
                <w:b w:val="0"/>
                <w:sz w:val="13"/>
              </w:rPr>
              <w:t>Digital service tax</w:t>
            </w:r>
          </w:p>
        </w:tc>
        <w:tc>
          <w:tcPr>
            <w:tcW w:type="dxa" w:w="5472"/>
            <w:vAlign w:val="top"/>
          </w:tcPr>
          <w:p>
            <w:pPr>
              <w:spacing w:after="0" w:line="240" w:lineRule="auto"/>
            </w:pPr>
            <w:r/>
            <w:r>
              <w:rPr>
                <w:rFonts w:ascii="Times New Roman" w:hAnsi="Times New Roman" w:eastAsia="Times New Roman"/>
                <w:b w:val="0"/>
                <w:sz w:val="13"/>
              </w:rPr>
              <w:t>Tax on transaction value of digital services provided by non-residents to consumers in Nepal, including advertising, movies, data, download, cloud, gaming, mobile apps, internet/software updates, education and consultancy.</w:t>
            </w:r>
          </w:p>
        </w:tc>
      </w:tr>
      <w:tr>
        <w:tc>
          <w:tcPr>
            <w:tcW w:type="dxa" w:w="648"/>
            <w:vAlign w:val="top"/>
          </w:tcPr>
          <w:p>
            <w:pPr>
              <w:spacing w:after="0" w:line="240" w:lineRule="auto"/>
            </w:pPr>
            <w:r/>
            <w:r>
              <w:rPr>
                <w:rFonts w:ascii="Times New Roman" w:hAnsi="Times New Roman" w:eastAsia="Times New Roman"/>
                <w:b w:val="0"/>
                <w:sz w:val="13"/>
              </w:rPr>
              <w:t>28</w:t>
            </w:r>
          </w:p>
        </w:tc>
        <w:tc>
          <w:tcPr>
            <w:tcW w:type="dxa" w:w="1296"/>
            <w:vAlign w:val="top"/>
          </w:tcPr>
          <w:p>
            <w:pPr>
              <w:spacing w:after="0" w:line="240" w:lineRule="auto"/>
            </w:pPr>
            <w:r/>
            <w:r>
              <w:rPr>
                <w:rFonts w:ascii="Times New Roman" w:hAnsi="Times New Roman" w:eastAsia="Times New Roman"/>
                <w:b w:val="0"/>
                <w:sz w:val="13"/>
              </w:rPr>
              <w:t>11454</w:t>
            </w:r>
          </w:p>
        </w:tc>
        <w:tc>
          <w:tcPr>
            <w:tcW w:type="dxa" w:w="3168"/>
            <w:vAlign w:val="top"/>
          </w:tcPr>
          <w:p>
            <w:pPr>
              <w:spacing w:after="0" w:line="240" w:lineRule="auto"/>
            </w:pPr>
            <w:r/>
            <w:r>
              <w:rPr>
                <w:rFonts w:ascii="Times New Roman" w:hAnsi="Times New Roman" w:eastAsia="Times New Roman"/>
                <w:b w:val="0"/>
                <w:sz w:val="13"/>
              </w:rPr>
              <w:t>Road construction and maintenance tax</w:t>
            </w:r>
          </w:p>
        </w:tc>
        <w:tc>
          <w:tcPr>
            <w:tcW w:type="dxa" w:w="5472"/>
            <w:vAlign w:val="top"/>
          </w:tcPr>
          <w:p>
            <w:pPr>
              <w:spacing w:after="0" w:line="240" w:lineRule="auto"/>
            </w:pPr>
            <w:r/>
            <w:r>
              <w:rPr>
                <w:rFonts w:ascii="Times New Roman" w:hAnsi="Times New Roman" w:eastAsia="Times New Roman"/>
                <w:b w:val="0"/>
                <w:sz w:val="13"/>
              </w:rPr>
              <w:t>Tax collected by transport management office at vehicle registration according to type of vehicle.</w:t>
            </w:r>
          </w:p>
        </w:tc>
      </w:tr>
      <w:tr>
        <w:tc>
          <w:tcPr>
            <w:tcW w:type="dxa" w:w="648"/>
            <w:vAlign w:val="top"/>
          </w:tcPr>
          <w:p>
            <w:pPr>
              <w:spacing w:after="0" w:line="240" w:lineRule="auto"/>
            </w:pPr>
            <w:r/>
            <w:r>
              <w:rPr>
                <w:rFonts w:ascii="Times New Roman" w:hAnsi="Times New Roman" w:eastAsia="Times New Roman"/>
                <w:b w:val="0"/>
                <w:sz w:val="13"/>
              </w:rPr>
              <w:t>29</w:t>
            </w:r>
          </w:p>
        </w:tc>
        <w:tc>
          <w:tcPr>
            <w:tcW w:type="dxa" w:w="1296"/>
            <w:vAlign w:val="top"/>
          </w:tcPr>
          <w:p>
            <w:pPr>
              <w:spacing w:after="0" w:line="240" w:lineRule="auto"/>
            </w:pPr>
            <w:r/>
            <w:r>
              <w:rPr>
                <w:rFonts w:ascii="Times New Roman" w:hAnsi="Times New Roman" w:eastAsia="Times New Roman"/>
                <w:b w:val="0"/>
                <w:sz w:val="13"/>
              </w:rPr>
              <w:t>14193</w:t>
            </w:r>
          </w:p>
        </w:tc>
        <w:tc>
          <w:tcPr>
            <w:tcW w:type="dxa" w:w="3168"/>
            <w:vAlign w:val="top"/>
          </w:tcPr>
          <w:p>
            <w:pPr>
              <w:spacing w:after="0" w:line="240" w:lineRule="auto"/>
            </w:pPr>
            <w:r/>
            <w:r>
              <w:rPr>
                <w:rFonts w:ascii="Times New Roman" w:hAnsi="Times New Roman" w:eastAsia="Times New Roman"/>
                <w:b w:val="0"/>
                <w:sz w:val="13"/>
              </w:rPr>
              <w:t>Foreign tourism fee</w:t>
            </w:r>
          </w:p>
        </w:tc>
        <w:tc>
          <w:tcPr>
            <w:tcW w:type="dxa" w:w="5472"/>
            <w:vAlign w:val="top"/>
          </w:tcPr>
          <w:p>
            <w:pPr>
              <w:spacing w:after="0" w:line="240" w:lineRule="auto"/>
            </w:pPr>
            <w:r/>
            <w:r>
              <w:rPr>
                <w:rFonts w:ascii="Times New Roman" w:hAnsi="Times New Roman" w:eastAsia="Times New Roman"/>
                <w:b w:val="0"/>
                <w:sz w:val="13"/>
              </w:rPr>
              <w:t>Fee on payments made by Nepali tourists for foreign tourism travel; collected by travel package sellers or by firms/companies recording foreign travel expenses for related natural persons.</w:t>
            </w:r>
          </w:p>
        </w:tc>
      </w:tr>
      <w:tr>
        <w:tc>
          <w:tcPr>
            <w:tcW w:type="dxa" w:w="648"/>
            <w:vAlign w:val="top"/>
          </w:tcPr>
          <w:p>
            <w:pPr>
              <w:spacing w:after="0" w:line="240" w:lineRule="auto"/>
            </w:pPr>
            <w:r/>
            <w:r>
              <w:rPr>
                <w:rFonts w:ascii="Times New Roman" w:hAnsi="Times New Roman" w:eastAsia="Times New Roman"/>
                <w:b w:val="0"/>
                <w:sz w:val="13"/>
              </w:rPr>
              <w:t>30</w:t>
            </w:r>
          </w:p>
        </w:tc>
        <w:tc>
          <w:tcPr>
            <w:tcW w:type="dxa" w:w="1296"/>
            <w:vAlign w:val="top"/>
          </w:tcPr>
          <w:p>
            <w:pPr>
              <w:spacing w:after="0" w:line="240" w:lineRule="auto"/>
            </w:pPr>
            <w:r/>
            <w:r>
              <w:rPr>
                <w:rFonts w:ascii="Times New Roman" w:hAnsi="Times New Roman" w:eastAsia="Times New Roman"/>
                <w:b w:val="0"/>
                <w:sz w:val="13"/>
              </w:rPr>
              <w:t>14194</w:t>
            </w:r>
          </w:p>
        </w:tc>
        <w:tc>
          <w:tcPr>
            <w:tcW w:type="dxa" w:w="3168"/>
            <w:vAlign w:val="top"/>
          </w:tcPr>
          <w:p>
            <w:pPr>
              <w:spacing w:after="0" w:line="240" w:lineRule="auto"/>
            </w:pPr>
            <w:r>
              <w:t>Foreign employment service charge</w:t>
            </w:r>
            <w:r>
              <w:rPr>
                <w:rFonts w:ascii="Times New Roman" w:hAnsi="Times New Roman" w:eastAsia="Times New Roman"/>
                <w:b w:val="0"/>
                <w:sz w:val="13"/>
              </w:rPr>
            </w:r>
          </w:p>
        </w:tc>
        <w:tc>
          <w:tcPr>
            <w:tcW w:type="dxa" w:w="5472"/>
            <w:vAlign w:val="top"/>
          </w:tcPr>
          <w:p>
            <w:pPr>
              <w:spacing w:after="0" w:line="240" w:lineRule="auto"/>
            </w:pPr>
            <w:r/>
            <w:r>
              <w:rPr>
                <w:rFonts w:ascii="Times New Roman" w:hAnsi="Times New Roman" w:eastAsia="Times New Roman"/>
                <w:b w:val="0"/>
                <w:sz w:val="13"/>
              </w:rPr>
              <w:t>Fee deducted according to law from amounts collected by licensed foreign-employment businesses from persons going for foreign employment.</w:t>
            </w:r>
          </w:p>
        </w:tc>
      </w:tr>
      <w:tr>
        <w:tc>
          <w:tcPr>
            <w:tcW w:type="dxa" w:w="648"/>
            <w:vAlign w:val="top"/>
          </w:tcPr>
          <w:p>
            <w:pPr>
              <w:spacing w:after="0" w:line="240" w:lineRule="auto"/>
            </w:pPr>
            <w:r/>
            <w:r>
              <w:rPr>
                <w:rFonts w:ascii="Times New Roman" w:hAnsi="Times New Roman" w:eastAsia="Times New Roman"/>
                <w:b w:val="0"/>
                <w:sz w:val="13"/>
              </w:rPr>
              <w:t>31</w:t>
            </w:r>
          </w:p>
        </w:tc>
        <w:tc>
          <w:tcPr>
            <w:tcW w:type="dxa" w:w="1296"/>
            <w:vAlign w:val="top"/>
          </w:tcPr>
          <w:p>
            <w:pPr>
              <w:spacing w:after="0" w:line="240" w:lineRule="auto"/>
            </w:pPr>
            <w:r/>
            <w:r>
              <w:rPr>
                <w:rFonts w:ascii="Times New Roman" w:hAnsi="Times New Roman" w:eastAsia="Times New Roman"/>
                <w:b w:val="0"/>
                <w:sz w:val="13"/>
              </w:rPr>
              <w:t>14214</w:t>
            </w:r>
          </w:p>
        </w:tc>
        <w:tc>
          <w:tcPr>
            <w:tcW w:type="dxa" w:w="3168"/>
            <w:vAlign w:val="top"/>
          </w:tcPr>
          <w:p>
            <w:pPr>
              <w:spacing w:after="0" w:line="240" w:lineRule="auto"/>
            </w:pPr>
            <w:r>
              <w:t>Telecommunication service charge</w:t>
            </w:r>
            <w:r>
              <w:rPr>
                <w:rFonts w:ascii="Times New Roman" w:hAnsi="Times New Roman" w:eastAsia="Times New Roman"/>
                <w:b w:val="0"/>
                <w:sz w:val="13"/>
              </w:rPr>
            </w:r>
          </w:p>
        </w:tc>
        <w:tc>
          <w:tcPr>
            <w:tcW w:type="dxa" w:w="5472"/>
            <w:vAlign w:val="top"/>
          </w:tcPr>
          <w:p>
            <w:pPr>
              <w:spacing w:after="0" w:line="240" w:lineRule="auto"/>
            </w:pPr>
            <w:r>
              <w:t>Amount collected as telecommunication service charge.</w:t>
            </w:r>
            <w:r>
              <w:rPr>
                <w:rFonts w:ascii="Times New Roman" w:hAnsi="Times New Roman" w:eastAsia="Times New Roman"/>
                <w:b w:val="0"/>
                <w:sz w:val="13"/>
              </w:rPr>
            </w:r>
          </w:p>
        </w:tc>
      </w:tr>
      <w:tr>
        <w:tc>
          <w:tcPr>
            <w:tcW w:type="dxa" w:w="648"/>
            <w:vAlign w:val="top"/>
          </w:tcPr>
          <w:p>
            <w:pPr>
              <w:spacing w:after="0" w:line="240" w:lineRule="auto"/>
            </w:pPr>
            <w:r/>
            <w:r>
              <w:rPr>
                <w:rFonts w:ascii="Times New Roman" w:hAnsi="Times New Roman" w:eastAsia="Times New Roman"/>
                <w:b w:val="0"/>
                <w:sz w:val="13"/>
              </w:rPr>
              <w:t>32</w:t>
            </w:r>
          </w:p>
        </w:tc>
        <w:tc>
          <w:tcPr>
            <w:tcW w:type="dxa" w:w="1296"/>
            <w:vAlign w:val="top"/>
          </w:tcPr>
          <w:p>
            <w:pPr>
              <w:spacing w:after="0" w:line="240" w:lineRule="auto"/>
            </w:pPr>
            <w:r/>
            <w:r>
              <w:rPr>
                <w:rFonts w:ascii="Times New Roman" w:hAnsi="Times New Roman" w:eastAsia="Times New Roman"/>
                <w:b w:val="0"/>
                <w:sz w:val="13"/>
              </w:rPr>
              <w:t>14215</w:t>
            </w:r>
          </w:p>
        </w:tc>
        <w:tc>
          <w:tcPr>
            <w:tcW w:type="dxa" w:w="3168"/>
            <w:vAlign w:val="top"/>
          </w:tcPr>
          <w:p>
            <w:pPr>
              <w:spacing w:after="0" w:line="240" w:lineRule="auto"/>
            </w:pPr>
            <w:r/>
            <w:r>
              <w:rPr>
                <w:rFonts w:ascii="Times New Roman" w:hAnsi="Times New Roman" w:eastAsia="Times New Roman"/>
                <w:b w:val="0"/>
                <w:sz w:val="13"/>
              </w:rPr>
              <w:t>Telephone ownership fee</w:t>
            </w:r>
          </w:p>
        </w:tc>
        <w:tc>
          <w:tcPr>
            <w:tcW w:type="dxa" w:w="5472"/>
            <w:vAlign w:val="top"/>
          </w:tcPr>
          <w:p>
            <w:pPr>
              <w:spacing w:after="0" w:line="240" w:lineRule="auto"/>
            </w:pPr>
            <w:r/>
            <w:r>
              <w:rPr>
                <w:rFonts w:ascii="Times New Roman" w:hAnsi="Times New Roman" w:eastAsia="Times New Roman"/>
                <w:b w:val="0"/>
                <w:sz w:val="13"/>
              </w:rPr>
              <w:t>Amount collected as telephone ownership fee.</w:t>
            </w:r>
          </w:p>
        </w:tc>
      </w:tr>
      <w:tr>
        <w:tc>
          <w:tcPr>
            <w:tcW w:type="dxa" w:w="648"/>
            <w:vAlign w:val="top"/>
          </w:tcPr>
          <w:p>
            <w:pPr>
              <w:spacing w:after="0" w:line="240" w:lineRule="auto"/>
            </w:pPr>
            <w:r/>
            <w:r>
              <w:rPr>
                <w:rFonts w:ascii="Times New Roman" w:hAnsi="Times New Roman" w:eastAsia="Times New Roman"/>
                <w:b w:val="0"/>
                <w:sz w:val="13"/>
              </w:rPr>
              <w:t>33</w:t>
            </w:r>
          </w:p>
        </w:tc>
        <w:tc>
          <w:tcPr>
            <w:tcW w:type="dxa" w:w="1296"/>
            <w:vAlign w:val="top"/>
          </w:tcPr>
          <w:p>
            <w:pPr>
              <w:spacing w:after="0" w:line="240" w:lineRule="auto"/>
            </w:pPr>
            <w:r/>
            <w:r>
              <w:rPr>
                <w:rFonts w:ascii="Times New Roman" w:hAnsi="Times New Roman" w:eastAsia="Times New Roman"/>
                <w:b w:val="0"/>
                <w:sz w:val="13"/>
              </w:rPr>
              <w:t>33311</w:t>
            </w:r>
          </w:p>
        </w:tc>
        <w:tc>
          <w:tcPr>
            <w:tcW w:type="dxa" w:w="3168"/>
            <w:vAlign w:val="top"/>
          </w:tcPr>
          <w:p>
            <w:pPr>
              <w:spacing w:after="0" w:line="240" w:lineRule="auto"/>
            </w:pPr>
            <w:r/>
            <w:r>
              <w:rPr>
                <w:rFonts w:ascii="Times New Roman" w:hAnsi="Times New Roman" w:eastAsia="Times New Roman"/>
                <w:b w:val="0"/>
                <w:sz w:val="13"/>
              </w:rPr>
              <w:t>VAT - production</w:t>
            </w:r>
          </w:p>
        </w:tc>
        <w:tc>
          <w:tcPr>
            <w:tcW w:type="dxa" w:w="5472"/>
            <w:vAlign w:val="top"/>
          </w:tcPr>
          <w:p>
            <w:pPr>
              <w:spacing w:after="0" w:line="240" w:lineRule="auto"/>
            </w:pPr>
            <w:r/>
            <w:r>
              <w:rPr>
                <w:rFonts w:ascii="Times New Roman" w:hAnsi="Times New Roman" w:eastAsia="Times New Roman"/>
                <w:b w:val="0"/>
                <w:sz w:val="13"/>
              </w:rPr>
              <w:t>VAT payable when a producer produces and sells goods.</w:t>
            </w:r>
          </w:p>
        </w:tc>
      </w:tr>
      <w:tr>
        <w:tc>
          <w:tcPr>
            <w:tcW w:type="dxa" w:w="648"/>
            <w:vAlign w:val="top"/>
          </w:tcPr>
          <w:p>
            <w:pPr>
              <w:spacing w:after="0" w:line="240" w:lineRule="auto"/>
            </w:pPr>
            <w:r/>
            <w:r>
              <w:rPr>
                <w:rFonts w:ascii="Times New Roman" w:hAnsi="Times New Roman" w:eastAsia="Times New Roman"/>
                <w:b w:val="0"/>
                <w:sz w:val="13"/>
              </w:rPr>
              <w:t>34</w:t>
            </w:r>
          </w:p>
        </w:tc>
        <w:tc>
          <w:tcPr>
            <w:tcW w:type="dxa" w:w="1296"/>
            <w:vAlign w:val="top"/>
          </w:tcPr>
          <w:p>
            <w:pPr>
              <w:spacing w:after="0" w:line="240" w:lineRule="auto"/>
            </w:pPr>
            <w:r/>
            <w:r>
              <w:rPr>
                <w:rFonts w:ascii="Times New Roman" w:hAnsi="Times New Roman" w:eastAsia="Times New Roman"/>
                <w:b w:val="0"/>
                <w:sz w:val="13"/>
              </w:rPr>
              <w:t>33313</w:t>
            </w:r>
          </w:p>
        </w:tc>
        <w:tc>
          <w:tcPr>
            <w:tcW w:type="dxa" w:w="3168"/>
            <w:vAlign w:val="top"/>
          </w:tcPr>
          <w:p>
            <w:pPr>
              <w:spacing w:after="0" w:line="240" w:lineRule="auto"/>
            </w:pPr>
            <w:r/>
            <w:r>
              <w:rPr>
                <w:rFonts w:ascii="Times New Roman" w:hAnsi="Times New Roman" w:eastAsia="Times New Roman"/>
                <w:b w:val="0"/>
                <w:sz w:val="13"/>
              </w:rPr>
              <w:t>VAT - sale and distribution of goods</w:t>
            </w:r>
          </w:p>
        </w:tc>
        <w:tc>
          <w:tcPr>
            <w:tcW w:type="dxa" w:w="5472"/>
            <w:vAlign w:val="top"/>
          </w:tcPr>
          <w:p>
            <w:pPr>
              <w:spacing w:after="0" w:line="240" w:lineRule="auto"/>
            </w:pPr>
            <w:r/>
            <w:r>
              <w:rPr>
                <w:rFonts w:ascii="Times New Roman" w:hAnsi="Times New Roman" w:eastAsia="Times New Roman"/>
                <w:b w:val="0"/>
                <w:sz w:val="13"/>
              </w:rPr>
              <w:t>VAT payable by wholesale and retail sellers.</w:t>
            </w:r>
          </w:p>
        </w:tc>
      </w:tr>
      <w:tr>
        <w:tc>
          <w:tcPr>
            <w:tcW w:type="dxa" w:w="648"/>
            <w:vAlign w:val="top"/>
          </w:tcPr>
          <w:p>
            <w:pPr>
              <w:spacing w:after="0" w:line="240" w:lineRule="auto"/>
            </w:pPr>
            <w:r/>
            <w:r>
              <w:rPr>
                <w:rFonts w:ascii="Times New Roman" w:hAnsi="Times New Roman" w:eastAsia="Times New Roman"/>
                <w:b w:val="0"/>
                <w:sz w:val="13"/>
              </w:rPr>
              <w:t>35</w:t>
            </w:r>
          </w:p>
        </w:tc>
        <w:tc>
          <w:tcPr>
            <w:tcW w:type="dxa" w:w="1296"/>
            <w:vAlign w:val="top"/>
          </w:tcPr>
          <w:p>
            <w:pPr>
              <w:spacing w:after="0" w:line="240" w:lineRule="auto"/>
            </w:pPr>
            <w:r/>
            <w:r>
              <w:rPr>
                <w:rFonts w:ascii="Times New Roman" w:hAnsi="Times New Roman" w:eastAsia="Times New Roman"/>
                <w:b w:val="0"/>
                <w:sz w:val="13"/>
              </w:rPr>
              <w:t>33314</w:t>
            </w:r>
          </w:p>
        </w:tc>
        <w:tc>
          <w:tcPr>
            <w:tcW w:type="dxa" w:w="3168"/>
            <w:vAlign w:val="top"/>
          </w:tcPr>
          <w:p>
            <w:pPr>
              <w:spacing w:after="0" w:line="240" w:lineRule="auto"/>
            </w:pPr>
            <w:r/>
            <w:r>
              <w:rPr>
                <w:rFonts w:ascii="Times New Roman" w:hAnsi="Times New Roman" w:eastAsia="Times New Roman"/>
                <w:b w:val="0"/>
                <w:sz w:val="13"/>
              </w:rPr>
              <w:t>VAT - consultancy and contract collection</w:t>
            </w:r>
          </w:p>
        </w:tc>
        <w:tc>
          <w:tcPr>
            <w:tcW w:type="dxa" w:w="5472"/>
            <w:vAlign w:val="top"/>
          </w:tcPr>
          <w:p>
            <w:pPr>
              <w:spacing w:after="0" w:line="240" w:lineRule="auto"/>
            </w:pPr>
            <w:r/>
            <w:r>
              <w:rPr>
                <w:rFonts w:ascii="Times New Roman" w:hAnsi="Times New Roman" w:eastAsia="Times New Roman"/>
                <w:b w:val="0"/>
                <w:sz w:val="13"/>
              </w:rPr>
              <w:t>VAT on all types of contract business and consultancy services; old contract tax recovered after VAT implementation is deposited here.</w:t>
            </w:r>
          </w:p>
        </w:tc>
      </w:tr>
      <w:tr>
        <w:tc>
          <w:tcPr>
            <w:tcW w:type="dxa" w:w="648"/>
            <w:vAlign w:val="top"/>
          </w:tcPr>
          <w:p>
            <w:pPr>
              <w:spacing w:after="0" w:line="240" w:lineRule="auto"/>
            </w:pPr>
            <w:r/>
            <w:r>
              <w:rPr>
                <w:rFonts w:ascii="Times New Roman" w:hAnsi="Times New Roman" w:eastAsia="Times New Roman"/>
                <w:b w:val="0"/>
                <w:sz w:val="13"/>
              </w:rPr>
              <w:t>36</w:t>
            </w:r>
          </w:p>
        </w:tc>
        <w:tc>
          <w:tcPr>
            <w:tcW w:type="dxa" w:w="1296"/>
            <w:vAlign w:val="top"/>
          </w:tcPr>
          <w:p>
            <w:pPr>
              <w:spacing w:after="0" w:line="240" w:lineRule="auto"/>
            </w:pPr>
            <w:r/>
            <w:r>
              <w:rPr>
                <w:rFonts w:ascii="Times New Roman" w:hAnsi="Times New Roman" w:eastAsia="Times New Roman"/>
                <w:b w:val="0"/>
                <w:sz w:val="13"/>
              </w:rPr>
              <w:t>33315</w:t>
            </w:r>
          </w:p>
        </w:tc>
        <w:tc>
          <w:tcPr>
            <w:tcW w:type="dxa" w:w="3168"/>
            <w:vAlign w:val="top"/>
          </w:tcPr>
          <w:p>
            <w:pPr>
              <w:spacing w:after="0" w:line="240" w:lineRule="auto"/>
            </w:pPr>
            <w:r/>
            <w:r>
              <w:rPr>
                <w:rFonts w:ascii="Times New Roman" w:hAnsi="Times New Roman" w:eastAsia="Times New Roman"/>
                <w:b w:val="0"/>
                <w:sz w:val="13"/>
              </w:rPr>
              <w:t>VAT - tourism service collection</w:t>
            </w:r>
          </w:p>
        </w:tc>
        <w:tc>
          <w:tcPr>
            <w:tcW w:type="dxa" w:w="5472"/>
            <w:vAlign w:val="top"/>
          </w:tcPr>
          <w:p>
            <w:pPr>
              <w:spacing w:after="0" w:line="240" w:lineRule="auto"/>
            </w:pPr>
            <w:r/>
            <w:r>
              <w:rPr>
                <w:rFonts w:ascii="Times New Roman" w:hAnsi="Times New Roman" w:eastAsia="Times New Roman"/>
                <w:b w:val="0"/>
                <w:sz w:val="13"/>
              </w:rPr>
              <w:t>VAT on tourism businesses such as hotel, travel agency, trekking and rafting; old hotel tax recovered after VAT implementation is deposited here.</w:t>
            </w:r>
          </w:p>
        </w:tc>
      </w:tr>
      <w:tr>
        <w:tc>
          <w:tcPr>
            <w:tcW w:type="dxa" w:w="648"/>
            <w:vAlign w:val="top"/>
          </w:tcPr>
          <w:p>
            <w:pPr>
              <w:spacing w:after="0" w:line="240" w:lineRule="auto"/>
            </w:pPr>
            <w:r/>
            <w:r>
              <w:rPr>
                <w:rFonts w:ascii="Times New Roman" w:hAnsi="Times New Roman" w:eastAsia="Times New Roman"/>
                <w:b w:val="0"/>
                <w:sz w:val="13"/>
              </w:rPr>
              <w:t>37</w:t>
            </w:r>
          </w:p>
        </w:tc>
        <w:tc>
          <w:tcPr>
            <w:tcW w:type="dxa" w:w="1296"/>
            <w:vAlign w:val="top"/>
          </w:tcPr>
          <w:p>
            <w:pPr>
              <w:spacing w:after="0" w:line="240" w:lineRule="auto"/>
            </w:pPr>
            <w:r/>
            <w:r>
              <w:rPr>
                <w:rFonts w:ascii="Times New Roman" w:hAnsi="Times New Roman" w:eastAsia="Times New Roman"/>
                <w:b w:val="0"/>
                <w:sz w:val="13"/>
              </w:rPr>
              <w:t>33316</w:t>
            </w:r>
          </w:p>
        </w:tc>
        <w:tc>
          <w:tcPr>
            <w:tcW w:type="dxa" w:w="3168"/>
            <w:vAlign w:val="top"/>
          </w:tcPr>
          <w:p>
            <w:pPr>
              <w:spacing w:after="0" w:line="240" w:lineRule="auto"/>
            </w:pPr>
            <w:r/>
            <w:r>
              <w:rPr>
                <w:rFonts w:ascii="Times New Roman" w:hAnsi="Times New Roman" w:eastAsia="Times New Roman"/>
                <w:b w:val="0"/>
                <w:sz w:val="13"/>
              </w:rPr>
              <w:t>VAT - communication service, insurance, air flight and other service collection</w:t>
            </w:r>
          </w:p>
        </w:tc>
        <w:tc>
          <w:tcPr>
            <w:tcW w:type="dxa" w:w="5472"/>
            <w:vAlign w:val="top"/>
          </w:tcPr>
          <w:p>
            <w:pPr>
              <w:spacing w:after="0" w:line="240" w:lineRule="auto"/>
            </w:pPr>
            <w:r/>
            <w:r>
              <w:rPr>
                <w:rFonts w:ascii="Times New Roman" w:hAnsi="Times New Roman" w:eastAsia="Times New Roman"/>
                <w:b w:val="0"/>
                <w:sz w:val="13"/>
              </w:rPr>
              <w:t>VAT on communication services except government postal service, insurance and prescribed services, and amounts relating to air-flight tax.</w:t>
            </w:r>
          </w:p>
        </w:tc>
      </w:tr>
      <w:tr>
        <w:tc>
          <w:tcPr>
            <w:tcW w:type="dxa" w:w="648"/>
            <w:vAlign w:val="top"/>
          </w:tcPr>
          <w:p>
            <w:pPr>
              <w:spacing w:after="0" w:line="240" w:lineRule="auto"/>
            </w:pPr>
            <w:r/>
            <w:r>
              <w:rPr>
                <w:rFonts w:ascii="Times New Roman" w:hAnsi="Times New Roman" w:eastAsia="Times New Roman"/>
                <w:b w:val="0"/>
                <w:sz w:val="13"/>
              </w:rPr>
              <w:t>38</w:t>
            </w:r>
          </w:p>
        </w:tc>
        <w:tc>
          <w:tcPr>
            <w:tcW w:type="dxa" w:w="1296"/>
            <w:vAlign w:val="top"/>
          </w:tcPr>
          <w:p>
            <w:pPr>
              <w:spacing w:after="0" w:line="240" w:lineRule="auto"/>
            </w:pPr>
            <w:r/>
            <w:r>
              <w:rPr>
                <w:rFonts w:ascii="Times New Roman" w:hAnsi="Times New Roman" w:eastAsia="Times New Roman"/>
                <w:b w:val="0"/>
                <w:sz w:val="13"/>
              </w:rPr>
              <w:t>33317</w:t>
            </w:r>
          </w:p>
        </w:tc>
        <w:tc>
          <w:tcPr>
            <w:tcW w:type="dxa" w:w="3168"/>
            <w:vAlign w:val="top"/>
          </w:tcPr>
          <w:p>
            <w:pPr>
              <w:spacing w:after="0" w:line="240" w:lineRule="auto"/>
            </w:pPr>
            <w:r/>
            <w:r>
              <w:rPr>
                <w:rFonts w:ascii="Times New Roman" w:hAnsi="Times New Roman" w:eastAsia="Times New Roman"/>
                <w:b w:val="0"/>
                <w:sz w:val="13"/>
              </w:rPr>
              <w:t>VAT collected from unregistered persons</w:t>
            </w:r>
          </w:p>
        </w:tc>
        <w:tc>
          <w:tcPr>
            <w:tcW w:type="dxa" w:w="5472"/>
            <w:vAlign w:val="top"/>
          </w:tcPr>
          <w:p>
            <w:pPr>
              <w:spacing w:after="0" w:line="240" w:lineRule="auto"/>
            </w:pPr>
            <w:r/>
            <w:r>
              <w:rPr>
                <w:rFonts w:ascii="Times New Roman" w:hAnsi="Times New Roman" w:eastAsia="Times New Roman"/>
                <w:b w:val="0"/>
                <w:sz w:val="13"/>
              </w:rPr>
              <w:t>VAT payable on services received from unregistered persons outside Nepal, VAT on timber sale, and VAT collected/deposited by local levels, international organisations, missions, government or public enterprises dealing in non-taxable goods.</w:t>
            </w:r>
          </w:p>
        </w:tc>
      </w:tr>
      <w:tr>
        <w:tc>
          <w:tcPr>
            <w:tcW w:type="dxa" w:w="648"/>
            <w:vAlign w:val="top"/>
          </w:tcPr>
          <w:p>
            <w:pPr>
              <w:spacing w:after="0" w:line="240" w:lineRule="auto"/>
            </w:pPr>
            <w:r/>
            <w:r>
              <w:rPr>
                <w:rFonts w:ascii="Times New Roman" w:hAnsi="Times New Roman" w:eastAsia="Times New Roman"/>
                <w:b w:val="0"/>
                <w:sz w:val="13"/>
              </w:rPr>
              <w:t>39</w:t>
            </w:r>
          </w:p>
        </w:tc>
        <w:tc>
          <w:tcPr>
            <w:tcW w:type="dxa" w:w="1296"/>
            <w:vAlign w:val="top"/>
          </w:tcPr>
          <w:p>
            <w:pPr>
              <w:spacing w:after="0" w:line="240" w:lineRule="auto"/>
            </w:pPr>
            <w:r/>
            <w:r>
              <w:rPr>
                <w:rFonts w:ascii="Times New Roman" w:hAnsi="Times New Roman" w:eastAsia="Times New Roman"/>
                <w:b w:val="0"/>
                <w:sz w:val="13"/>
              </w:rPr>
              <w:t>33331</w:t>
            </w:r>
          </w:p>
        </w:tc>
        <w:tc>
          <w:tcPr>
            <w:tcW w:type="dxa" w:w="3168"/>
            <w:vAlign w:val="top"/>
          </w:tcPr>
          <w:p>
            <w:pPr>
              <w:spacing w:after="0" w:line="240" w:lineRule="auto"/>
            </w:pPr>
            <w:r/>
            <w:r>
              <w:rPr>
                <w:rFonts w:ascii="Times New Roman" w:hAnsi="Times New Roman" w:eastAsia="Times New Roman"/>
                <w:b w:val="0"/>
                <w:sz w:val="13"/>
              </w:rPr>
              <w:t>Excise duty - tobacco products</w:t>
            </w:r>
          </w:p>
        </w:tc>
        <w:tc>
          <w:tcPr>
            <w:tcW w:type="dxa" w:w="5472"/>
            <w:vAlign w:val="top"/>
          </w:tcPr>
          <w:p>
            <w:pPr>
              <w:spacing w:after="0" w:line="240" w:lineRule="auto"/>
            </w:pPr>
            <w:r/>
            <w:r>
              <w:rPr>
                <w:rFonts w:ascii="Times New Roman" w:hAnsi="Times New Roman" w:eastAsia="Times New Roman"/>
                <w:b w:val="0"/>
                <w:sz w:val="13"/>
              </w:rPr>
              <w:t>Excise duty on production of all types of tobacco products.</w:t>
            </w:r>
          </w:p>
        </w:tc>
      </w:tr>
      <w:tr>
        <w:tc>
          <w:tcPr>
            <w:tcW w:type="dxa" w:w="648"/>
            <w:vAlign w:val="top"/>
          </w:tcPr>
          <w:p>
            <w:pPr>
              <w:spacing w:after="0" w:line="240" w:lineRule="auto"/>
            </w:pPr>
            <w:r/>
            <w:r>
              <w:rPr>
                <w:rFonts w:ascii="Times New Roman" w:hAnsi="Times New Roman" w:eastAsia="Times New Roman"/>
                <w:b w:val="0"/>
                <w:sz w:val="13"/>
              </w:rPr>
              <w:t>40</w:t>
            </w:r>
          </w:p>
        </w:tc>
        <w:tc>
          <w:tcPr>
            <w:tcW w:type="dxa" w:w="1296"/>
            <w:vAlign w:val="top"/>
          </w:tcPr>
          <w:p>
            <w:pPr>
              <w:spacing w:after="0" w:line="240" w:lineRule="auto"/>
            </w:pPr>
            <w:r/>
            <w:r>
              <w:rPr>
                <w:rFonts w:ascii="Times New Roman" w:hAnsi="Times New Roman" w:eastAsia="Times New Roman"/>
                <w:b w:val="0"/>
                <w:sz w:val="13"/>
              </w:rPr>
              <w:t>33332</w:t>
            </w:r>
          </w:p>
        </w:tc>
        <w:tc>
          <w:tcPr>
            <w:tcW w:type="dxa" w:w="3168"/>
            <w:vAlign w:val="top"/>
          </w:tcPr>
          <w:p>
            <w:pPr>
              <w:spacing w:after="0" w:line="240" w:lineRule="auto"/>
            </w:pPr>
            <w:r/>
            <w:r>
              <w:rPr>
                <w:rFonts w:ascii="Times New Roman" w:hAnsi="Times New Roman" w:eastAsia="Times New Roman"/>
                <w:b w:val="0"/>
                <w:sz w:val="13"/>
              </w:rPr>
              <w:t>Excise duty - liquor</w:t>
            </w:r>
          </w:p>
        </w:tc>
        <w:tc>
          <w:tcPr>
            <w:tcW w:type="dxa" w:w="5472"/>
            <w:vAlign w:val="top"/>
          </w:tcPr>
          <w:p>
            <w:pPr>
              <w:spacing w:after="0" w:line="240" w:lineRule="auto"/>
            </w:pPr>
            <w:r/>
            <w:r>
              <w:rPr>
                <w:rFonts w:ascii="Times New Roman" w:hAnsi="Times New Roman" w:eastAsia="Times New Roman"/>
                <w:b w:val="0"/>
                <w:sz w:val="13"/>
              </w:rPr>
              <w:t>Excise duty on liquor, including wine and light beverages.</w:t>
            </w:r>
          </w:p>
        </w:tc>
      </w:tr>
      <w:tr>
        <w:tc>
          <w:tcPr>
            <w:tcW w:type="dxa" w:w="648"/>
            <w:vAlign w:val="top"/>
          </w:tcPr>
          <w:p>
            <w:pPr>
              <w:spacing w:after="0" w:line="240" w:lineRule="auto"/>
            </w:pPr>
            <w:r/>
            <w:r>
              <w:rPr>
                <w:rFonts w:ascii="Times New Roman" w:hAnsi="Times New Roman" w:eastAsia="Times New Roman"/>
                <w:b w:val="0"/>
                <w:sz w:val="13"/>
              </w:rPr>
              <w:t>41</w:t>
            </w:r>
          </w:p>
        </w:tc>
        <w:tc>
          <w:tcPr>
            <w:tcW w:type="dxa" w:w="1296"/>
            <w:vAlign w:val="top"/>
          </w:tcPr>
          <w:p>
            <w:pPr>
              <w:spacing w:after="0" w:line="240" w:lineRule="auto"/>
            </w:pPr>
            <w:r/>
            <w:r>
              <w:rPr>
                <w:rFonts w:ascii="Times New Roman" w:hAnsi="Times New Roman" w:eastAsia="Times New Roman"/>
                <w:b w:val="0"/>
                <w:sz w:val="13"/>
              </w:rPr>
              <w:t>33333</w:t>
            </w:r>
          </w:p>
        </w:tc>
        <w:tc>
          <w:tcPr>
            <w:tcW w:type="dxa" w:w="3168"/>
            <w:vAlign w:val="top"/>
          </w:tcPr>
          <w:p>
            <w:pPr>
              <w:spacing w:after="0" w:line="240" w:lineRule="auto"/>
            </w:pPr>
            <w:r/>
            <w:r>
              <w:rPr>
                <w:rFonts w:ascii="Times New Roman" w:hAnsi="Times New Roman" w:eastAsia="Times New Roman"/>
                <w:b w:val="0"/>
                <w:sz w:val="13"/>
              </w:rPr>
              <w:t>Excise duty - beer</w:t>
            </w:r>
          </w:p>
        </w:tc>
        <w:tc>
          <w:tcPr>
            <w:tcW w:type="dxa" w:w="5472"/>
            <w:vAlign w:val="top"/>
          </w:tcPr>
          <w:p>
            <w:pPr>
              <w:spacing w:after="0" w:line="240" w:lineRule="auto"/>
            </w:pPr>
            <w:r/>
            <w:r>
              <w:rPr>
                <w:rFonts w:ascii="Times New Roman" w:hAnsi="Times New Roman" w:eastAsia="Times New Roman"/>
                <w:b w:val="0"/>
                <w:sz w:val="13"/>
              </w:rPr>
              <w:t>Excise duty on beer production.</w:t>
            </w:r>
          </w:p>
        </w:tc>
      </w:tr>
      <w:tr>
        <w:tc>
          <w:tcPr>
            <w:tcW w:type="dxa" w:w="648"/>
            <w:vAlign w:val="top"/>
          </w:tcPr>
          <w:p>
            <w:pPr>
              <w:spacing w:after="0" w:line="240" w:lineRule="auto"/>
            </w:pPr>
            <w:r/>
            <w:r>
              <w:rPr>
                <w:rFonts w:ascii="Times New Roman" w:hAnsi="Times New Roman" w:eastAsia="Times New Roman"/>
                <w:b w:val="0"/>
                <w:sz w:val="13"/>
              </w:rPr>
              <w:t>42</w:t>
            </w:r>
          </w:p>
        </w:tc>
        <w:tc>
          <w:tcPr>
            <w:tcW w:type="dxa" w:w="1296"/>
            <w:vAlign w:val="top"/>
          </w:tcPr>
          <w:p>
            <w:pPr>
              <w:spacing w:after="0" w:line="240" w:lineRule="auto"/>
            </w:pPr>
            <w:r/>
            <w:r>
              <w:rPr>
                <w:rFonts w:ascii="Times New Roman" w:hAnsi="Times New Roman" w:eastAsia="Times New Roman"/>
                <w:b w:val="0"/>
                <w:sz w:val="13"/>
              </w:rPr>
              <w:t>33334</w:t>
            </w:r>
          </w:p>
        </w:tc>
        <w:tc>
          <w:tcPr>
            <w:tcW w:type="dxa" w:w="3168"/>
            <w:vAlign w:val="top"/>
          </w:tcPr>
          <w:p>
            <w:pPr>
              <w:spacing w:after="0" w:line="240" w:lineRule="auto"/>
            </w:pPr>
            <w:r/>
            <w:r>
              <w:rPr>
                <w:rFonts w:ascii="Times New Roman" w:hAnsi="Times New Roman" w:eastAsia="Times New Roman"/>
                <w:b w:val="0"/>
                <w:sz w:val="13"/>
              </w:rPr>
              <w:t>Excise duty - other industrial production</w:t>
            </w:r>
          </w:p>
        </w:tc>
        <w:tc>
          <w:tcPr>
            <w:tcW w:type="dxa" w:w="5472"/>
            <w:vAlign w:val="top"/>
          </w:tcPr>
          <w:p>
            <w:pPr>
              <w:spacing w:after="0" w:line="240" w:lineRule="auto"/>
            </w:pPr>
            <w:r/>
            <w:r>
              <w:rPr>
                <w:rFonts w:ascii="Times New Roman" w:hAnsi="Times New Roman" w:eastAsia="Times New Roman"/>
                <w:b w:val="0"/>
                <w:sz w:val="13"/>
              </w:rPr>
              <w:t>Excise duty on industrial products not falling under 33331, 33332 or 33333.</w:t>
            </w:r>
          </w:p>
        </w:tc>
      </w:tr>
    </w:tbl>
    <w:p/>
    <w:p>
      <w:pPr>
        <w:pStyle w:val="Heading2"/>
        <w:spacing w:after="80" w:line="252" w:lineRule="auto"/>
      </w:pPr>
      <w:r>
        <w:rPr>
          <w:rFonts w:ascii="Times New Roman" w:hAnsi="Times New Roman" w:eastAsia="Times New Roman"/>
          <w:b w:val="0"/>
          <w:i w:val="0"/>
        </w:rPr>
        <w:t>Schedule 2 - Long-term contract completed-percentage calculation form</w:t>
      </w:r>
    </w:p>
    <w:p>
      <w:pPr>
        <w:spacing w:after="80" w:line="252" w:lineRule="auto"/>
      </w:pPr>
      <w:r>
        <w:rPr>
          <w:rFonts w:ascii="Times New Roman" w:hAnsi="Times New Roman" w:eastAsia="Times New Roman"/>
          <w:b w:val="0"/>
          <w:i w:val="0"/>
          <w:sz w:val="21"/>
        </w:rPr>
        <w:t>This schedule contains the form for computation of percentage of completion of a long-term contract. It is used to determine contract progress and the amount of contract revenue and expenditure to be recognised in the relevant income year.</w:t>
      </w:r>
    </w:p>
    <w:tbl>
      <w:tblPr>
        <w:tblStyle w:val="TableGrid"/>
        <w:tblW w:type="auto" w:w="0"/>
        <w:jc w:val="center"/>
        <w:tblLook w:firstColumn="1" w:firstRow="1" w:lastColumn="0" w:lastRow="0" w:noHBand="0" w:noVBand="1" w:val="04A0"/>
      </w:tblPr>
      <w:tblGrid>
        <w:gridCol w:w="4946"/>
        <w:gridCol w:w="4946"/>
      </w:tblGrid>
      <w:tr>
        <w:trPr>
          <w:tblHeader w:val="true"/>
        </w:trPr>
        <w:tc>
          <w:tcPr>
            <w:tcW w:type="dxa" w:w="3312"/>
            <w:vAlign w:val="top"/>
            <w:shd w:fill="D9EAF7"/>
          </w:tcPr>
          <w:p>
            <w:pPr>
              <w:spacing w:after="0" w:line="240" w:lineRule="auto"/>
            </w:pPr>
            <w:r/>
            <w:r>
              <w:rPr>
                <w:rFonts w:ascii="Times New Roman" w:hAnsi="Times New Roman" w:eastAsia="Times New Roman"/>
                <w:b/>
                <w:sz w:val="14"/>
              </w:rPr>
              <w:t>Particular</w:t>
            </w:r>
          </w:p>
        </w:tc>
        <w:tc>
          <w:tcPr>
            <w:tcW w:type="dxa" w:w="7272"/>
            <w:vAlign w:val="top"/>
            <w:shd w:fill="D9EAF7"/>
          </w:tcPr>
          <w:p>
            <w:pPr>
              <w:spacing w:after="0" w:line="240" w:lineRule="auto"/>
            </w:pPr>
            <w:r/>
            <w:r>
              <w:rPr>
                <w:rFonts w:ascii="Times New Roman" w:hAnsi="Times New Roman" w:eastAsia="Times New Roman"/>
                <w:b/>
                <w:sz w:val="14"/>
              </w:rPr>
              <w:t>Description / amount</w:t>
            </w:r>
          </w:p>
        </w:tc>
      </w:tr>
      <w:tr>
        <w:tc>
          <w:tcPr>
            <w:tcW w:type="dxa" w:w="3312"/>
            <w:vAlign w:val="top"/>
          </w:tcPr>
          <w:p>
            <w:pPr>
              <w:spacing w:after="0" w:line="240" w:lineRule="auto"/>
            </w:pPr>
            <w:r/>
            <w:r>
              <w:rPr>
                <w:rFonts w:ascii="Times New Roman" w:hAnsi="Times New Roman" w:eastAsia="Times New Roman"/>
                <w:b w:val="0"/>
                <w:sz w:val="14"/>
              </w:rPr>
              <w:t>Contract identification</w:t>
            </w:r>
          </w:p>
        </w:tc>
        <w:tc>
          <w:tcPr>
            <w:tcW w:type="dxa" w:w="7272"/>
            <w:vAlign w:val="top"/>
          </w:tcPr>
          <w:p>
            <w:pPr>
              <w:spacing w:after="0" w:line="240" w:lineRule="auto"/>
            </w:pPr>
            <w:r/>
            <w:r>
              <w:rPr>
                <w:rFonts w:ascii="Times New Roman" w:hAnsi="Times New Roman" w:eastAsia="Times New Roman"/>
                <w:b w:val="0"/>
                <w:sz w:val="14"/>
              </w:rPr>
              <w:t>Name of contract, contract number, contracting party, contract start date, estimated completion date and income year.</w:t>
            </w:r>
          </w:p>
        </w:tc>
      </w:tr>
      <w:tr>
        <w:tc>
          <w:tcPr>
            <w:tcW w:type="dxa" w:w="3312"/>
            <w:vAlign w:val="top"/>
          </w:tcPr>
          <w:p>
            <w:pPr>
              <w:spacing w:after="0" w:line="240" w:lineRule="auto"/>
            </w:pPr>
            <w:r/>
            <w:r>
              <w:rPr>
                <w:rFonts w:ascii="Times New Roman" w:hAnsi="Times New Roman" w:eastAsia="Times New Roman"/>
                <w:b w:val="0"/>
                <w:sz w:val="14"/>
              </w:rPr>
              <w:t>Estimated total contract amount</w:t>
            </w:r>
          </w:p>
        </w:tc>
        <w:tc>
          <w:tcPr>
            <w:tcW w:type="dxa" w:w="7272"/>
            <w:vAlign w:val="top"/>
          </w:tcPr>
          <w:p>
            <w:pPr>
              <w:spacing w:after="0" w:line="240" w:lineRule="auto"/>
            </w:pPr>
            <w:r/>
            <w:r>
              <w:rPr>
                <w:rFonts w:ascii="Times New Roman" w:hAnsi="Times New Roman" w:eastAsia="Times New Roman"/>
                <w:b w:val="0"/>
                <w:sz w:val="14"/>
              </w:rPr>
              <w:t>Total contract consideration expected up to completion.</w:t>
            </w:r>
          </w:p>
        </w:tc>
      </w:tr>
      <w:tr>
        <w:tc>
          <w:tcPr>
            <w:tcW w:type="dxa" w:w="3312"/>
            <w:vAlign w:val="top"/>
          </w:tcPr>
          <w:p>
            <w:pPr>
              <w:spacing w:after="0" w:line="240" w:lineRule="auto"/>
            </w:pPr>
            <w:r/>
            <w:r>
              <w:rPr>
                <w:rFonts w:ascii="Times New Roman" w:hAnsi="Times New Roman" w:eastAsia="Times New Roman"/>
                <w:b w:val="0"/>
                <w:sz w:val="14"/>
              </w:rPr>
              <w:t>Estimated total contract cost</w:t>
            </w:r>
          </w:p>
        </w:tc>
        <w:tc>
          <w:tcPr>
            <w:tcW w:type="dxa" w:w="7272"/>
            <w:vAlign w:val="top"/>
          </w:tcPr>
          <w:p>
            <w:pPr>
              <w:spacing w:after="0" w:line="240" w:lineRule="auto"/>
            </w:pPr>
            <w:r/>
            <w:r>
              <w:rPr>
                <w:rFonts w:ascii="Times New Roman" w:hAnsi="Times New Roman" w:eastAsia="Times New Roman"/>
                <w:b w:val="0"/>
                <w:sz w:val="14"/>
              </w:rPr>
              <w:t>Total direct and indirect cost expected up to completion.</w:t>
            </w:r>
          </w:p>
        </w:tc>
      </w:tr>
      <w:tr>
        <w:tc>
          <w:tcPr>
            <w:tcW w:type="dxa" w:w="3312"/>
            <w:vAlign w:val="top"/>
          </w:tcPr>
          <w:p>
            <w:pPr>
              <w:spacing w:after="0" w:line="240" w:lineRule="auto"/>
            </w:pPr>
            <w:r/>
            <w:r>
              <w:rPr>
                <w:rFonts w:ascii="Times New Roman" w:hAnsi="Times New Roman" w:eastAsia="Times New Roman"/>
                <w:b w:val="0"/>
                <w:sz w:val="14"/>
              </w:rPr>
              <w:t>Cost incurred to date</w:t>
            </w:r>
          </w:p>
        </w:tc>
        <w:tc>
          <w:tcPr>
            <w:tcW w:type="dxa" w:w="7272"/>
            <w:vAlign w:val="top"/>
          </w:tcPr>
          <w:p>
            <w:pPr>
              <w:spacing w:after="0" w:line="240" w:lineRule="auto"/>
            </w:pPr>
            <w:r/>
            <w:r>
              <w:rPr>
                <w:rFonts w:ascii="Times New Roman" w:hAnsi="Times New Roman" w:eastAsia="Times New Roman"/>
                <w:b w:val="0"/>
                <w:sz w:val="14"/>
              </w:rPr>
              <w:t>Actual cost incurred up to the end of the relevant income year.</w:t>
            </w:r>
          </w:p>
        </w:tc>
      </w:tr>
      <w:tr>
        <w:tc>
          <w:tcPr>
            <w:tcW w:type="dxa" w:w="3312"/>
            <w:vAlign w:val="top"/>
          </w:tcPr>
          <w:p>
            <w:pPr>
              <w:spacing w:after="0" w:line="240" w:lineRule="auto"/>
            </w:pPr>
            <w:r/>
            <w:r>
              <w:rPr>
                <w:rFonts w:ascii="Times New Roman" w:hAnsi="Times New Roman" w:eastAsia="Times New Roman"/>
                <w:b w:val="0"/>
                <w:sz w:val="14"/>
              </w:rPr>
              <w:t>Completed percentage</w:t>
            </w:r>
          </w:p>
        </w:tc>
        <w:tc>
          <w:tcPr>
            <w:tcW w:type="dxa" w:w="7272"/>
            <w:vAlign w:val="top"/>
          </w:tcPr>
          <w:p>
            <w:pPr>
              <w:spacing w:after="0" w:line="240" w:lineRule="auto"/>
            </w:pPr>
            <w:r/>
            <w:r>
              <w:rPr>
                <w:rFonts w:ascii="Times New Roman" w:hAnsi="Times New Roman" w:eastAsia="Times New Roman"/>
                <w:b w:val="0"/>
                <w:sz w:val="14"/>
              </w:rPr>
              <w:t>Cost incurred to date divided by estimated total contract cost, or other method prescribed/accepted for the contract.</w:t>
            </w:r>
          </w:p>
        </w:tc>
      </w:tr>
      <w:tr>
        <w:tc>
          <w:tcPr>
            <w:tcW w:type="dxa" w:w="3312"/>
            <w:vAlign w:val="top"/>
          </w:tcPr>
          <w:p>
            <w:pPr>
              <w:spacing w:after="0" w:line="240" w:lineRule="auto"/>
            </w:pPr>
            <w:r/>
            <w:r>
              <w:rPr>
                <w:rFonts w:ascii="Times New Roman" w:hAnsi="Times New Roman" w:eastAsia="Times New Roman"/>
                <w:b w:val="0"/>
                <w:sz w:val="14"/>
              </w:rPr>
              <w:t>Income and deduction recognition</w:t>
            </w:r>
          </w:p>
        </w:tc>
        <w:tc>
          <w:tcPr>
            <w:tcW w:type="dxa" w:w="7272"/>
            <w:vAlign w:val="top"/>
          </w:tcPr>
          <w:p>
            <w:pPr>
              <w:spacing w:after="0" w:line="240" w:lineRule="auto"/>
            </w:pPr>
            <w:r/>
            <w:r>
              <w:rPr>
                <w:rFonts w:ascii="Times New Roman" w:hAnsi="Times New Roman" w:eastAsia="Times New Roman"/>
                <w:b w:val="0"/>
                <w:sz w:val="14"/>
              </w:rPr>
              <w:t>Amount to be included in income and amount deductible based on completed percentage and provisions explained in Chapter 20.</w:t>
            </w:r>
          </w:p>
        </w:tc>
      </w:tr>
    </w:tbl>
    <w:p/>
    <w:p>
      <w:pPr>
        <w:pStyle w:val="Heading2"/>
        <w:spacing w:after="80" w:line="252" w:lineRule="auto"/>
      </w:pPr>
      <w:r>
        <w:rPr>
          <w:rFonts w:ascii="Times New Roman" w:hAnsi="Times New Roman" w:eastAsia="Times New Roman"/>
          <w:b w:val="0"/>
          <w:i w:val="0"/>
        </w:rPr>
        <w:t>Schedule 3 - Calculation of amount to be included in income according to cumulative increase</w:t>
      </w:r>
    </w:p>
    <w:p>
      <w:pPr>
        <w:spacing w:after="80" w:line="252" w:lineRule="auto"/>
      </w:pPr>
      <w:r>
        <w:rPr>
          <w:rFonts w:ascii="Times New Roman" w:hAnsi="Times New Roman" w:eastAsia="Times New Roman"/>
          <w:b w:val="0"/>
          <w:i w:val="0"/>
          <w:sz w:val="21"/>
        </w:rPr>
        <w:t>This schedule provides the working format for determining the amount to be included in income under the cumulative-increase approach used for long-term contracts. It compares contract value, completed percentage and amounts included in previous years to determine current-year inclusion.</w:t>
      </w:r>
    </w:p>
    <w:p>
      <w:pPr>
        <w:pStyle w:val="Heading2"/>
        <w:spacing w:after="80" w:line="252" w:lineRule="auto"/>
      </w:pPr>
      <w:r>
        <w:rPr>
          <w:rFonts w:ascii="Times New Roman" w:hAnsi="Times New Roman" w:eastAsia="Times New Roman"/>
          <w:b w:val="0"/>
          <w:i w:val="0"/>
        </w:rPr>
        <w:t>Schedule 4 - Calculation of deductible amount according to cumulative increase</w:t>
      </w:r>
    </w:p>
    <w:p>
      <w:pPr>
        <w:spacing w:after="80" w:line="252" w:lineRule="auto"/>
      </w:pPr>
      <w:r>
        <w:rPr>
          <w:rFonts w:ascii="Times New Roman" w:hAnsi="Times New Roman" w:eastAsia="Times New Roman"/>
          <w:b w:val="0"/>
          <w:i w:val="0"/>
          <w:sz w:val="21"/>
        </w:rPr>
        <w:t>This schedule provides the working format for determining the deductible amount under the cumulative approach. It identifies estimated total cost, completion percentage, deductible amount up to date, deductions already claimed in earlier years and the current-year deduction.</w:t>
      </w:r>
    </w:p>
    <w:p>
      <w:pPr>
        <w:pStyle w:val="Heading2"/>
        <w:spacing w:after="80" w:line="252" w:lineRule="auto"/>
      </w:pPr>
      <w:r>
        <w:rPr>
          <w:rFonts w:ascii="Times New Roman" w:hAnsi="Times New Roman" w:eastAsia="Times New Roman"/>
          <w:b w:val="0"/>
          <w:i w:val="0"/>
        </w:rPr>
        <w:t>Schedule 5 - Estimated direct cost and total cost up to completion of contract</w:t>
      </w:r>
    </w:p>
    <w:p>
      <w:pPr>
        <w:spacing w:after="80" w:line="252" w:lineRule="auto"/>
      </w:pPr>
      <w:r>
        <w:rPr>
          <w:rFonts w:ascii="Times New Roman" w:hAnsi="Times New Roman" w:eastAsia="Times New Roman"/>
          <w:b w:val="0"/>
          <w:i w:val="0"/>
          <w:sz w:val="21"/>
        </w:rPr>
        <w:t>This schedule supports the long-term contract computation by showing estimated direct cost, estimated total cost up to completion, costs incurred and cost remaining to be incurred. It is used with the schedules above to support the computation of percentage completion, income inclusion and deduction.</w:t>
      </w:r>
    </w:p>
    <w:p>
      <w:pPr>
        <w:pStyle w:val="Heading2"/>
        <w:spacing w:after="80" w:line="252" w:lineRule="auto"/>
      </w:pPr>
      <w:r>
        <w:rPr>
          <w:rFonts w:ascii="Times New Roman" w:hAnsi="Times New Roman" w:eastAsia="Times New Roman"/>
          <w:b w:val="0"/>
          <w:i w:val="0"/>
        </w:rPr>
        <w:t>Schedule 4(A), 4(B), 4(C) and Schedule 5(A), 5(B), 5(C) - Industrial classifications and remote areas</w:t>
      </w:r>
    </w:p>
    <w:p>
      <w:pPr>
        <w:spacing w:after="80" w:line="252" w:lineRule="auto"/>
      </w:pPr>
      <w:r>
        <w:rPr>
          <w:rFonts w:ascii="Times New Roman" w:hAnsi="Times New Roman" w:eastAsia="Times New Roman"/>
          <w:b w:val="0"/>
          <w:i w:val="0"/>
          <w:sz w:val="21"/>
        </w:rPr>
        <w:t>These schedules reproduce or refer to classifications from the Industrial Enterprise Acts and list industries/areas relevant to concessions and facilities. The Directive includes classifications such as manufacturing industry, energy industry, agriculture and forest-based industry, mineral industry, infrastructure industry, tourism industry, information/communication/technology industry and service industry. It also includes lists of specified remote areas, village development committees/locations and districts for concession purposes under earlier and current industrial laws.</w:t>
      </w:r>
    </w:p>
    <w:tbl>
      <w:tblPr>
        <w:tblStyle w:val="TableGrid"/>
        <w:tblW w:type="auto" w:w="0"/>
        <w:jc w:val="center"/>
        <w:tblLook w:firstColumn="1" w:firstRow="1" w:lastColumn="0" w:lastRow="0" w:noHBand="0" w:noVBand="1" w:val="04A0"/>
      </w:tblPr>
      <w:tblGrid>
        <w:gridCol w:w="4946"/>
        <w:gridCol w:w="4946"/>
      </w:tblGrid>
      <w:tr>
        <w:trPr>
          <w:tblHeader w:val="true"/>
        </w:trPr>
        <w:tc>
          <w:tcPr>
            <w:tcW w:type="dxa" w:w="3168"/>
            <w:vAlign w:val="top"/>
            <w:shd w:fill="D9EAF7"/>
          </w:tcPr>
          <w:p>
            <w:pPr>
              <w:spacing w:after="0" w:line="240" w:lineRule="auto"/>
            </w:pPr>
            <w:r/>
            <w:r>
              <w:rPr>
                <w:rFonts w:ascii="Times New Roman" w:hAnsi="Times New Roman" w:eastAsia="Times New Roman"/>
                <w:b/>
                <w:sz w:val="14"/>
              </w:rPr>
              <w:t>Industry class</w:t>
            </w:r>
          </w:p>
        </w:tc>
        <w:tc>
          <w:tcPr>
            <w:tcW w:type="dxa" w:w="7416"/>
            <w:vAlign w:val="top"/>
            <w:shd w:fill="D9EAF7"/>
          </w:tcPr>
          <w:p>
            <w:pPr>
              <w:spacing w:after="0" w:line="240" w:lineRule="auto"/>
            </w:pPr>
            <w:r/>
            <w:r>
              <w:rPr>
                <w:rFonts w:ascii="Times New Roman" w:hAnsi="Times New Roman" w:eastAsia="Times New Roman"/>
                <w:b/>
                <w:sz w:val="14"/>
              </w:rPr>
              <w:t>Indicative coverage translated from the schedules</w:t>
            </w:r>
          </w:p>
        </w:tc>
      </w:tr>
      <w:tr>
        <w:tc>
          <w:tcPr>
            <w:tcW w:type="dxa" w:w="3168"/>
            <w:vAlign w:val="top"/>
          </w:tcPr>
          <w:p>
            <w:pPr>
              <w:spacing w:after="0" w:line="240" w:lineRule="auto"/>
            </w:pPr>
            <w:r/>
            <w:r>
              <w:rPr>
                <w:rFonts w:ascii="Times New Roman" w:hAnsi="Times New Roman" w:eastAsia="Times New Roman"/>
                <w:b w:val="0"/>
                <w:sz w:val="14"/>
              </w:rPr>
              <w:t>Manufacturing industry</w:t>
            </w:r>
          </w:p>
        </w:tc>
        <w:tc>
          <w:tcPr>
            <w:tcW w:type="dxa" w:w="7416"/>
            <w:vAlign w:val="top"/>
          </w:tcPr>
          <w:p>
            <w:pPr>
              <w:spacing w:after="0" w:line="240" w:lineRule="auto"/>
            </w:pPr>
            <w:r/>
            <w:r>
              <w:rPr>
                <w:rFonts w:ascii="Times New Roman" w:hAnsi="Times New Roman" w:eastAsia="Times New Roman"/>
                <w:b w:val="0"/>
                <w:sz w:val="14"/>
              </w:rPr>
              <w:t>Use or processing of raw, semi-processed, waste or other materials to produce goods.</w:t>
            </w:r>
          </w:p>
        </w:tc>
      </w:tr>
      <w:tr>
        <w:tc>
          <w:tcPr>
            <w:tcW w:type="dxa" w:w="3168"/>
            <w:vAlign w:val="top"/>
          </w:tcPr>
          <w:p>
            <w:pPr>
              <w:spacing w:after="0" w:line="240" w:lineRule="auto"/>
            </w:pPr>
            <w:r/>
            <w:r>
              <w:rPr>
                <w:rFonts w:ascii="Times New Roman" w:hAnsi="Times New Roman" w:eastAsia="Times New Roman"/>
                <w:b w:val="0"/>
                <w:sz w:val="14"/>
              </w:rPr>
              <w:t>Energy industry</w:t>
            </w:r>
          </w:p>
        </w:tc>
        <w:tc>
          <w:tcPr>
            <w:tcW w:type="dxa" w:w="7416"/>
            <w:vAlign w:val="top"/>
          </w:tcPr>
          <w:p>
            <w:pPr>
              <w:spacing w:after="0" w:line="240" w:lineRule="auto"/>
            </w:pPr>
            <w:r/>
            <w:r>
              <w:rPr>
                <w:rFonts w:ascii="Times New Roman" w:hAnsi="Times New Roman" w:eastAsia="Times New Roman"/>
                <w:b w:val="0"/>
                <w:sz w:val="14"/>
              </w:rPr>
              <w:t>Generation of energy from water resources, wind, solar, coal, natural oil, gas, biogas or other sources.</w:t>
            </w:r>
          </w:p>
        </w:tc>
      </w:tr>
      <w:tr>
        <w:tc>
          <w:tcPr>
            <w:tcW w:type="dxa" w:w="3168"/>
            <w:vAlign w:val="top"/>
          </w:tcPr>
          <w:p>
            <w:pPr>
              <w:spacing w:after="0" w:line="240" w:lineRule="auto"/>
            </w:pPr>
            <w:r/>
            <w:r>
              <w:rPr>
                <w:rFonts w:ascii="Times New Roman" w:hAnsi="Times New Roman" w:eastAsia="Times New Roman"/>
                <w:b w:val="0"/>
                <w:sz w:val="14"/>
              </w:rPr>
              <w:t>Agriculture and forest-based industry</w:t>
            </w:r>
          </w:p>
        </w:tc>
        <w:tc>
          <w:tcPr>
            <w:tcW w:type="dxa" w:w="7416"/>
            <w:vAlign w:val="top"/>
          </w:tcPr>
          <w:p>
            <w:pPr>
              <w:spacing w:after="0" w:line="240" w:lineRule="auto"/>
            </w:pPr>
            <w:r/>
            <w:r>
              <w:rPr>
                <w:rFonts w:ascii="Times New Roman" w:hAnsi="Times New Roman" w:eastAsia="Times New Roman"/>
                <w:b w:val="0"/>
                <w:sz w:val="14"/>
              </w:rPr>
              <w:t>Sericulture, fruit farming and processing, animal husbandry, dairy, poultry, fishery, tea and coffee farming/processing, herbs, vegetable seeds, mushroom/vegetable farming, tissue culture, greenhouse, beekeeping, honey, rubber and floriculture, leasehold forest and agroforestry.</w:t>
            </w:r>
          </w:p>
        </w:tc>
      </w:tr>
      <w:tr>
        <w:tc>
          <w:tcPr>
            <w:tcW w:type="dxa" w:w="3168"/>
            <w:vAlign w:val="top"/>
          </w:tcPr>
          <w:p>
            <w:pPr>
              <w:spacing w:after="0" w:line="240" w:lineRule="auto"/>
            </w:pPr>
            <w:r/>
            <w:r>
              <w:rPr>
                <w:rFonts w:ascii="Times New Roman" w:hAnsi="Times New Roman" w:eastAsia="Times New Roman"/>
                <w:b w:val="0"/>
                <w:sz w:val="14"/>
              </w:rPr>
              <w:t>Mineral industry</w:t>
            </w:r>
          </w:p>
        </w:tc>
        <w:tc>
          <w:tcPr>
            <w:tcW w:type="dxa" w:w="7416"/>
            <w:vAlign w:val="top"/>
          </w:tcPr>
          <w:p>
            <w:pPr>
              <w:spacing w:after="0" w:line="240" w:lineRule="auto"/>
            </w:pPr>
            <w:r/>
            <w:r>
              <w:rPr>
                <w:rFonts w:ascii="Times New Roman" w:hAnsi="Times New Roman" w:eastAsia="Times New Roman"/>
                <w:b w:val="0"/>
                <w:sz w:val="14"/>
              </w:rPr>
              <w:t>Extraction or processing of minerals.</w:t>
            </w:r>
          </w:p>
        </w:tc>
      </w:tr>
      <w:tr>
        <w:tc>
          <w:tcPr>
            <w:tcW w:type="dxa" w:w="3168"/>
            <w:vAlign w:val="top"/>
          </w:tcPr>
          <w:p>
            <w:pPr>
              <w:spacing w:after="0" w:line="240" w:lineRule="auto"/>
            </w:pPr>
            <w:r/>
            <w:r>
              <w:rPr>
                <w:rFonts w:ascii="Times New Roman" w:hAnsi="Times New Roman" w:eastAsia="Times New Roman"/>
                <w:b w:val="0"/>
                <w:sz w:val="14"/>
              </w:rPr>
              <w:t>Tourism industry</w:t>
            </w:r>
          </w:p>
        </w:tc>
        <w:tc>
          <w:tcPr>
            <w:tcW w:type="dxa" w:w="7416"/>
            <w:vAlign w:val="top"/>
          </w:tcPr>
          <w:p>
            <w:pPr>
              <w:spacing w:after="0" w:line="240" w:lineRule="auto"/>
            </w:pPr>
            <w:r/>
            <w:r>
              <w:rPr>
                <w:rFonts w:ascii="Times New Roman" w:hAnsi="Times New Roman" w:eastAsia="Times New Roman"/>
                <w:b w:val="0"/>
                <w:sz w:val="14"/>
              </w:rPr>
              <w:t>Tourism accommodation, motel, hotel, restaurant, resort, travel agency, skiing, gliding, rafting, cable car, trekking, hot-air ballooning, parasailing, golf course, polo, horse riding and related businesses.</w:t>
            </w:r>
          </w:p>
        </w:tc>
      </w:tr>
      <w:tr>
        <w:tc>
          <w:tcPr>
            <w:tcW w:type="dxa" w:w="3168"/>
            <w:vAlign w:val="top"/>
          </w:tcPr>
          <w:p>
            <w:pPr>
              <w:spacing w:after="0" w:line="240" w:lineRule="auto"/>
            </w:pPr>
            <w:r/>
            <w:r>
              <w:rPr>
                <w:rFonts w:ascii="Times New Roman" w:hAnsi="Times New Roman" w:eastAsia="Times New Roman"/>
                <w:b w:val="0"/>
                <w:sz w:val="14"/>
              </w:rPr>
              <w:t>Service industry</w:t>
            </w:r>
          </w:p>
        </w:tc>
        <w:tc>
          <w:tcPr>
            <w:tcW w:type="dxa" w:w="7416"/>
            <w:vAlign w:val="top"/>
          </w:tcPr>
          <w:p>
            <w:pPr>
              <w:spacing w:after="0" w:line="240" w:lineRule="auto"/>
            </w:pPr>
            <w:r/>
            <w:r>
              <w:rPr>
                <w:rFonts w:ascii="Times New Roman" w:hAnsi="Times New Roman" w:eastAsia="Times New Roman"/>
                <w:b w:val="0"/>
                <w:sz w:val="14"/>
              </w:rPr>
              <w:t>Workshop, printing press, consultancy, ginning and baling, film business, construction business, public transport, photography, hospital, nursing home, educational/training institute, laboratory, air service, cold storage and similar services.</w:t>
            </w:r>
          </w:p>
        </w:tc>
      </w:tr>
      <w:tr>
        <w:tc>
          <w:tcPr>
            <w:tcW w:type="dxa" w:w="3168"/>
            <w:vAlign w:val="top"/>
          </w:tcPr>
          <w:p>
            <w:pPr>
              <w:spacing w:after="0" w:line="240" w:lineRule="auto"/>
            </w:pPr>
            <w:r/>
            <w:r>
              <w:rPr>
                <w:rFonts w:ascii="Times New Roman" w:hAnsi="Times New Roman" w:eastAsia="Times New Roman"/>
                <w:b w:val="0"/>
                <w:sz w:val="14"/>
              </w:rPr>
              <w:t>Infrastructure / construction industry</w:t>
            </w:r>
          </w:p>
        </w:tc>
        <w:tc>
          <w:tcPr>
            <w:tcW w:type="dxa" w:w="7416"/>
            <w:vAlign w:val="top"/>
          </w:tcPr>
          <w:p>
            <w:pPr>
              <w:spacing w:after="0" w:line="240" w:lineRule="auto"/>
            </w:pPr>
            <w:r/>
            <w:r>
              <w:rPr>
                <w:rFonts w:ascii="Times New Roman" w:hAnsi="Times New Roman" w:eastAsia="Times New Roman"/>
                <w:b w:val="0"/>
                <w:sz w:val="14"/>
              </w:rPr>
              <w:t>Road, bridge, ropeway, railway, trolleybus, tunnel, flying bridge, industrial/commercial/residential complex and similar infrastructure construction and operation.</w:t>
            </w:r>
          </w:p>
        </w:tc>
      </w:tr>
    </w:tbl>
    <w:p/>
    <w:p>
      <w:pPr>
        <w:pStyle w:val="Heading2"/>
        <w:spacing w:after="80" w:line="252" w:lineRule="auto"/>
      </w:pPr>
      <w:r>
        <w:rPr>
          <w:rFonts w:ascii="Times New Roman" w:hAnsi="Times New Roman" w:eastAsia="Times New Roman"/>
          <w:b w:val="0"/>
          <w:i w:val="0"/>
        </w:rPr>
        <w:t>Schedule 6 - Format of application for advance ruling on ambiguity</w:t>
      </w:r>
    </w:p>
    <w:p>
      <w:pPr>
        <w:spacing w:after="80" w:line="252" w:lineRule="auto"/>
      </w:pPr>
      <w:r>
        <w:rPr>
          <w:rFonts w:ascii="Times New Roman" w:hAnsi="Times New Roman" w:eastAsia="Times New Roman"/>
          <w:b w:val="0"/>
          <w:i w:val="0"/>
          <w:sz w:val="21"/>
        </w:rPr>
        <w:t>The application is addressed to the Director General, Inland Revenue Department. It requests an advance ruling where ambiguity exists under the Income Tax Act/Rules or VAT Act/Rules. The applicant affixes a Rs. 10 stamp and declares that the matter is not pending in a court and has not been decided by a court.</w:t>
      </w:r>
    </w:p>
    <w:p>
      <w:pPr>
        <w:pStyle w:val="ListBullet"/>
        <w:spacing w:after="80" w:line="252" w:lineRule="auto"/>
      </w:pPr>
      <w:r>
        <w:rPr>
          <w:rFonts w:ascii="Times New Roman" w:hAnsi="Times New Roman" w:eastAsia="Times New Roman"/>
          <w:b w:val="0"/>
          <w:i w:val="0"/>
        </w:rPr>
        <w:t>Section/rule of the Act/Rules in which ambiguity exists.</w:t>
      </w:r>
    </w:p>
    <w:p>
      <w:pPr>
        <w:pStyle w:val="ListBullet"/>
        <w:spacing w:after="80" w:line="252" w:lineRule="auto"/>
      </w:pPr>
      <w:r>
        <w:rPr>
          <w:rFonts w:ascii="Times New Roman" w:hAnsi="Times New Roman" w:eastAsia="Times New Roman"/>
          <w:b w:val="0"/>
          <w:i w:val="0"/>
        </w:rPr>
        <w:t>Provision contained in that section/rule.</w:t>
      </w:r>
    </w:p>
    <w:p>
      <w:pPr>
        <w:pStyle w:val="ListBullet"/>
        <w:spacing w:after="80" w:line="252" w:lineRule="auto"/>
      </w:pPr>
      <w:r>
        <w:rPr>
          <w:rFonts w:ascii="Times New Roman" w:hAnsi="Times New Roman" w:eastAsia="Times New Roman"/>
          <w:b w:val="0"/>
          <w:i w:val="0"/>
        </w:rPr>
        <w:t>Nature of ambiguity or difficulty.</w:t>
      </w:r>
    </w:p>
    <w:p>
      <w:pPr>
        <w:pStyle w:val="ListBullet"/>
        <w:spacing w:after="80" w:line="252" w:lineRule="auto"/>
      </w:pPr>
      <w:r>
        <w:rPr>
          <w:rFonts w:ascii="Times New Roman" w:hAnsi="Times New Roman" w:eastAsia="Times New Roman"/>
          <w:b w:val="0"/>
          <w:i w:val="0"/>
        </w:rPr>
        <w:t>Ruling requested and taxpayer’s suggestion with justification.</w:t>
      </w:r>
    </w:p>
    <w:p>
      <w:pPr>
        <w:pStyle w:val="ListBullet"/>
        <w:spacing w:after="80" w:line="252" w:lineRule="auto"/>
      </w:pPr>
      <w:r>
        <w:rPr>
          <w:rFonts w:ascii="Times New Roman" w:hAnsi="Times New Roman" w:eastAsia="Times New Roman"/>
          <w:b w:val="0"/>
          <w:i w:val="0"/>
        </w:rPr>
        <w:t>Documents attached.</w:t>
      </w:r>
    </w:p>
    <w:p>
      <w:pPr>
        <w:pStyle w:val="ListBullet"/>
        <w:spacing w:after="80" w:line="252" w:lineRule="auto"/>
      </w:pPr>
      <w:r>
        <w:rPr>
          <w:rFonts w:ascii="Times New Roman" w:hAnsi="Times New Roman" w:eastAsia="Times New Roman"/>
          <w:b w:val="0"/>
          <w:i w:val="0"/>
        </w:rPr>
        <w:t>Declaration that the subject of the ruling relates to the applicant’s own transaction.</w:t>
      </w:r>
    </w:p>
    <w:p>
      <w:pPr>
        <w:pStyle w:val="ListBullet"/>
        <w:spacing w:after="80" w:line="252" w:lineRule="auto"/>
      </w:pPr>
      <w:r>
        <w:rPr>
          <w:rFonts w:ascii="Times New Roman" w:hAnsi="Times New Roman" w:eastAsia="Times New Roman"/>
          <w:b w:val="0"/>
          <w:i w:val="0"/>
        </w:rPr>
        <w:t>Details of applying entity: name, address, PAN and relationship of applicant with the entity.</w:t>
      </w:r>
    </w:p>
    <w:p>
      <w:pPr>
        <w:pStyle w:val="ListBullet"/>
        <w:spacing w:after="80" w:line="252" w:lineRule="auto"/>
      </w:pPr>
      <w:r>
        <w:rPr>
          <w:rFonts w:ascii="Times New Roman" w:hAnsi="Times New Roman" w:eastAsia="Times New Roman"/>
          <w:b w:val="0"/>
          <w:i w:val="0"/>
        </w:rPr>
        <w:t>Details of person applying: name, signature, designation, address and telephone/mobile number.</w:t>
      </w:r>
    </w:p>
    <w:p>
      <w:pPr>
        <w:pStyle w:val="Heading2"/>
        <w:spacing w:after="80" w:line="252" w:lineRule="auto"/>
      </w:pPr>
      <w:r>
        <w:rPr>
          <w:rFonts w:ascii="Times New Roman" w:hAnsi="Times New Roman" w:eastAsia="Times New Roman"/>
          <w:b w:val="0"/>
          <w:i w:val="0"/>
        </w:rPr>
        <w:t>Schedule 7 - Application for renewal of organization entitled to enjoy exemption certificate</w:t>
      </w:r>
    </w:p>
    <w:p>
      <w:pPr>
        <w:spacing w:after="80" w:line="252" w:lineRule="auto"/>
      </w:pPr>
      <w:r>
        <w:rPr>
          <w:rFonts w:ascii="Times New Roman" w:hAnsi="Times New Roman" w:eastAsia="Times New Roman"/>
          <w:b w:val="0"/>
          <w:i w:val="0"/>
          <w:sz w:val="21"/>
        </w:rPr>
        <w:t>The application is addressed to the concerned Tax Officer/Chief Tax Officer/Chief Tax Administrator. It requests renewal of the registration certificate of a organization entitled to enjoy exemption under Rule 5A of the Income Tax Rules, 2059. The application attaches financial statements, income return under section 96, details/evidence of tax withheld and deposited, and copies of any amendment to the constitution or objectives of the organisation.</w:t>
      </w:r>
    </w:p>
    <w:p>
      <w:pPr>
        <w:pStyle w:val="Heading2"/>
        <w:spacing w:after="80" w:line="252" w:lineRule="auto"/>
      </w:pPr>
      <w:r>
        <w:rPr>
          <w:rFonts w:ascii="Times New Roman" w:hAnsi="Times New Roman" w:eastAsia="Times New Roman"/>
          <w:b w:val="0"/>
          <w:i w:val="0"/>
        </w:rPr>
        <w:t>Schedule 8 - Certificate of registration of organization entitled to enjoy exemption</w:t>
      </w:r>
    </w:p>
    <w:p>
      <w:pPr>
        <w:spacing w:after="80" w:line="252" w:lineRule="auto"/>
      </w:pPr>
      <w:r>
        <w:rPr>
          <w:rFonts w:ascii="Times New Roman" w:hAnsi="Times New Roman" w:eastAsia="Times New Roman"/>
          <w:b w:val="0"/>
          <w:i w:val="0"/>
          <w:sz w:val="21"/>
        </w:rPr>
        <w:t>The certificate is issued by the Government of Nepal, Ministry of Finance, Inland Revenue Department. It records exemption certificate number, issue date, PAN, name, address, phone, email/website, objectives, geographic area of work, original registration body/number/date and details of the main person. The certificate states that the organisation is registered as a organization entitled to enjoy exemption under section 2 of the Act and Rule 3 of the Rules where it satisfies the non-profit/social/sports organisation conditions.</w:t>
      </w:r>
    </w:p>
    <w:p>
      <w:pPr>
        <w:pStyle w:val="Heading2"/>
        <w:spacing w:after="80" w:line="252" w:lineRule="auto"/>
      </w:pPr>
      <w:r>
        <w:rPr>
          <w:rFonts w:ascii="Times New Roman" w:hAnsi="Times New Roman" w:eastAsia="Times New Roman"/>
          <w:b w:val="0"/>
          <w:i w:val="0"/>
        </w:rPr>
        <w:t>Schedule 9 - Renewal details and compliance notes for organizations entitled to enjoy exemption</w:t>
      </w:r>
    </w:p>
    <w:tbl>
      <w:tblPr>
        <w:tblStyle w:val="TableGrid"/>
        <w:tblW w:type="auto" w:w="0"/>
        <w:jc w:val="center"/>
        <w:tblLook w:firstColumn="1" w:firstRow="1" w:lastColumn="0" w:lastRow="0" w:noHBand="0" w:noVBand="1" w:val="04A0"/>
      </w:tblPr>
      <w:tblGrid>
        <w:gridCol w:w="4946"/>
        <w:gridCol w:w="4946"/>
      </w:tblGrid>
      <w:tr>
        <w:trPr>
          <w:tblHeader w:val="true"/>
        </w:trPr>
        <w:tc>
          <w:tcPr>
            <w:tcW w:type="dxa" w:w="3168"/>
            <w:vAlign w:val="top"/>
            <w:shd w:fill="D9EAF7"/>
          </w:tcPr>
          <w:p>
            <w:pPr>
              <w:spacing w:after="0" w:line="240" w:lineRule="auto"/>
            </w:pPr>
            <w:r/>
            <w:r>
              <w:rPr>
                <w:rFonts w:ascii="Times New Roman" w:hAnsi="Times New Roman" w:eastAsia="Times New Roman"/>
                <w:b/>
                <w:sz w:val="14"/>
              </w:rPr>
              <w:t>Compliance point</w:t>
            </w:r>
          </w:p>
        </w:tc>
        <w:tc>
          <w:tcPr>
            <w:tcW w:type="dxa" w:w="7416"/>
            <w:vAlign w:val="top"/>
            <w:shd w:fill="D9EAF7"/>
          </w:tcPr>
          <w:p>
            <w:pPr>
              <w:spacing w:after="0" w:line="240" w:lineRule="auto"/>
            </w:pPr>
            <w:r/>
            <w:r>
              <w:rPr>
                <w:rFonts w:ascii="Times New Roman" w:hAnsi="Times New Roman" w:eastAsia="Times New Roman"/>
                <w:b/>
                <w:sz w:val="14"/>
              </w:rPr>
              <w:t>Requirement</w:t>
            </w:r>
          </w:p>
        </w:tc>
      </w:tr>
      <w:tr>
        <w:tc>
          <w:tcPr>
            <w:tcW w:type="dxa" w:w="3168"/>
            <w:vAlign w:val="top"/>
          </w:tcPr>
          <w:p>
            <w:pPr>
              <w:spacing w:after="0" w:line="240" w:lineRule="auto"/>
            </w:pPr>
            <w:r/>
            <w:r>
              <w:rPr>
                <w:rFonts w:ascii="Times New Roman" w:hAnsi="Times New Roman" w:eastAsia="Times New Roman"/>
                <w:b w:val="0"/>
                <w:sz w:val="14"/>
              </w:rPr>
              <w:t>Scope of exemption</w:t>
            </w:r>
          </w:p>
        </w:tc>
        <w:tc>
          <w:tcPr>
            <w:tcW w:type="dxa" w:w="7416"/>
            <w:vAlign w:val="top"/>
          </w:tcPr>
          <w:p>
            <w:pPr>
              <w:spacing w:after="0" w:line="240" w:lineRule="auto"/>
            </w:pPr>
            <w:r/>
            <w:r>
              <w:rPr>
                <w:rFonts w:ascii="Times New Roman" w:hAnsi="Times New Roman" w:eastAsia="Times New Roman"/>
                <w:b w:val="0"/>
                <w:sz w:val="14"/>
              </w:rPr>
              <w:t>Exemption is not available for activities other than those stated in the certificate.</w:t>
            </w:r>
          </w:p>
        </w:tc>
      </w:tr>
      <w:tr>
        <w:tc>
          <w:tcPr>
            <w:tcW w:type="dxa" w:w="3168"/>
            <w:vAlign w:val="top"/>
          </w:tcPr>
          <w:p>
            <w:pPr>
              <w:spacing w:after="0" w:line="240" w:lineRule="auto"/>
            </w:pPr>
            <w:r/>
            <w:r>
              <w:rPr>
                <w:rFonts w:ascii="Times New Roman" w:hAnsi="Times New Roman" w:eastAsia="Times New Roman"/>
                <w:b w:val="0"/>
                <w:sz w:val="14"/>
              </w:rPr>
              <w:t>Exempt income</w:t>
            </w:r>
          </w:p>
        </w:tc>
        <w:tc>
          <w:tcPr>
            <w:tcW w:type="dxa" w:w="7416"/>
            <w:vAlign w:val="top"/>
          </w:tcPr>
          <w:p>
            <w:pPr>
              <w:spacing w:after="0" w:line="240" w:lineRule="auto"/>
            </w:pPr>
            <w:r/>
            <w:r>
              <w:rPr>
                <w:rFonts w:ascii="Times New Roman" w:hAnsi="Times New Roman" w:eastAsia="Times New Roman"/>
                <w:b w:val="0"/>
                <w:sz w:val="14"/>
              </w:rPr>
              <w:t>Donation/gift and contribution directly connected with the exempt purpose and made without consideration or expectation of consideration are covered.</w:t>
            </w:r>
          </w:p>
        </w:tc>
      </w:tr>
      <w:tr>
        <w:tc>
          <w:tcPr>
            <w:tcW w:type="dxa" w:w="3168"/>
            <w:vAlign w:val="top"/>
          </w:tcPr>
          <w:p>
            <w:pPr>
              <w:spacing w:after="0" w:line="240" w:lineRule="auto"/>
            </w:pPr>
            <w:r/>
            <w:r>
              <w:rPr>
                <w:rFonts w:ascii="Times New Roman" w:hAnsi="Times New Roman" w:eastAsia="Times New Roman"/>
                <w:b w:val="0"/>
                <w:sz w:val="14"/>
              </w:rPr>
              <w:t>Other income</w:t>
            </w:r>
          </w:p>
        </w:tc>
        <w:tc>
          <w:tcPr>
            <w:tcW w:type="dxa" w:w="7416"/>
            <w:vAlign w:val="top"/>
          </w:tcPr>
          <w:p>
            <w:pPr>
              <w:spacing w:after="0" w:line="240" w:lineRule="auto"/>
            </w:pPr>
            <w:r/>
            <w:r>
              <w:rPr>
                <w:rFonts w:ascii="Times New Roman" w:hAnsi="Times New Roman" w:eastAsia="Times New Roman"/>
                <w:b w:val="0"/>
                <w:sz w:val="14"/>
              </w:rPr>
              <w:t>Other income must be included in taxable income, return filed under section 96 and tax assessed/deposited under section 99.</w:t>
            </w:r>
          </w:p>
        </w:tc>
      </w:tr>
      <w:tr>
        <w:tc>
          <w:tcPr>
            <w:tcW w:type="dxa" w:w="3168"/>
            <w:vAlign w:val="top"/>
          </w:tcPr>
          <w:p>
            <w:pPr>
              <w:spacing w:after="0" w:line="240" w:lineRule="auto"/>
            </w:pPr>
            <w:r/>
            <w:r>
              <w:rPr>
                <w:rFonts w:ascii="Times New Roman" w:hAnsi="Times New Roman" w:eastAsia="Times New Roman"/>
                <w:b w:val="0"/>
                <w:sz w:val="14"/>
              </w:rPr>
              <w:t>Withholding</w:t>
            </w:r>
          </w:p>
        </w:tc>
        <w:tc>
          <w:tcPr>
            <w:tcW w:type="dxa" w:w="7416"/>
            <w:vAlign w:val="top"/>
          </w:tcPr>
          <w:p>
            <w:pPr>
              <w:spacing w:after="0" w:line="240" w:lineRule="auto"/>
            </w:pPr>
            <w:r>
              <w:t>Tax must be withheld and deposited on remuneration, service charge, investment return, windfall gain, contract or other payments under sections 87, 88, 88A and 89.</w:t>
            </w:r>
            <w:r>
              <w:rPr>
                <w:rFonts w:ascii="Times New Roman" w:hAnsi="Times New Roman" w:eastAsia="Times New Roman"/>
                <w:b w:val="0"/>
                <w:sz w:val="14"/>
              </w:rPr>
            </w:r>
          </w:p>
        </w:tc>
      </w:tr>
      <w:tr>
        <w:tc>
          <w:tcPr>
            <w:tcW w:type="dxa" w:w="3168"/>
            <w:vAlign w:val="top"/>
          </w:tcPr>
          <w:p>
            <w:pPr>
              <w:spacing w:after="0" w:line="240" w:lineRule="auto"/>
            </w:pPr>
            <w:r/>
            <w:r>
              <w:rPr>
                <w:rFonts w:ascii="Times New Roman" w:hAnsi="Times New Roman" w:eastAsia="Times New Roman"/>
                <w:b w:val="0"/>
                <w:sz w:val="14"/>
              </w:rPr>
              <w:t>Renewal</w:t>
            </w:r>
          </w:p>
        </w:tc>
        <w:tc>
          <w:tcPr>
            <w:tcW w:type="dxa" w:w="7416"/>
            <w:vAlign w:val="top"/>
          </w:tcPr>
          <w:p>
            <w:pPr>
              <w:spacing w:after="0" w:line="240" w:lineRule="auto"/>
            </w:pPr>
            <w:r/>
            <w:r>
              <w:rPr>
                <w:rFonts w:ascii="Times New Roman" w:hAnsi="Times New Roman" w:eastAsia="Times New Roman"/>
                <w:b w:val="0"/>
                <w:sz w:val="14"/>
              </w:rPr>
              <w:t>Certificate must be renewed within one year after the end of each income year by submitting the income return and evidence of tax withheld and deposited.</w:t>
            </w:r>
          </w:p>
        </w:tc>
      </w:tr>
      <w:tr>
        <w:tc>
          <w:tcPr>
            <w:tcW w:type="dxa" w:w="3168"/>
            <w:vAlign w:val="top"/>
          </w:tcPr>
          <w:p>
            <w:pPr>
              <w:spacing w:after="0" w:line="240" w:lineRule="auto"/>
            </w:pPr>
            <w:r/>
            <w:r>
              <w:rPr>
                <w:rFonts w:ascii="Times New Roman" w:hAnsi="Times New Roman" w:eastAsia="Times New Roman"/>
                <w:b w:val="0"/>
                <w:sz w:val="14"/>
              </w:rPr>
              <w:t>Failure to renew</w:t>
            </w:r>
          </w:p>
        </w:tc>
        <w:tc>
          <w:tcPr>
            <w:tcW w:type="dxa" w:w="7416"/>
            <w:vAlign w:val="top"/>
          </w:tcPr>
          <w:p>
            <w:pPr>
              <w:spacing w:after="0" w:line="240" w:lineRule="auto"/>
            </w:pPr>
            <w:r/>
            <w:r>
              <w:rPr>
                <w:rFonts w:ascii="Times New Roman" w:hAnsi="Times New Roman" w:eastAsia="Times New Roman"/>
                <w:b w:val="0"/>
                <w:sz w:val="14"/>
              </w:rPr>
              <w:t>If the certificate is not renewed within the prescribed time, the tax-exemption facility is not available.</w:t>
            </w:r>
          </w:p>
        </w:tc>
      </w:tr>
    </w:tbl>
    <w:p/>
    <w:p>
      <w:pPr>
        <w:pStyle w:val="Heading2"/>
        <w:spacing w:after="80" w:line="252" w:lineRule="auto"/>
      </w:pPr>
      <w:r>
        <w:rPr>
          <w:rFonts w:ascii="Times New Roman" w:hAnsi="Times New Roman" w:eastAsia="Times New Roman"/>
          <w:b w:val="0"/>
          <w:i w:val="0"/>
        </w:rPr>
        <w:t>Schedule 10 - Tax rates on remuneration income of a natural person</w:t>
      </w:r>
    </w:p>
    <w:p>
      <w:pPr>
        <w:spacing w:after="80" w:line="252" w:lineRule="auto"/>
      </w:pPr>
      <w:r>
        <w:rPr>
          <w:rFonts w:ascii="Times New Roman" w:hAnsi="Times New Roman" w:eastAsia="Times New Roman"/>
          <w:b w:val="0"/>
          <w:i w:val="0"/>
          <w:sz w:val="21"/>
        </w:rPr>
        <w:t>This schedule presents slabs of tax rates applicable to remuneration income of a natural person for relevant fiscal years, with separate columns for an individual and a couple. For fiscal year 2079/80, the table begins with a one per cent tax up to Rs. 500,000 for a single individual and up to Rs. 600,000 for a couple, followed by progressive higher slabs as prescribed by the applicable Finance Act.</w:t>
      </w:r>
    </w:p>
    <w:p>
      <w:pPr>
        <w:pStyle w:val="Heading2"/>
        <w:spacing w:after="80" w:line="252" w:lineRule="auto"/>
      </w:pPr>
      <w:r>
        <w:rPr>
          <w:rFonts w:ascii="Times New Roman" w:hAnsi="Times New Roman" w:eastAsia="Times New Roman"/>
          <w:b w:val="0"/>
          <w:i w:val="0"/>
        </w:rPr>
        <w:t>Schedule 11 - Certificate of Residence</w:t>
      </w:r>
    </w:p>
    <w:p>
      <w:pPr>
        <w:spacing w:after="80" w:line="252" w:lineRule="auto"/>
      </w:pPr>
      <w:r>
        <w:rPr>
          <w:rFonts w:ascii="Times New Roman" w:hAnsi="Times New Roman" w:eastAsia="Times New Roman"/>
          <w:b w:val="0"/>
          <w:i w:val="0"/>
          <w:sz w:val="21"/>
        </w:rPr>
        <w:t>The Certificate of Residence is in English and is issued by the concerned office of the Inland Revenue Department. It includes the name of the person, status, nationality or country of incorporation/registration, PAN, residential status for tax purposes, period for which the certificate is applicable, address during the period of tax residence, and full name, signature and designation of the issuing authority.</w:t>
      </w:r>
    </w:p>
    <w:p>
      <w:pPr>
        <w:pStyle w:val="Heading2"/>
        <w:spacing w:after="80" w:line="252" w:lineRule="auto"/>
      </w:pPr>
      <w:r>
        <w:rPr>
          <w:rFonts w:ascii="Times New Roman" w:hAnsi="Times New Roman" w:eastAsia="Times New Roman"/>
          <w:b w:val="0"/>
          <w:i w:val="0"/>
        </w:rPr>
        <w:t>Schedule 12 - Application format for refund of excess income tax deposited</w:t>
      </w:r>
    </w:p>
    <w:p>
      <w:pPr>
        <w:spacing w:after="80" w:line="252" w:lineRule="auto"/>
      </w:pPr>
      <w:r>
        <w:rPr>
          <w:rFonts w:ascii="Times New Roman" w:hAnsi="Times New Roman" w:eastAsia="Times New Roman"/>
          <w:b w:val="0"/>
          <w:i w:val="0"/>
          <w:sz w:val="21"/>
        </w:rPr>
        <w:t>The application is addressed to the office chief of the Large Taxpayer Office, Medium Level Taxpayer Office, Inland Revenue Office or Taxpayer Service Office. The applicant states taxable income and tax payable for the income year, the higher amount actually deposited, and requests refund under section 113 of the Income Tax Act, 2058 and Rule 36 of the Income Tax Rules, 2059 with supporting documents.</w:t>
      </w:r>
    </w:p>
    <w:tbl>
      <w:tblPr>
        <w:tblStyle w:val="TableGrid"/>
        <w:tblW w:type="auto" w:w="0"/>
        <w:jc w:val="center"/>
        <w:tblLook w:firstColumn="1" w:firstRow="1" w:lastColumn="0" w:lastRow="0" w:noHBand="0" w:noVBand="1" w:val="04A0"/>
      </w:tblPr>
      <w:tblGrid>
        <w:gridCol w:w="4946"/>
        <w:gridCol w:w="4946"/>
      </w:tblGrid>
      <w:tr>
        <w:trPr>
          <w:tblHeader w:val="true"/>
        </w:trPr>
        <w:tc>
          <w:tcPr>
            <w:tcW w:type="dxa" w:w="3024"/>
            <w:vAlign w:val="top"/>
            <w:shd w:fill="D9EAF7"/>
          </w:tcPr>
          <w:p>
            <w:pPr>
              <w:spacing w:after="0" w:line="240" w:lineRule="auto"/>
            </w:pPr>
            <w:r/>
            <w:r>
              <w:rPr>
                <w:rFonts w:ascii="Times New Roman" w:hAnsi="Times New Roman" w:eastAsia="Times New Roman"/>
                <w:b/>
                <w:sz w:val="14"/>
              </w:rPr>
              <w:t>Field</w:t>
            </w:r>
          </w:p>
        </w:tc>
        <w:tc>
          <w:tcPr>
            <w:tcW w:type="dxa" w:w="7560"/>
            <w:vAlign w:val="top"/>
            <w:shd w:fill="D9EAF7"/>
          </w:tcPr>
          <w:p>
            <w:pPr>
              <w:spacing w:after="0" w:line="240" w:lineRule="auto"/>
            </w:pPr>
            <w:r/>
            <w:r>
              <w:rPr>
                <w:rFonts w:ascii="Times New Roman" w:hAnsi="Times New Roman" w:eastAsia="Times New Roman"/>
                <w:b/>
                <w:sz w:val="14"/>
              </w:rPr>
              <w:t>Content</w:t>
            </w:r>
          </w:p>
        </w:tc>
      </w:tr>
      <w:tr>
        <w:tc>
          <w:tcPr>
            <w:tcW w:type="dxa" w:w="3024"/>
            <w:vAlign w:val="top"/>
          </w:tcPr>
          <w:p>
            <w:pPr>
              <w:spacing w:after="0" w:line="240" w:lineRule="auto"/>
            </w:pPr>
            <w:r/>
            <w:r>
              <w:rPr>
                <w:rFonts w:ascii="Times New Roman" w:hAnsi="Times New Roman" w:eastAsia="Times New Roman"/>
                <w:b w:val="0"/>
                <w:sz w:val="14"/>
              </w:rPr>
              <w:t>Tax to be deposited</w:t>
            </w:r>
          </w:p>
        </w:tc>
        <w:tc>
          <w:tcPr>
            <w:tcW w:type="dxa" w:w="7560"/>
            <w:vAlign w:val="top"/>
          </w:tcPr>
          <w:p>
            <w:pPr>
              <w:spacing w:after="0" w:line="240" w:lineRule="auto"/>
            </w:pPr>
            <w:r/>
            <w:r>
              <w:rPr>
                <w:rFonts w:ascii="Times New Roman" w:hAnsi="Times New Roman" w:eastAsia="Times New Roman"/>
                <w:b w:val="0"/>
                <w:sz w:val="14"/>
              </w:rPr>
              <w:t>Date and amount of tax payable.</w:t>
            </w:r>
          </w:p>
        </w:tc>
      </w:tr>
      <w:tr>
        <w:tc>
          <w:tcPr>
            <w:tcW w:type="dxa" w:w="3024"/>
            <w:vAlign w:val="top"/>
          </w:tcPr>
          <w:p>
            <w:pPr>
              <w:spacing w:after="0" w:line="240" w:lineRule="auto"/>
            </w:pPr>
            <w:r/>
            <w:r>
              <w:rPr>
                <w:rFonts w:ascii="Times New Roman" w:hAnsi="Times New Roman" w:eastAsia="Times New Roman"/>
                <w:b w:val="0"/>
                <w:sz w:val="14"/>
              </w:rPr>
              <w:t>Tax deposited by taxpayer</w:t>
            </w:r>
          </w:p>
        </w:tc>
        <w:tc>
          <w:tcPr>
            <w:tcW w:type="dxa" w:w="7560"/>
            <w:vAlign w:val="top"/>
          </w:tcPr>
          <w:p>
            <w:pPr>
              <w:spacing w:after="0" w:line="240" w:lineRule="auto"/>
            </w:pPr>
            <w:r/>
            <w:r>
              <w:rPr>
                <w:rFonts w:ascii="Times New Roman" w:hAnsi="Times New Roman" w:eastAsia="Times New Roman"/>
                <w:b w:val="0"/>
                <w:sz w:val="14"/>
              </w:rPr>
              <w:t>Date and amount actually deposited.</w:t>
            </w:r>
          </w:p>
        </w:tc>
      </w:tr>
      <w:tr>
        <w:tc>
          <w:tcPr>
            <w:tcW w:type="dxa" w:w="3024"/>
            <w:vAlign w:val="top"/>
          </w:tcPr>
          <w:p>
            <w:pPr>
              <w:spacing w:after="0" w:line="240" w:lineRule="auto"/>
            </w:pPr>
            <w:r/>
            <w:r>
              <w:rPr>
                <w:rFonts w:ascii="Times New Roman" w:hAnsi="Times New Roman" w:eastAsia="Times New Roman"/>
                <w:b w:val="0"/>
                <w:sz w:val="14"/>
              </w:rPr>
              <w:t>Advance withholding tax</w:t>
            </w:r>
          </w:p>
        </w:tc>
        <w:tc>
          <w:tcPr>
            <w:tcW w:type="dxa" w:w="7560"/>
            <w:vAlign w:val="top"/>
          </w:tcPr>
          <w:p>
            <w:pPr>
              <w:spacing w:after="0" w:line="240" w:lineRule="auto"/>
            </w:pPr>
            <w:r/>
            <w:r>
              <w:rPr>
                <w:rFonts w:ascii="Times New Roman" w:hAnsi="Times New Roman" w:eastAsia="Times New Roman"/>
                <w:b w:val="0"/>
                <w:sz w:val="14"/>
              </w:rPr>
              <w:t>Withholding tax available for adjustment/refund.</w:t>
            </w:r>
          </w:p>
        </w:tc>
      </w:tr>
      <w:tr>
        <w:tc>
          <w:tcPr>
            <w:tcW w:type="dxa" w:w="3024"/>
            <w:vAlign w:val="top"/>
          </w:tcPr>
          <w:p>
            <w:pPr>
              <w:spacing w:after="0" w:line="240" w:lineRule="auto"/>
            </w:pPr>
            <w:r/>
            <w:r>
              <w:rPr>
                <w:rFonts w:ascii="Times New Roman" w:hAnsi="Times New Roman" w:eastAsia="Times New Roman"/>
                <w:b w:val="0"/>
                <w:sz w:val="14"/>
              </w:rPr>
              <w:t>Attachments</w:t>
            </w:r>
          </w:p>
        </w:tc>
        <w:tc>
          <w:tcPr>
            <w:tcW w:type="dxa" w:w="7560"/>
            <w:vAlign w:val="top"/>
          </w:tcPr>
          <w:p>
            <w:pPr>
              <w:spacing w:after="0" w:line="240" w:lineRule="auto"/>
            </w:pPr>
            <w:r/>
            <w:r>
              <w:rPr>
                <w:rFonts w:ascii="Times New Roman" w:hAnsi="Times New Roman" w:eastAsia="Times New Roman"/>
                <w:b w:val="0"/>
                <w:sz w:val="14"/>
              </w:rPr>
              <w:t>Documents proving excess deposit.</w:t>
            </w:r>
          </w:p>
        </w:tc>
      </w:tr>
      <w:tr>
        <w:tc>
          <w:tcPr>
            <w:tcW w:type="dxa" w:w="3024"/>
            <w:vAlign w:val="top"/>
          </w:tcPr>
          <w:p>
            <w:pPr>
              <w:spacing w:after="0" w:line="240" w:lineRule="auto"/>
            </w:pPr>
            <w:r/>
            <w:r>
              <w:rPr>
                <w:rFonts w:ascii="Times New Roman" w:hAnsi="Times New Roman" w:eastAsia="Times New Roman"/>
                <w:b w:val="0"/>
                <w:sz w:val="14"/>
              </w:rPr>
              <w:t>Computation summary</w:t>
            </w:r>
          </w:p>
        </w:tc>
        <w:tc>
          <w:tcPr>
            <w:tcW w:type="dxa" w:w="7560"/>
            <w:vAlign w:val="top"/>
          </w:tcPr>
          <w:p>
            <w:pPr>
              <w:spacing w:after="0" w:line="240" w:lineRule="auto"/>
            </w:pPr>
            <w:r/>
            <w:r>
              <w:rPr>
                <w:rFonts w:ascii="Times New Roman" w:hAnsi="Times New Roman" w:eastAsia="Times New Roman"/>
                <w:b w:val="0"/>
                <w:sz w:val="14"/>
              </w:rPr>
              <w:t>Total tax deposited, tax required to be deposited, and excess tax deposited.</w:t>
            </w:r>
          </w:p>
        </w:tc>
      </w:tr>
      <w:tr>
        <w:tc>
          <w:tcPr>
            <w:tcW w:type="dxa" w:w="3024"/>
            <w:vAlign w:val="top"/>
          </w:tcPr>
          <w:p>
            <w:pPr>
              <w:spacing w:after="0" w:line="240" w:lineRule="auto"/>
            </w:pPr>
            <w:r/>
            <w:r>
              <w:rPr>
                <w:rFonts w:ascii="Times New Roman" w:hAnsi="Times New Roman" w:eastAsia="Times New Roman"/>
                <w:b w:val="0"/>
                <w:sz w:val="14"/>
              </w:rPr>
              <w:t>Applicant details</w:t>
            </w:r>
          </w:p>
        </w:tc>
        <w:tc>
          <w:tcPr>
            <w:tcW w:type="dxa" w:w="7560"/>
            <w:vAlign w:val="top"/>
          </w:tcPr>
          <w:p>
            <w:pPr>
              <w:spacing w:after="0" w:line="240" w:lineRule="auto"/>
            </w:pPr>
            <w:r/>
            <w:r>
              <w:rPr>
                <w:rFonts w:ascii="Times New Roman" w:hAnsi="Times New Roman" w:eastAsia="Times New Roman"/>
                <w:b w:val="0"/>
                <w:sz w:val="14"/>
              </w:rPr>
              <w:t>Name, PAN, address, signature and other details as applicable.</w:t>
            </w:r>
          </w:p>
        </w:tc>
      </w:tr>
    </w:tbl>
    <w:p/>
    <w:p>
      <w:pPr>
        <w:spacing w:after="80" w:line="252" w:lineRule="auto"/>
        <w:jc w:val="center"/>
      </w:pPr>
      <w:r>
        <w:rPr>
          <w:rFonts w:ascii="Times New Roman" w:hAnsi="Times New Roman" w:eastAsia="Times New Roman"/>
          <w:b w:val="0"/>
          <w:i/>
          <w:sz w:val="21"/>
        </w:rPr>
        <w:t>End of Schedules</w:t>
      </w:r>
    </w:p>
    <w:sectPr w:rsidR="00FC693F" w:rsidRPr="0006063C" w:rsidSect="00034616">
      <w:footerReference w:type="default" r:id="rId9"/>
      <w:headerReference w:type="default" r:id="rId10"/>
      <w:headerReference w:type="first" r:id="rId11"/>
      <w:footerReference w:type="first" r:id="rId12"/>
      <w:headerReference w:type="even" r:id="rId13"/>
      <w:footerReference w:type="even" r:id="rId14"/>
      <w:pgSz w:w="11909" w:h="16834"/>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t xml:space="preserve">Page </w:t>
    </w:r>
    <w:r>
      <w:fldChar w:fldCharType="begin"/>
      <w:instrText xml:space="preserve">PAGE</w:instrTex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sz w:val="18"/>
      </w:rPr>
      <w:t>Income Tax Directive, 2066 - English Translation (Compiled Parts 1-33)</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eastAsia="Times New Roman"/>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eastAsia="Times New Roman"/>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Times New Roman" w:hAnsi="Times New Roman" w:eastAsia="Times New Roman"/>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