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69" w:lineRule="auto"/>
        <w:jc w:val="center"/>
      </w:pPr>
      <w:r>
        <w:rPr>
          <w:rFonts w:ascii="Noto Serif Devanagari" w:hAnsi="Noto Serif Devanagari" w:eastAsia="Noto Serif Devanagari"/>
          <w:b/>
          <w:sz w:val="30"/>
        </w:rPr>
        <w:t>नेपाल राष्ट्र बैंक</w:t>
      </w:r>
    </w:p>
    <w:p>
      <w:pPr>
        <w:spacing w:before="0" w:after="100" w:line="269" w:lineRule="auto"/>
        <w:jc w:val="center"/>
      </w:pPr>
      <w:r>
        <w:rPr>
          <w:rFonts w:ascii="Aptos" w:hAnsi="Aptos" w:eastAsia="Aptos"/>
          <w:b/>
          <w:sz w:val="25"/>
        </w:rPr>
        <w:t>Nepal Rastra Bank</w:t>
      </w:r>
    </w:p>
    <w:p>
      <w:pPr>
        <w:spacing w:before="0" w:after="20" w:line="269" w:lineRule="auto"/>
        <w:jc w:val="center"/>
      </w:pPr>
      <w:r>
        <w:rPr>
          <w:rFonts w:ascii="Noto Serif Devanagari" w:hAnsi="Noto Serif Devanagari" w:eastAsia="Noto Serif Devanagari"/>
          <w:b/>
          <w:sz w:val="26"/>
        </w:rPr>
        <w:t>विदेशी विनिमय कारोबार गर्ने सम्बन्धमा जारी एकीकृत परिपत्र–२०८२</w:t>
      </w:r>
    </w:p>
    <w:p>
      <w:pPr>
        <w:spacing w:before="0" w:after="120" w:line="269" w:lineRule="auto"/>
        <w:jc w:val="center"/>
      </w:pPr>
      <w:r>
        <w:rPr>
          <w:rFonts w:ascii="Aptos" w:hAnsi="Aptos" w:eastAsia="Aptos"/>
          <w:b/>
          <w:sz w:val="23"/>
        </w:rPr>
        <w:t>Unified Circular 2082 Relating to Foreign Exchange Transactions</w:t>
      </w:r>
    </w:p>
    <w:p>
      <w:pPr>
        <w:spacing w:before="0" w:after="20" w:line="269" w:lineRule="auto"/>
        <w:jc w:val="center"/>
      </w:pPr>
      <w:r>
        <w:rPr>
          <w:rFonts w:ascii="Noto Serif Devanagari" w:hAnsi="Noto Serif Devanagari" w:eastAsia="Noto Serif Devanagari"/>
          <w:b/>
          <w:sz w:val="25"/>
        </w:rPr>
        <w:t>एकीकृत इ.प्रा. परिपत्र नं. १/२०८२</w:t>
      </w:r>
    </w:p>
    <w:p>
      <w:pPr>
        <w:spacing w:before="0" w:after="20" w:line="269" w:lineRule="auto"/>
        <w:jc w:val="center"/>
      </w:pPr>
      <w:r>
        <w:rPr>
          <w:rFonts w:ascii="Noto Serif Devanagari" w:hAnsi="Noto Serif Devanagari" w:eastAsia="Noto Serif Devanagari"/>
          <w:b/>
          <w:sz w:val="26"/>
        </w:rPr>
        <w:t>वस्तु आयात सम्बन्धी व्यवस्था</w:t>
      </w:r>
    </w:p>
    <w:p>
      <w:pPr>
        <w:spacing w:before="0" w:after="20" w:line="269" w:lineRule="auto"/>
        <w:jc w:val="center"/>
      </w:pPr>
      <w:r>
        <w:rPr>
          <w:rFonts w:ascii="Aptos" w:hAnsi="Aptos" w:eastAsia="Aptos"/>
          <w:b/>
          <w:sz w:val="23"/>
        </w:rPr>
        <w:t>Unified F.E. Circular No. 1/2082</w:t>
      </w:r>
    </w:p>
    <w:p>
      <w:pPr>
        <w:spacing w:before="0" w:after="100" w:line="269" w:lineRule="auto"/>
        <w:jc w:val="center"/>
      </w:pPr>
      <w:r>
        <w:rPr>
          <w:rFonts w:ascii="Aptos" w:hAnsi="Aptos" w:eastAsia="Aptos"/>
          <w:b/>
          <w:sz w:val="24"/>
        </w:rPr>
        <w:t>Provisions Relating to Import of Goods</w:t>
      </w:r>
    </w:p>
    <w:p>
      <w:pPr>
        <w:spacing w:before="0" w:after="160" w:line="269" w:lineRule="auto"/>
        <w:jc w:val="center"/>
      </w:pPr>
      <w:r>
        <w:rPr>
          <w:rFonts w:ascii="Noto Serif Devanagari" w:hAnsi="Noto Serif Devanagari" w:eastAsia="Noto Serif Devanagari"/>
          <w:b/>
          <w:sz w:val="22"/>
        </w:rPr>
        <w:t>दफा १.१२ देखि १.१८ सम्म / Clauses 1.12 through 1.18</w:t>
      </w:r>
    </w:p>
    <w:p>
      <w:pPr>
        <w:spacing w:before="0" w:after="20" w:line="269" w:lineRule="auto"/>
        <w:jc w:val="center"/>
      </w:pPr>
      <w:r>
        <w:rPr>
          <w:rFonts w:ascii="Noto Serif Devanagari" w:hAnsi="Noto Serif Devanagari" w:eastAsia="Noto Serif Devanagari"/>
          <w:b w:val="0"/>
          <w:sz w:val="18"/>
        </w:rPr>
        <w:t>नोट: कानूनी व्याख्यामा नेपाल राष्ट्र बैंकले जारी गरेको आधिकारिक नेपाली मूल पाठ तथा लागू परिपत्र प्रामाणिक हुनेछ।</w:t>
      </w:r>
    </w:p>
    <w:p>
      <w:pPr>
        <w:spacing w:before="0" w:after="240" w:line="269" w:lineRule="auto"/>
        <w:jc w:val="center"/>
      </w:pPr>
      <w:r>
        <w:rPr>
          <w:rFonts w:ascii="Aptos" w:hAnsi="Aptos" w:eastAsia="Aptos"/>
          <w:b w:val="0"/>
          <w:sz w:val="17"/>
        </w:rPr>
        <w:t>Note: For legal interpretation, the official Nepali text and applicable circulars issued by Nepal Rastra Bank shall prevail.</w:t>
      </w:r>
    </w:p>
    <w:p>
      <w:pPr>
        <w:keepNext/>
        <w:spacing w:before="140" w:after="60" w:line="269" w:lineRule="auto"/>
      </w:pPr>
      <w:r>
        <w:rPr>
          <w:rFonts w:ascii="Noto Serif Devanagari" w:hAnsi="Noto Serif Devanagari" w:eastAsia="Noto Serif Devanagari"/>
          <w:b/>
          <w:sz w:val="22"/>
        </w:rPr>
        <w:t>१.१२ ड्राफ्ट टी.टी., DAP, DAA र प्रतीतपत्र लगायतका माध्यमबाट मालसामान आयात गर्दा भुक्तानीको माध्यम</w:t>
      </w:r>
    </w:p>
    <w:p>
      <w:pPr>
        <w:spacing w:before="0" w:after="80" w:line="269" w:lineRule="auto"/>
      </w:pPr>
      <w:r>
        <w:rPr>
          <w:rFonts w:ascii="Noto Serif Devanagari" w:hAnsi="Noto Serif Devanagari" w:eastAsia="Noto Serif Devanagari"/>
          <w:b w:val="0"/>
          <w:sz w:val="20"/>
        </w:rPr>
        <w:t>ड्राफ्ट टी.टी., DAP, DAA र प्रतीतपत्र, लगायतका माध्यमबाट मालसामान आयात गर्दा त्यस्तो कारोबारमा कारोबारको भुक्तानीको माध्यम (Mode of Payment) सोही अनुरूप कुनै एउटा मात्र हुनु पर्दछ । उपरोक्तानुसार अग्रिम भुक्तानी पठाउँदा कुनै एउटा उपकरण छनौट गर्नु पर्दछ ।</w:t>
      </w:r>
    </w:p>
    <w:p>
      <w:pPr>
        <w:keepNext/>
        <w:spacing w:before="100" w:after="60" w:line="269" w:lineRule="auto"/>
      </w:pPr>
      <w:r>
        <w:rPr>
          <w:rFonts w:ascii="Aptos" w:hAnsi="Aptos" w:eastAsia="Aptos"/>
          <w:b/>
          <w:sz w:val="21"/>
        </w:rPr>
        <w:t>1.12 Mode of Payment for Import of Goods through Draft/T.T., DAP, DAA, Letter of Credit, etc.</w:t>
      </w:r>
    </w:p>
    <w:p>
      <w:pPr>
        <w:spacing w:before="0" w:after="100" w:line="269" w:lineRule="auto"/>
      </w:pPr>
      <w:r>
        <w:rPr>
          <w:rFonts w:ascii="Aptos" w:hAnsi="Aptos" w:eastAsia="Aptos"/>
          <w:b w:val="0"/>
          <w:sz w:val="20"/>
        </w:rPr>
        <w:t>When importing goods through Draft/T.T., DAP, DAA, Letter of Credit and other such means, the Mode of Payment for such transaction shall, accordingly, be only one such mode. When sending advance payment as aforesaid, one instrument shall be selected.</w:t>
      </w:r>
    </w:p>
    <w:p>
      <w:pPr>
        <w:keepNext/>
        <w:spacing w:before="140" w:after="60" w:line="269" w:lineRule="auto"/>
      </w:pPr>
      <w:r>
        <w:rPr>
          <w:rFonts w:ascii="Noto Serif Devanagari" w:hAnsi="Noto Serif Devanagari" w:eastAsia="Noto Serif Devanagari"/>
          <w:b/>
          <w:sz w:val="22"/>
        </w:rPr>
        <w:t>१.१३ अरुण तेस्रो जलविद्युत आयोजनाको लागि भारतीय रुपैयाँ सटही सुविधा</w:t>
      </w:r>
    </w:p>
    <w:p>
      <w:pPr>
        <w:spacing w:before="0" w:after="80" w:line="269" w:lineRule="auto"/>
      </w:pPr>
      <w:r>
        <w:rPr>
          <w:rFonts w:ascii="Noto Serif Devanagari" w:hAnsi="Noto Serif Devanagari" w:eastAsia="Noto Serif Devanagari"/>
          <w:b w:val="0"/>
          <w:sz w:val="20"/>
        </w:rPr>
        <w:t>लगानी बोर्डबाट राष्ट्रिय महत्वको आयोजनाको रूपमा पहिचान भएको र हाल निर्माण शुरु भएको अरुण तेस्रो जलविद्युत आयोजनाको लागि PDA मा उल्लेख भए बमोजिम आयोजनाको विकासकर्ता SJVN-Arun -3 Power Development Company ले परामर्शदाता/निर्माणकर्ता ठेकेदार/आपूर्तिकर्तालाई दिनु पर्ने भुक्तानीको सटही सुविधा प्रदान गर्नुपर्दा विकासकर्ता कम्पनीबाट कार्यसम्पादन यकीन तथा लगानी बोर्डको कार्यालयबाट सिफारिस भई आएको आधारमा तपसिलमा उल्लेखित कागजातहरूको परीक्षण गरी वाणिज्य बैंकहरूले ठेक्का रकमको सीमा ननाघ्ने गरी सिधै भारतीय रुपैयाँको सटही सुविधा प्रदान गर्न सक्नेछन् । यसरी वाणिज्य बैंकले सटही सुविधा उपलब्ध गराउँदा सोको जानकारी लगानी बोर्डको कार्यालय र यस विभागलाई दिनु पर्नेछ । यसरी ड्राफ्ट/टी.टी.मार्फत् भारतीय परामर्शदाता/निर्माणकर्ता ठेकेदार/आपूर्तिकर्तालाई भारतमा भुक्तानी हुने गरी त्यस्तो सटही सुविधा उपलब्ध गराउँदा दफा १.११.१ (क) र (च) तथा एकीकृत इ.प्रा. परिपत्र: ११/२०८२ को खण्ड (ख) को दफा २ र ३ मा उल्लिखित रकमसम्बन्धी सीमा लागू हुने छैन । तर, परामर्शदाता/निर्माणकर्ता ठेकेदार/आपूर्तिकर्तासँग भएको करार–सम्झौताको रकमभित्र रहने गरी त्यस्तो सीमा प्रति बिल/बीजक भा.रु. २० करोडसम्म हुनेछ ।</w:t>
      </w:r>
    </w:p>
    <w:p>
      <w:pPr>
        <w:spacing w:before="0" w:after="80" w:line="269" w:lineRule="auto"/>
      </w:pPr>
      <w:r>
        <w:rPr>
          <w:rFonts w:ascii="Noto Serif Devanagari" w:hAnsi="Noto Serif Devanagari" w:eastAsia="Noto Serif Devanagari"/>
          <w:b w:val="0"/>
          <w:sz w:val="20"/>
        </w:rPr>
        <w:t>तपसिल:</w:t>
        <w:br/>
        <w:t>१. आयोजना विकासकर्ता SJVN-Arun -3 Power Development Company बाट कार्यसम्पादन भएको व्यहोराको पत्र ।</w:t>
        <w:br/>
        <w:t>२. लगानी बोर्डको कार्यालयको सिफारिस पत्र ।</w:t>
        <w:br/>
        <w:t>३. भुक्तानी बापत नियमानुसार तिर्नुपर्ने कर तिरेको प्रमाण ।</w:t>
        <w:br/>
        <w:t>४. ठेक्का कुल रकमको सीमाभित्र रहेको प्रमाण ।</w:t>
      </w:r>
    </w:p>
    <w:p>
      <w:pPr>
        <w:keepNext/>
        <w:spacing w:before="100" w:after="60" w:line="269" w:lineRule="auto"/>
      </w:pPr>
      <w:r>
        <w:rPr>
          <w:rFonts w:ascii="Aptos" w:hAnsi="Aptos" w:eastAsia="Aptos"/>
          <w:b/>
          <w:sz w:val="21"/>
        </w:rPr>
        <w:t>1.13 Indian Rupee Exchange Facility for the Arun-3 Hydroelectric Project</w:t>
      </w:r>
    </w:p>
    <w:p>
      <w:pPr>
        <w:spacing w:before="0" w:after="100" w:line="269" w:lineRule="auto"/>
      </w:pPr>
      <w:r>
        <w:rPr>
          <w:rFonts w:ascii="Aptos" w:hAnsi="Aptos" w:eastAsia="Aptos"/>
          <w:b w:val="0"/>
          <w:sz w:val="20"/>
        </w:rPr>
        <w:t>For the Arun-3 Hydroelectric Project, which has been identified by the Investment Board as a project of national importance and whose construction has commenced, where exchange facility is to be provided for payments to be made by the project developer, SJVN-Arun-3 Power Development Company, to consultants/construction contractors/suppliers in accordance with the PDA, commercial banks may, on the basis of confirmation of work performance by the developer company and recommendation received from the Office of the Investment Board, examine the documents specified below and directly provide Indian Rupee exchange facility without exceeding the contract amount. When a commercial bank provides such exchange facility, it shall inform the Office of the Investment Board and this Department thereof. Where such exchange facility is provided through Draft/T.T. for payment in India to Indian consultants/construction contractors/suppliers, the amount-related limits specified in Clause 1.11.1(a) and (f), and Clauses 2 and 3 of Section (b) of Unified F.E. Circular No. 11/2082, shall not apply. However, within the amount of the contract/agreement with the consultant/construction contractor/supplier, such limit shall be up to INR 200 million per bill/invoice.</w:t>
      </w:r>
    </w:p>
    <w:p>
      <w:pPr>
        <w:spacing w:before="0" w:after="100" w:line="269" w:lineRule="auto"/>
      </w:pPr>
      <w:r>
        <w:rPr>
          <w:rFonts w:ascii="Aptos" w:hAnsi="Aptos" w:eastAsia="Aptos"/>
          <w:b w:val="0"/>
          <w:sz w:val="20"/>
        </w:rPr>
        <w:t>Documents:</w:t>
        <w:br/>
        <w:t>1. Letter from the project developer, SJVN-Arun-3 Power Development Company, confirming completion/performance of the work.</w:t>
        <w:br/>
        <w:t>2. Recommendation letter of the Office of the Investment Board.</w:t>
        <w:br/>
        <w:t>3. Evidence of payment of tax required to be paid in accordance with the rules in respect of the payment.</w:t>
        <w:br/>
        <w:t>4. Evidence that the amount is within the total contract amount.</w:t>
      </w:r>
    </w:p>
    <w:p>
      <w:pPr>
        <w:keepNext/>
        <w:spacing w:before="140" w:after="60" w:line="269" w:lineRule="auto"/>
      </w:pPr>
      <w:r>
        <w:rPr>
          <w:rFonts w:ascii="Noto Serif Devanagari" w:hAnsi="Noto Serif Devanagari" w:eastAsia="Noto Serif Devanagari"/>
          <w:b/>
          <w:sz w:val="22"/>
        </w:rPr>
        <w:t>१.१४ औषधिजन्य कच्चा पदार्थ तथा तयारी औषधिको निकासी पैठारी</w:t>
      </w:r>
    </w:p>
    <w:p>
      <w:pPr>
        <w:spacing w:before="0" w:after="80" w:line="269" w:lineRule="auto"/>
      </w:pPr>
      <w:r>
        <w:rPr>
          <w:rFonts w:ascii="Noto Serif Devanagari" w:hAnsi="Noto Serif Devanagari" w:eastAsia="Noto Serif Devanagari"/>
          <w:b w:val="0"/>
          <w:sz w:val="20"/>
        </w:rPr>
        <w:t>औषधि ऐन, २०३५ (दोस्रो संशोधन सहित) मा भएको प्रावधान अनुरूप औषधिजन्य कुनै पनि कच्चा पदार्थ तथा तयारी औषधिहरू प्रतीतपत्र वा अन्य माध्यम (ड्राफ्ट, टी.टी. आदि) बाट निकासी पैठारी गर्दा नेपाल सरकार, औषधि व्यवस्था विभागको सिफारिसपत्र लिनु पर्नेछ ।</w:t>
      </w:r>
    </w:p>
    <w:p>
      <w:pPr>
        <w:keepNext/>
        <w:spacing w:before="100" w:after="60" w:line="269" w:lineRule="auto"/>
      </w:pPr>
      <w:r>
        <w:rPr>
          <w:rFonts w:ascii="Aptos" w:hAnsi="Aptos" w:eastAsia="Aptos"/>
          <w:b/>
          <w:sz w:val="21"/>
        </w:rPr>
        <w:t>1.14 Import and Export of Medicinal Raw Materials and Finished Medicines</w:t>
      </w:r>
    </w:p>
    <w:p>
      <w:pPr>
        <w:spacing w:before="0" w:after="100" w:line="269" w:lineRule="auto"/>
      </w:pPr>
      <w:r>
        <w:rPr>
          <w:rFonts w:ascii="Aptos" w:hAnsi="Aptos" w:eastAsia="Aptos"/>
          <w:b w:val="0"/>
          <w:sz w:val="20"/>
        </w:rPr>
        <w:t>In accordance with the provisions of the Drugs Act, 2035 (including the Second Amendment), when importing or exporting any medicinal raw materials and finished medicines through a Letter of Credit or other means (Draft, T.T., etc.), a recommendation letter from the Department of Drug Administration, Government of Nepal, shall be obtained.</w:t>
      </w:r>
    </w:p>
    <w:p>
      <w:pPr>
        <w:keepNext/>
        <w:spacing w:before="140" w:after="60" w:line="269" w:lineRule="auto"/>
      </w:pPr>
      <w:r>
        <w:rPr>
          <w:rFonts w:ascii="Noto Serif Devanagari" w:hAnsi="Noto Serif Devanagari" w:eastAsia="Noto Serif Devanagari"/>
          <w:b/>
          <w:sz w:val="22"/>
        </w:rPr>
        <w:t>१.१५ केही वस्तुको पैठारीमा पूर्ण बन्देज</w:t>
      </w:r>
    </w:p>
    <w:p>
      <w:pPr>
        <w:spacing w:before="0" w:after="80" w:line="269" w:lineRule="auto"/>
      </w:pPr>
      <w:r>
        <w:rPr>
          <w:rFonts w:ascii="Noto Serif Devanagari" w:hAnsi="Noto Serif Devanagari" w:eastAsia="Noto Serif Devanagari"/>
          <w:b w:val="0"/>
          <w:sz w:val="20"/>
        </w:rPr>
        <w:t>नेपाल सरकारद्वारा प्रकाशित नेपाल राजपत्र (खण्ड ७२) मिति २०७९/०१/१३ (अतिरिक्ताङ्क १) को सूचनाबमोजिम केही वस्तुको पैठारीमा पूर्ण बन्देज लगाएकोले सोही सूचना बमोजिम गर्नु/गराउनु पर्नेछ ।</w:t>
      </w:r>
    </w:p>
    <w:p>
      <w:pPr>
        <w:spacing w:before="0" w:after="80" w:line="269" w:lineRule="auto"/>
      </w:pPr>
      <w:r>
        <w:rPr>
          <w:rFonts w:ascii="Noto Serif Devanagari" w:hAnsi="Noto Serif Devanagari" w:eastAsia="Noto Serif Devanagari"/>
          <w:b w:val="0"/>
          <w:sz w:val="20"/>
        </w:rPr>
        <w:t>नेपाल सरकारद्वारा प्रकाशित नेपाल राजपत्र (खण्ड ७२) मिति २०७९/०३/३१ (अतिरिक्ताङ्क १५) को सूचनाबमोजिम केही वस्तुको पैठारीमा पूर्ण बन्देज लगाएकोले सोही सूचना बमोजिम गर्नु/गराउनु पर्नेछ ।</w:t>
      </w:r>
    </w:p>
    <w:p>
      <w:pPr>
        <w:spacing w:before="0" w:after="80" w:line="269" w:lineRule="auto"/>
      </w:pPr>
      <w:r>
        <w:rPr>
          <w:rFonts w:ascii="Noto Serif Devanagari" w:hAnsi="Noto Serif Devanagari" w:eastAsia="Noto Serif Devanagari"/>
          <w:b w:val="0"/>
          <w:sz w:val="20"/>
        </w:rPr>
        <w:t>नेपाल सरकारद्वारा प्रकाशित नेपाल राजपत्र (खण्ड ७२) मिति २०७९/०५/१३ (अतिरिक्ताङ्क ३५) को सूचनाबमोजिम केही वस्तुको पैठारीमा पूर्ण बन्देज लगाएकोले सोही सूचना बमोजिम गर्नु/गराउनु पर्नेछ ।</w:t>
      </w:r>
    </w:p>
    <w:p>
      <w:pPr>
        <w:spacing w:before="0" w:after="80" w:line="269" w:lineRule="auto"/>
      </w:pPr>
      <w:r>
        <w:rPr>
          <w:rFonts w:ascii="Noto Serif Devanagari" w:hAnsi="Noto Serif Devanagari" w:eastAsia="Noto Serif Devanagari"/>
          <w:b w:val="0"/>
          <w:sz w:val="20"/>
        </w:rPr>
        <w:t>नेपाल सरकारद्वारा प्रकाशित नेपाल राजपत्र (खण्ड ७२) मिति २०७९/०६/२८ (अतिरिक्ताङ्क ४५) को सूचनाबमोजिम केही वस्तुको पैठारीमा पूर्ण बन्देज लगाएकोले सोही सूचना बमोजिम गर्नु/गराउनु पर्नेछ ।</w:t>
      </w:r>
    </w:p>
    <w:p>
      <w:pPr>
        <w:keepNext/>
        <w:spacing w:before="100" w:after="60" w:line="269" w:lineRule="auto"/>
      </w:pPr>
      <w:r>
        <w:rPr>
          <w:rFonts w:ascii="Aptos" w:hAnsi="Aptos" w:eastAsia="Aptos"/>
          <w:b/>
          <w:sz w:val="21"/>
        </w:rPr>
        <w:t>1.15 Complete Prohibition on Import of Certain Goods</w:t>
      </w:r>
    </w:p>
    <w:p>
      <w:pPr>
        <w:spacing w:before="0" w:after="100" w:line="269" w:lineRule="auto"/>
      </w:pPr>
      <w:r>
        <w:rPr>
          <w:rFonts w:ascii="Aptos" w:hAnsi="Aptos" w:eastAsia="Aptos"/>
          <w:b w:val="0"/>
          <w:sz w:val="20"/>
        </w:rPr>
        <w:t>As the import of certain goods has been completely prohibited pursuant to the notice published by the Government of Nepal in Nepal Gazette (Volume 72) dated 2079/01/13 (Extraordinary Issue No. 1), action shall be taken/caused to be taken in accordance with the said notice.</w:t>
      </w:r>
    </w:p>
    <w:p>
      <w:pPr>
        <w:spacing w:before="0" w:after="100" w:line="269" w:lineRule="auto"/>
      </w:pPr>
      <w:r>
        <w:rPr>
          <w:rFonts w:ascii="Aptos" w:hAnsi="Aptos" w:eastAsia="Aptos"/>
          <w:b w:val="0"/>
          <w:sz w:val="20"/>
        </w:rPr>
        <w:t>As the import of certain goods has been completely prohibited pursuant to the notice published by the Government of Nepal in Nepal Gazette (Volume 72) dated 2079/03/31 (Extraordinary Issue No. 15), action shall be taken/caused to be taken in accordance with the said notice.</w:t>
      </w:r>
    </w:p>
    <w:p>
      <w:pPr>
        <w:spacing w:before="0" w:after="100" w:line="269" w:lineRule="auto"/>
      </w:pPr>
      <w:r>
        <w:rPr>
          <w:rFonts w:ascii="Aptos" w:hAnsi="Aptos" w:eastAsia="Aptos"/>
          <w:b w:val="0"/>
          <w:sz w:val="20"/>
        </w:rPr>
        <w:t>As the import of certain goods has been completely prohibited pursuant to the notice published by the Government of Nepal in Nepal Gazette (Volume 72) dated 2079/05/13 (Extraordinary Issue No. 35), action shall be taken/caused to be taken in accordance with the said notice.</w:t>
      </w:r>
    </w:p>
    <w:p>
      <w:pPr>
        <w:spacing w:before="0" w:after="100" w:line="269" w:lineRule="auto"/>
      </w:pPr>
      <w:r>
        <w:rPr>
          <w:rFonts w:ascii="Aptos" w:hAnsi="Aptos" w:eastAsia="Aptos"/>
          <w:b w:val="0"/>
          <w:sz w:val="20"/>
        </w:rPr>
        <w:t>As the import of certain goods has been completely prohibited pursuant to the notice published by the Government of Nepal in Nepal Gazette (Volume 72) dated 2079/06/28 (Extraordinary Issue No. 45), action shall be taken/caused to be taken in accordance with the said notice.</w:t>
      </w:r>
    </w:p>
    <w:p>
      <w:pPr>
        <w:keepNext/>
        <w:spacing w:before="140" w:after="60" w:line="269" w:lineRule="auto"/>
      </w:pPr>
      <w:r>
        <w:rPr>
          <w:rFonts w:ascii="Noto Serif Devanagari" w:hAnsi="Noto Serif Devanagari" w:eastAsia="Noto Serif Devanagari"/>
          <w:b/>
          <w:sz w:val="22"/>
        </w:rPr>
        <w:t>१.१६ आयात तथा निर्यात व्यापारको माध्यमबाट हुन सक्ने सम्पत्ति शुद्धीकरण</w:t>
      </w:r>
    </w:p>
    <w:p>
      <w:pPr>
        <w:spacing w:before="0" w:after="80" w:line="269" w:lineRule="auto"/>
      </w:pPr>
      <w:r>
        <w:rPr>
          <w:rFonts w:ascii="Noto Serif Devanagari" w:hAnsi="Noto Serif Devanagari" w:eastAsia="Noto Serif Devanagari"/>
          <w:b w:val="0"/>
          <w:sz w:val="20"/>
        </w:rPr>
        <w:t>आयात तथा निर्यात व्यापारको माध्यमबाट हुन सक्ने सम्पत्ति शुद्धीकरण (Trade Based Money Laundering) को कार्यलाई निरुत्साहन तथा नियन्त्रणमा सघाउ पुग्ने गरी इजाजतपत्रप्राप्त बैंक तथा वित्तीय संस्थाले आवश्यक कार्यविधि तथा आन्तरिक संरचना बनाई वस्तुको अन्तर्राष्ट्रिय बजार मूल्य र Proforma Invoice/Document मा उल्लिखित मूल्यबीच तुलनात्मक विश्लेषण समेत गरी यथार्थपरक देखिएमा सटही सुविधा (ड्राफ्ट/टी.टी. जारी गर्ने, प्रतीतपत्र खोल्ने, D.A.A., D.A.P. आदि) उपलब्ध गराउनु पर्नेछ वा Document Handling गर्नु पर्नेछ ।</w:t>
      </w:r>
    </w:p>
    <w:p>
      <w:pPr>
        <w:keepNext/>
        <w:spacing w:before="100" w:after="60" w:line="269" w:lineRule="auto"/>
      </w:pPr>
      <w:r>
        <w:rPr>
          <w:rFonts w:ascii="Aptos" w:hAnsi="Aptos" w:eastAsia="Aptos"/>
          <w:b/>
          <w:sz w:val="21"/>
        </w:rPr>
        <w:t>1.16 Trade Based Money Laundering through Import and Export Trade</w:t>
      </w:r>
    </w:p>
    <w:p>
      <w:pPr>
        <w:spacing w:before="0" w:after="100" w:line="269" w:lineRule="auto"/>
      </w:pPr>
      <w:r>
        <w:rPr>
          <w:rFonts w:ascii="Aptos" w:hAnsi="Aptos" w:eastAsia="Aptos"/>
          <w:b w:val="0"/>
          <w:sz w:val="20"/>
        </w:rPr>
        <w:t>In order to assist in discouraging and controlling money laundering that may occur through import and export trade (Trade Based Money Laundering), licensed banks and financial institutions shall formulate necessary procedures and internal structures and shall also carry out a comparative analysis between the international market price of the goods and the price stated in the Proforma Invoice/Document; where the transaction appears realistic, they shall provide the exchange facility (issuance of Draft/T.T., opening of Letter of Credit, D.A.A., D.A.P., etc.) or undertake Document Handling.</w:t>
      </w:r>
    </w:p>
    <w:p>
      <w:pPr>
        <w:keepNext/>
        <w:spacing w:before="140" w:after="60" w:line="269" w:lineRule="auto"/>
      </w:pPr>
      <w:r>
        <w:rPr>
          <w:rFonts w:ascii="Noto Serif Devanagari" w:hAnsi="Noto Serif Devanagari" w:eastAsia="Noto Serif Devanagari"/>
          <w:b/>
          <w:sz w:val="22"/>
        </w:rPr>
        <w:t>१.१७ सवारी वा ढुवानीका साधनहरू पैठारी सम्बन्धी व्यवस्था</w:t>
      </w:r>
    </w:p>
    <w:p>
      <w:pPr>
        <w:spacing w:before="0" w:after="80" w:line="269" w:lineRule="auto"/>
      </w:pPr>
      <w:r>
        <w:rPr>
          <w:rFonts w:ascii="Noto Serif Devanagari" w:hAnsi="Noto Serif Devanagari" w:eastAsia="Noto Serif Devanagari"/>
          <w:b w:val="0"/>
          <w:sz w:val="20"/>
        </w:rPr>
        <w:t>(क) निर्माता कम्पनी वा निजको आधिकारिक विक्रेताबाट खरिद गरिएका नयाँ सवारी वा ढुवानीका साधनहरू नेपालस्थित आधिकारिक विक्रेताले मात्र पैठारी गर्न पाउनेछ ।</w:t>
      </w:r>
    </w:p>
    <w:p>
      <w:pPr>
        <w:spacing w:before="0" w:after="80" w:line="269" w:lineRule="auto"/>
      </w:pPr>
      <w:r>
        <w:rPr>
          <w:rFonts w:ascii="Noto Serif Devanagari" w:hAnsi="Noto Serif Devanagari" w:eastAsia="Noto Serif Devanagari"/>
          <w:b w:val="0"/>
          <w:sz w:val="20"/>
        </w:rPr>
        <w:t>(ख) रिकन्डिसन, प्रयोग भइसकेको वा नेपाल सवारी साधन प्रदूषण मापदण्ड, २०८२ नेपाल सवारी प्रदूषण मापदण्ड, २०६९ भित्र नपर्ने सवारी वा ढुवानीलगायत अन्य साधनहरू पैठारी गर्न पाइने छैन ।</w:t>
      </w:r>
    </w:p>
    <w:p>
      <w:pPr>
        <w:spacing w:before="0" w:after="80" w:line="269" w:lineRule="auto"/>
      </w:pPr>
      <w:r>
        <w:rPr>
          <w:rFonts w:ascii="Noto Serif Devanagari" w:hAnsi="Noto Serif Devanagari" w:eastAsia="Noto Serif Devanagari"/>
          <w:b w:val="0"/>
          <w:sz w:val="20"/>
        </w:rPr>
        <w:t>तर,</w:t>
        <w:br/>
        <w:t>(१) सरकारी निकाय, कूटनीतिक वा महसुल सुविधा प्राप्त व्यक्ति वा निकाय, ऋण तथा अनुदान सहयोगमा सञ्चालित सरकारी आयोजनाले पैठारी गर्ने सवारी तथा ढुवानीका साधन तथा अपाङ्गता भएका व्यक्तिले आफ्नो प्रयोजनको लागि पैठारी गर्ने स्कुटरमा खण्ड (क) को व्यवस्था लागू हुनेछैन ।</w:t>
        <w:br/>
        <w:t>(२) दमकल (बारुणयन्त्र) पैठारी गर्दा खण्ड (क) तथा खण्ड (ख) को व्यवस्था लागू हुने छैन ।</w:t>
        <w:br/>
        <w:t>(३) स्वास्थ्य तथा जनसंख्या मन्त्रालयले तोकेको मापदण्ड बमोजिमको एम्बुलेन्स; शीर्षक ८७.०१ अन्तर्गत पर्ने ट्र्याक्टर र शीर्षक ८७.०५ मा पर्ने खास उद्देश्यका मोटरगाडी पैठारी गर्दा यस खण्ड (क) को व्यवस्था लागू हुने छैन ।</w:t>
        <w:br/>
        <w:t>(४) नेपालले आयोजना गर्ने अन्तर्राष्ट्रिय वा क्षेत्रीय महत्वको सभा सम्मेलनको प्रयोजनको लागि नेपाल सरकार, मन्त्रिपरिषद्ले निर्णय गरी पैठारी गर्ने नेपाल सवारी साधन प्रदूषण मापदण्ड, २०८२ भित्र पर्ने सवारी साधनको हकमा खण्ड (क) को व्यवस्था लागू हुने छैन ।</w:t>
        <w:br/>
        <w:t>(५) नेपाल सरकारको निर्णयद्वारा पूर्ण वा आंशिक भन्सार महसुल छुट दिइएको व्यक्ति वा संस्था वा निकायले सवारी साधन निर्माता कम्पनी वा निजको आधिकारिक विक्रेताबाट खरिद गरी पैठारी गर्दा खण्ड (क) को व्यवस्था लागू हुने छैन ।</w:t>
      </w:r>
    </w:p>
    <w:p>
      <w:pPr>
        <w:spacing w:before="0" w:after="80" w:line="269" w:lineRule="auto"/>
      </w:pPr>
      <w:r>
        <w:rPr>
          <w:rFonts w:ascii="Noto Serif Devanagari" w:hAnsi="Noto Serif Devanagari" w:eastAsia="Noto Serif Devanagari"/>
          <w:b w:val="0"/>
          <w:sz w:val="20"/>
        </w:rPr>
        <w:t>सवारी तथा यातायात व्यवस्था ऐन, २०४९ बमोजिम सडकमा नचल्ने वा दर्ता गराउन नपर्नेको हकमा यस दफा १.१७ मा उल्लिखित व्यवस्था लागू हुने छैन ।</w:t>
      </w:r>
    </w:p>
    <w:p>
      <w:pPr>
        <w:keepNext/>
        <w:spacing w:before="100" w:after="60" w:line="269" w:lineRule="auto"/>
      </w:pPr>
      <w:r>
        <w:rPr>
          <w:rFonts w:ascii="Aptos" w:hAnsi="Aptos" w:eastAsia="Aptos"/>
          <w:b/>
          <w:sz w:val="21"/>
        </w:rPr>
        <w:t>1.17 Provisions Relating to Import of Vehicles or Means of Transportation</w:t>
      </w:r>
    </w:p>
    <w:p>
      <w:pPr>
        <w:spacing w:before="0" w:after="100" w:line="269" w:lineRule="auto"/>
      </w:pPr>
      <w:r>
        <w:rPr>
          <w:rFonts w:ascii="Aptos" w:hAnsi="Aptos" w:eastAsia="Aptos"/>
          <w:b w:val="0"/>
          <w:sz w:val="20"/>
        </w:rPr>
        <w:t>(a) New vehicles or means of transportation purchased from the manufacturing company or its authorised seller may be imported only by the authorised seller located in Nepal.</w:t>
      </w:r>
    </w:p>
    <w:p>
      <w:pPr>
        <w:spacing w:before="0" w:after="100" w:line="269" w:lineRule="auto"/>
      </w:pPr>
      <w:r>
        <w:rPr>
          <w:rFonts w:ascii="Aptos" w:hAnsi="Aptos" w:eastAsia="Aptos"/>
          <w:b w:val="0"/>
          <w:sz w:val="20"/>
        </w:rPr>
        <w:t>(b) Reconditioned or used vehicles or means of transportation and other such means that do not fall within the Nepal Vehicle Pollution Standard, 2082 / Nepal Vehicle Pollution Standard, 2069 shall not be imported.</w:t>
      </w:r>
    </w:p>
    <w:p>
      <w:pPr>
        <w:spacing w:before="0" w:after="100" w:line="269" w:lineRule="auto"/>
      </w:pPr>
      <w:r>
        <w:rPr>
          <w:rFonts w:ascii="Aptos" w:hAnsi="Aptos" w:eastAsia="Aptos"/>
          <w:b w:val="0"/>
          <w:sz w:val="20"/>
        </w:rPr>
        <w:t>Provided that:</w:t>
        <w:br/>
        <w:t>(1) The provision of Section (a) shall not apply to vehicles and means of transportation imported by government bodies, persons or entities enjoying diplomatic or customs facilities, government projects operated with loan and grant assistance, and scooters imported by persons with disabilities for their own use.</w:t>
        <w:br/>
        <w:t>(2) The provisions of Sections (a) and (b) shall not apply to the import of fire engines (fire-fighting vehicles).</w:t>
        <w:br/>
        <w:t>(3) The provision of Section (a) shall not apply to the import of ambulances conforming to the standards prescribed by the Ministry of Health and Population; tractors falling under Heading 87.01; and special-purpose motor vehicles falling under Heading 87.05.</w:t>
        <w:br/>
        <w:t>(4) The provision of Section (a) shall not apply to vehicles falling within the Nepal Vehicle Pollution Standard, 2082 that are imported pursuant to a decision of the Council of Ministers, Government of Nepal, for the purpose of an international or regional conference of importance organised by Nepal.</w:t>
        <w:br/>
        <w:t>(5) The provision of Section (a) shall not apply where a person, institution or body granted full or partial exemption from customs duty by a decision of the Government of Nepal purchases and imports a vehicle from the vehicle manufacturing company or its authorised seller.</w:t>
      </w:r>
    </w:p>
    <w:p>
      <w:pPr>
        <w:spacing w:before="0" w:after="100" w:line="269" w:lineRule="auto"/>
      </w:pPr>
      <w:r>
        <w:rPr>
          <w:rFonts w:ascii="Aptos" w:hAnsi="Aptos" w:eastAsia="Aptos"/>
          <w:b w:val="0"/>
          <w:sz w:val="20"/>
        </w:rPr>
        <w:t>The provisions specified in this Clause 1.17 shall not apply in the case of vehicles or means that, pursuant to the Motor Vehicles and Transport Management Act, 2049, are not to be driven on roads or are not required to be registered.</w:t>
      </w:r>
    </w:p>
    <w:p>
      <w:pPr>
        <w:keepNext/>
        <w:spacing w:before="140" w:after="60" w:line="269" w:lineRule="auto"/>
      </w:pPr>
      <w:r>
        <w:rPr>
          <w:rFonts w:ascii="Noto Serif Devanagari" w:hAnsi="Noto Serif Devanagari" w:eastAsia="Noto Serif Devanagari"/>
          <w:b/>
          <w:sz w:val="22"/>
        </w:rPr>
        <w:t>१.१८ बिलबीजक, Proforma Invoice, Indent, Contract Paper मा खुलाउनु पर्ने विवरण</w:t>
      </w:r>
    </w:p>
    <w:p>
      <w:pPr>
        <w:spacing w:before="0" w:after="80" w:line="269" w:lineRule="auto"/>
      </w:pPr>
      <w:r>
        <w:rPr>
          <w:rFonts w:ascii="Noto Serif Devanagari" w:hAnsi="Noto Serif Devanagari" w:eastAsia="Noto Serif Devanagari"/>
          <w:b w:val="0"/>
          <w:sz w:val="20"/>
        </w:rPr>
        <w:t>यस एकीकृत परिपत्र २०८२ बमोजिम हुने वस्तु आयातको बिलबीजक, Proforma Invoice, Indent, Contract Paper मा दफा १.१.१ (क) (३) मा उल्लिखित विवरण हुनु पर्दछ । कुनै कारणवश त्यस्तो विवरण उल्लेख नहुने प्रकृतिको वस्तु भएमा सो व्यहोरासमेत Proforma Invoice, Indent, Contract Paper मा उल्लेख हुनु पर्दछ ।</w:t>
      </w:r>
    </w:p>
    <w:p>
      <w:pPr>
        <w:keepNext/>
        <w:spacing w:before="100" w:after="60" w:line="269" w:lineRule="auto"/>
      </w:pPr>
      <w:r>
        <w:rPr>
          <w:rFonts w:ascii="Aptos" w:hAnsi="Aptos" w:eastAsia="Aptos"/>
          <w:b/>
          <w:sz w:val="21"/>
        </w:rPr>
        <w:t>1.18 Particulars to Be Stated in Bill/Invoice, Proforma Invoice, Indent and Contract Paper</w:t>
      </w:r>
    </w:p>
    <w:p>
      <w:pPr>
        <w:spacing w:before="0" w:after="100" w:line="269" w:lineRule="auto"/>
      </w:pPr>
      <w:r>
        <w:rPr>
          <w:rFonts w:ascii="Aptos" w:hAnsi="Aptos" w:eastAsia="Aptos"/>
          <w:b w:val="0"/>
          <w:sz w:val="20"/>
        </w:rPr>
        <w:t>The Bill/Invoice, Proforma Invoice, Indent and Contract Paper relating to the import of goods under this Unified Circular 2082 shall contain the particulars specified in Clause 1.1.1(a)(3). Where, for any reason, the nature of the goods is such that such particulars cannot be stated, that fact shall also be stated in the Proforma Invoice, Indent and Contract Paper.</w:t>
      </w:r>
    </w:p>
    <w:p>
      <w:pPr>
        <w:spacing w:before="0" w:after="0" w:line="269" w:lineRule="auto"/>
        <w:jc w:val="center"/>
      </w:pPr>
      <w:r>
        <w:rPr>
          <w:rFonts w:ascii="Noto Serif Devanagari" w:hAnsi="Noto Serif Devanagari" w:eastAsia="Noto Serif Devanagari"/>
          <w:b/>
          <w:sz w:val="17"/>
        </w:rPr>
        <w:t>— ब्याच ०१E समाप्त / End of Batch 01E —</w:t>
      </w:r>
    </w:p>
    <w:sectPr w:rsidR="00FC693F" w:rsidRPr="0006063C" w:rsidSect="00034616">
      <w:headerReference w:type="default" r:id="rId9"/>
      <w:footerReference w:type="default" r:id="rId10"/>
      <w:pgSz w:w="12240" w:h="15840"/>
      <w:pgMar w:top="792" w:right="1037" w:bottom="893" w:left="1037" w:header="346"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cs="Noto Sans Devanagari" w:eastAsia="Noto Sans Devanagari"/>
        <w:color w:val="777777"/>
        <w:sz w:val="16"/>
      </w:rPr>
      <w:t xml:space="preserve">Directive 1 — Import of Goods  |  Batch 01D  |  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4" w:space="2" w:color="D9D9D9"/>
      </w:pBdr>
    </w:pPr>
    <w:r>
      <w:rPr>
        <w:rFonts w:ascii="Noto Sans" w:hAnsi="Noto Sans" w:cs="Noto Sans Devanagari" w:eastAsia="Noto Sans Devanagari"/>
        <w:color w:val="777777"/>
        <w:sz w:val="16"/>
      </w:rPr>
      <w:t>NRB Unified F.E. Circular 2082 — Bilingual Controlled Translation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2" w:lineRule="auto"/>
    </w:pPr>
    <w:rPr>
      <w:rFonts w:ascii="Noto Sans" w:hAnsi="Noto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NRB Unified Foreign Exchange Circular 2082 - Bilingual Batch 01D - Directive 1</dc:title>
  <dc:subject>Controlled Nepali-English translation of Unified F.E. Circular No. 1/2082, Clauses 1.8-1.11.7</dc:subject>
  <dc:creator>C.M. &amp; Associates - Controlled Translation Working Draft</dc:creator>
  <cp:keywords>Nepal Rastra Bank, NRB, foreign exchange, Unified Circular 2082, bilingual translation</cp:keywords>
  <dc:description>generated by python-docx</dc:description>
  <cp:lastModifiedBy/>
  <cp:revision>1</cp:revision>
  <dcterms:created xsi:type="dcterms:W3CDTF">2013-12-23T23:15:00Z</dcterms:created>
  <dcterms:modified xsi:type="dcterms:W3CDTF">2013-12-23T23:15:00Z</dcterms:modified>
  <cp:category/>
</cp:coreProperties>
</file>